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小标宋_GBK" w:cs="Times New Roman"/>
          <w:sz w:val="44"/>
          <w:szCs w:val="44"/>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小标宋_GBK" w:cs="Times New Roman"/>
          <w:sz w:val="44"/>
          <w:szCs w:val="44"/>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秀山土家族苗族自治县人民政府</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关于印发《秀山土家族苗族自治县集体土地征收补偿安置实施办法》的通知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秀山府发〔2021〕8号</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仿宋_GBK"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各街道办事处、乡镇人民政府，县级有关部门，有关单位：</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经县委、县政府同意，现将《秀山土家族苗族自治县集体土地征收补偿安置实施办法》印发给你们，请遵照实施。</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3200" w:firstLineChars="10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秀山土家族苗族自治县人民政府</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4160" w:firstLineChars="1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2021年6月30日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rPr>
        <w:t>秀山土家族苗族自治县集体土地征收补偿安置实施办法</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黑体"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黑体"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方正仿宋_GBK" w:cs="Times New Roman"/>
          <w:sz w:val="32"/>
          <w:szCs w:val="32"/>
        </w:rPr>
        <w:t xml:space="preserve"> 为规范本县农民集体所有的土地（以下简称集体土地）征收的补偿安置工作，保障被征收土地的所有权人、使用权人的合法权益，根据《重庆市集体土地征收补偿安置办法》（重庆市人民政府令第344号）和《重庆市人民政府关于公布征地补偿安置标准有关事项的通知》（渝府发〔2021〕14号），结合本县实际，制定本实施办法。</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 xml:space="preserve">第二条 </w:t>
      </w:r>
      <w:r>
        <w:rPr>
          <w:rFonts w:hint="default" w:ascii="Times New Roman" w:hAnsi="Times New Roman" w:eastAsia="方正仿宋_GBK" w:cs="Times New Roman"/>
          <w:sz w:val="32"/>
          <w:szCs w:val="32"/>
        </w:rPr>
        <w:t>本县行政区域内集体土地征收的补偿、人员安置和住房安置，适用本实施办法。</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 xml:space="preserve">第三条 </w:t>
      </w:r>
      <w:r>
        <w:rPr>
          <w:rFonts w:hint="default" w:ascii="Times New Roman" w:hAnsi="Times New Roman" w:eastAsia="方正仿宋_GBK" w:cs="Times New Roman"/>
          <w:sz w:val="32"/>
          <w:szCs w:val="32"/>
        </w:rPr>
        <w:t>县人民政府负责本行政区域内集体土地征收补偿安置的组织实施工作。县征地实施机构承担本行政区域内集体土地征收补偿安置具体实施的事务性工作。</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县规划自然资源局负责对集体土地征收补偿安置具体实施的事务性工作进行管理和监督。</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县人力社保局负责征地安置人员的基本养老保险和促进就业工作。</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县公安局负责被征地农村集体经济组织所在地居民户口信息提供和审核工作。</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县农业农村委负责征地涉及的农村土地承包经营及承包经营合同管理，农村集体资产管理的指导、协调和监督及农村宅基地管理工作。</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县财政、住房城乡建设、民政等部门，按照各自职责做好集体土地征收补偿安置相关工作。</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乡镇人民政府（街道办事处）负责征地涉及的农村土地承包经营及承包经营合同管理，农村宅基地审核批准，并按照县人民政府的要求，做好辖区内集体土地征收补偿安置的相关工作。</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黑体"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征地补偿</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黑体"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方正仿宋_GBK" w:cs="Times New Roman"/>
          <w:sz w:val="32"/>
          <w:szCs w:val="32"/>
        </w:rPr>
        <w:t xml:space="preserve"> 征收集体土地应当依法及时足额支付土地补偿费、安置补助费以及农村房屋、其他地上附着物和青苗等的补偿费用。</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方正仿宋_GBK" w:cs="Times New Roman"/>
          <w:sz w:val="32"/>
          <w:szCs w:val="32"/>
        </w:rPr>
        <w:t xml:space="preserve"> 征收农用地、建设用地和未利用地的土地补偿费、安置补助费，不分地类，按照市人民政府制定公布的区片综合地价标准乘以被征收土地面积计算。区片综合地价中，土地补偿费占30%，安置补助费占70%。</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本县行政区域范围内，区片综合地价标准按照附件1执行。</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方正仿宋_GBK" w:cs="Times New Roman"/>
          <w:sz w:val="32"/>
          <w:szCs w:val="32"/>
        </w:rPr>
        <w:t xml:space="preserve"> 被征收土地的土地补偿费，按照市人民政府制定公布的土地补偿费标准（区片综合地价的30%）乘以农村集体经济组织被征收土地面积计算。</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地补偿费由县征地实施机构支付给被征地农村集体经济组织。其中，被征收土地为家庭承包土地的，土地补偿费的80%由农村集体经济组织按照被征收土地面积发放给承包经营户，土地补偿费的20%由农村集体经济组织依法管理和使用；被征收土地为未发包土地或者其他方式承包土地的，土地补偿费由农村集体经济组织依法管理和使用。</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被征收土地的安置补助费，按照市人民政府制定公布的安置补助费标准（区片综合地价的70%）乘以农村集体经济组织被征收土地面积计算。</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安置补助费由县征地实施机构按照36000元/人的发放标准支付给人员安置对象。前款计算的安置补助费支付后有结余的，结余部分交由农村集体经济组织依法管理和使用；不足的，由县人民政府安排资金予以补足。</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 xml:space="preserve">第七条 </w:t>
      </w:r>
      <w:r>
        <w:rPr>
          <w:rFonts w:hint="default" w:ascii="Times New Roman" w:hAnsi="Times New Roman" w:eastAsia="方正仿宋_GBK" w:cs="Times New Roman"/>
          <w:sz w:val="32"/>
          <w:szCs w:val="32"/>
        </w:rPr>
        <w:t>农村房屋以不动产权属证书记载的合法建筑面积为准，按照重置价格标准补偿，补偿标准见附件2。</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未取得不动产权证书的房屋，由县人民政府组织县规划自然资源局、农业农村委等部门和乡镇人民政府依法予以认定。</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方正仿宋_GBK" w:cs="Times New Roman"/>
          <w:sz w:val="32"/>
          <w:szCs w:val="32"/>
        </w:rPr>
        <w:t xml:space="preserve"> 被搬迁房屋的装修、装饰等按照附件3规定的标准予以补助。</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方正仿宋_GBK" w:cs="Times New Roman"/>
          <w:sz w:val="32"/>
          <w:szCs w:val="32"/>
        </w:rPr>
        <w:t xml:space="preserve"> 本实施办法所称其他地上附着物，是指除房屋外的建筑物、构筑物以及林木和其他经济作物等；青苗，是指土地上生长的农作物。</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青苗、林木和其他经济作物等实行综合定额补偿，按被征地面积扣除林地后的面积计算，Ⅰ、Ⅱ、Ⅲ区片（范围与区片综合地价Ⅰ、Ⅱ、Ⅲ区片一致）综合定额补偿标准分别为每亩16000元、10000元、8000元。除房屋外（含林地上）的建构筑物等实行据实补偿，补偿标准见附件4。</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综合定额补偿标准中，包含粮油类青苗费每亩1600元、蔬菜和经济作物类青苗费每亩1800元。</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征收林地上的林木及附着物的补偿标准，按照国家和本市、县征收林地的有关规定执行，补偿标准低于综合定额标准的，按照综合定额标准补偿。</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方正仿宋_GBK" w:cs="Times New Roman"/>
          <w:sz w:val="32"/>
          <w:szCs w:val="32"/>
        </w:rPr>
        <w:t xml:space="preserve"> 有下列情形之一的，不予补偿：</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（一）违法建（构）筑物；</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（二）已拆除的房屋、房屋已垮塌的部分；</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（三）县人民政府发布土地征收预公告后栽种的青苗及花草、树木等附着物；</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（四）其他不当增加补偿费用的情形。</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 xml:space="preserve">第十一条 </w:t>
      </w:r>
      <w:r>
        <w:rPr>
          <w:rFonts w:hint="default" w:ascii="Times New Roman" w:hAnsi="Times New Roman" w:eastAsia="方正仿宋_GBK" w:cs="Times New Roman"/>
          <w:sz w:val="32"/>
          <w:szCs w:val="32"/>
        </w:rPr>
        <w:t>征收土地预公告发布之日，持有合法证照从事规模化生产经营活动的，应当综合考虑生产经营年限、规模、类别、搬迁损失、搬迁难易度等因素，对生产经营者一次性给予搬迁补助费。</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模化专业种植类、规模化专业水产养殖类、规模化专业畜禽养殖类搬迁补助费标准见附件5。专业种植、水产养殖的规模化是指种植、养殖面积达到5亩及以上；专业畜禽养殖的规模化是指小型畜禽养殖数量达到300及以上、大型畜禽养殖数量达到50及以上。</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工业类搬迁补助费标准按所搬迁设施设备评估净值的20%，搬迁后丧失使用价值的，按所搬迁设施设备评估净值计算。</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商业服务类搬迁补助费标准按照实际用于商业服务经营的房屋建筑面积计算，补助标准每平方米200元。</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人员安置</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黑体"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方正仿宋_GBK" w:cs="Times New Roman"/>
          <w:sz w:val="32"/>
          <w:szCs w:val="32"/>
        </w:rPr>
        <w:t xml:space="preserve"> 本实施办法所称人员安置对象应当从土地征收预公告之日计入被征地农村集体经济组织总人口的人员中产生。</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下列人员计入被征地农村集体经济组织的总人口：</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（一）户口登记在被征地农村集体经济组织所在地，且取得该集体经济组织土地承包经营权的人员；</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（二）因出生、政策性移民将户口登记在被征地农村集体经济组织所在地，且依法享有该集体经济组织土地承包经营权的人员；</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（三）因合法收养、合法婚姻将户口从其他农村集体经济组织迁入并长期在被征地农村集体经济组织生产生活，且依法享有该被征地农村集体经济组织土地承包经营权的人员；</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（四）依法享有被征地农村集体经济组织土地承包经营权的在校大中专学生（含硕士、博士研究生）、现役军士和义务兵、儿童福利机构孤儿、服刑人员；</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（五）按照本市统筹城乡户籍制度改革有关规定保留征地补偿安置权利的人员；</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（六）因其他原因，户口从被征地农村集体经济组织所在地迁出进城落户，但长期在被征地农村集体经济组织生产生活，且取得该农村集体经济组织土地承包经营权的人员。</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前款所称“长期”是指县人民政府发布征收土地预公告之日，在被征地农村集体经济组织连续生产生活1年以上，其中，离婚后再婚配偶及随迁子女在被征地农村集体经济组织连续生产生活3年以上。</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方正仿宋_GBK" w:cs="Times New Roman"/>
          <w:sz w:val="32"/>
          <w:szCs w:val="32"/>
        </w:rPr>
        <w:t xml:space="preserve"> 符合本实施办法第十二条规定但有下列情形之一的人员，不计入被征地农村集体经济组织的总人口：</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（一）征地前已实行征地人员安置的人员；</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（二）国家机关、人民团体、事业单位等在编在职和退休人员。</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方正仿宋_GBK" w:cs="Times New Roman"/>
          <w:sz w:val="32"/>
          <w:szCs w:val="32"/>
        </w:rPr>
        <w:t xml:space="preserve"> 农村集体经济组织的土地被全部征收的，按照本实施办法计入被征地农村集体经济组织总人口的人员全部为人员安置对象。</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集体经济组织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的占比再除以农村集体经济组织耕地占比。</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前款所称人均土地面积为集体土地所有权证登记的土地总面积（不含已被征收的面积）除以按照本实施办法计入被征地农村集体经济组织的总人口数。前款所称农村集体经济组织耕地占比为集体土地所有权证登记的耕地面积（不含已被征收的面积）占土地总面积（不含已被征收的面积）的比例。</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方正仿宋_GBK" w:cs="Times New Roman"/>
          <w:sz w:val="32"/>
          <w:szCs w:val="32"/>
        </w:rPr>
        <w:t xml:space="preserve"> 具体的人员安置对象由被征地农村集体经济组织按照农户被征地多少和剩余耕地情况在农村集体经济组织总人口中确定。其中：征收家庭承包土地产生的人员安置对象人数，按照被征收耕地数量在被征地农户中从高到低依次确定；征收未发包土地或者其他方式承包土地产生的人员安置对象人数，按照征地后农户剩余人平耕地数量在被征地农户中从低到高依次确定，仍有节余的人数，由农村集体经济组织全体成员会议或代表会议讨论确定具体人员；只征收未发包土地或其他方式承包土地的，由农村集体经济组织全体成员会议或代表会议讨论确定具体人员。</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具体的人员安置对象经农村集体经济组织公示7日无异议后，报乡镇人民政府（街道办事处）初审，县征地实施机构会同县规划自然资源、人力社保、公安、农业农村等部门复核，县人民政府核准。</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方正仿宋_GBK" w:cs="Times New Roman"/>
          <w:sz w:val="32"/>
          <w:szCs w:val="32"/>
        </w:rPr>
        <w:t xml:space="preserve"> 县人民政府应当将符合条件的人员安置对象纳入相应的养老等社会保障体系，并安排人员安置对象的社会保障费用，主要用于人员安置对象的养老保险等社会保险缴费补贴。</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人员安置对象的基本养老保险缴费补贴办法及标准，按照市人民政府有关规定执行。</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方正仿宋_GBK" w:cs="Times New Roman"/>
          <w:sz w:val="32"/>
          <w:szCs w:val="32"/>
        </w:rPr>
        <w:t xml:space="preserve"> 县人力社保部门应当将劳动力年龄段内有劳动能力、有就业需求的人员安置对象纳入公共就业服务范围，组织开展就业创业服务活动，促进其就业创业。</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default" w:ascii="Times New Roman" w:hAnsi="Times New Roman" w:eastAsia="黑体"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住房安置</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黑体"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方正仿宋_GBK" w:cs="Times New Roman"/>
          <w:sz w:val="32"/>
          <w:szCs w:val="32"/>
        </w:rPr>
        <w:t xml:space="preserve"> 农村集体经济组织的土地被全部征收的，按照本实施办法计入被征地农村集体经济组织总人口且享有被征地农村集体经济组织宅基地权利的人员全部为住房安置对象。</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农村集体经济组织的土地被部分征收的，征收土地预公告之日，持有征地范围内被搬迁住房的不动产权属证书，且按照本实施办法计入被征地农村集体经济组织总人口的人员为住房安置对象。</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征地前已实行征地人员安置但住房未被搬迁的人员，在其住房搬迁时纳入住房安置对象范围。</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方正仿宋_GBK" w:cs="Times New Roman"/>
          <w:sz w:val="32"/>
          <w:szCs w:val="32"/>
        </w:rPr>
        <w:t xml:space="preserve"> 符合本实施办法第十八条规定但有下列情形之一的人员，不属于住房安置对象：</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（一）本实施办法施行前已实行征地住房安置的人员；</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（二）已享受福利分房、划拨国有土地上自建房以及单位修建并销售给职工的经济适用房等政策性实物住房的人员。</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方正仿宋_GBK" w:cs="Times New Roman"/>
          <w:sz w:val="32"/>
          <w:szCs w:val="32"/>
        </w:rPr>
        <w:t xml:space="preserve"> 住房安置可以采取农村宅基地自建安置、安置房安置或者货币安置等方式。住房安置对象应当以户为单位统一选择一种安置方式，一处宅基地上的住房计为一户，即以不动产首次登记的或者合法建房手续批准的房屋作为计户依据。</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选择农村宅基地自建安置的，应当符合乡（镇）土地利用总体规划、村庄规划，以及国家和本市、县关于宅基地建房的有关规定。</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住房安置对象采取安置房安置或者货币安置后，该户家庭成员不得再申请农村宅基地新建住房。</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方正仿宋_GBK" w:cs="Times New Roman"/>
          <w:sz w:val="32"/>
          <w:szCs w:val="32"/>
        </w:rPr>
        <w:t xml:space="preserve"> 农村宅基地自建安置的，应当按照房屋重置价格标准的50%给予自建住房补助。</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方正仿宋_GBK" w:cs="Times New Roman"/>
          <w:sz w:val="32"/>
          <w:szCs w:val="32"/>
        </w:rPr>
        <w:t xml:space="preserve"> 安置房安置或者货币安置的，住房安置对象的住房安置建筑面积标准为每人30平方米。</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方正仿宋_GBK" w:cs="Times New Roman"/>
          <w:sz w:val="32"/>
          <w:szCs w:val="32"/>
        </w:rPr>
        <w:t xml:space="preserve"> 住房安置对象夫妻双方均无子女的，实行安置房安置或者货币安置时，可以申请增加15平方米建筑面积的住房。</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住房安置对象的配偶或者未成年子女，不属于被征地农村集体经济组织总人口范围，但同时符合下列条件的，实行安置房安置或者货币安置时，可以申请15平方米建筑面积的住房，与住房安置对象合并安置：</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（一）县人民政府发布征收土地预公告之日，在被征地农村集体经济组织居住1年以上（离婚后再婚配偶及随迁子女已在被征地农村集体经济组织居住3年以上）；</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（二）征地前未实行征地住房安置；</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（三）住房安置对象及其配偶、未成年子女均无商品房、农村住房和享受过福利房、经济适用房、安置房等住房；</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（四）不享有其他农村集体经济组织宅基地权利。</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方正仿宋_GBK" w:cs="Times New Roman"/>
          <w:sz w:val="32"/>
          <w:szCs w:val="32"/>
        </w:rPr>
        <w:t xml:space="preserve"> 安置房安置的，应安置建筑面积的部分，按照砖混结构房屋的重置价格标准购买。</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户型设计等原因，以户为单位，安置房超过应安置建筑面积不满5平方米的部分，按照安置房建安造价的50%购买；超过应安置建筑面积5平方米以上不满10平方米的部分，按照安置房建安造价购买；超过应安置建筑面积10平方米以上的部分，按照住房货币安置价格标准购买。安置房建安造价由县住房城乡建设部门会同规划自然资源部门核定，与本实施办法同步公布。</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因户型设计、住房安置对象意愿等原因，购买安置房未达到应安置建筑面积的，不足部分按照本实施办法第二十六条规定的住房货币安置价格标准支付给住房安置对象。</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方正仿宋_GBK" w:cs="Times New Roman"/>
          <w:sz w:val="32"/>
          <w:szCs w:val="32"/>
        </w:rPr>
        <w:t>安置房应当在国有土地上建设。</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安置房建设单位应当安排安置房的建设资金、首期物业专项维修资金以及居民用电、自来水、天然气、有线电视的安装费用。</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方正仿宋_GBK" w:cs="Times New Roman"/>
          <w:sz w:val="32"/>
          <w:szCs w:val="32"/>
        </w:rPr>
        <w:t xml:space="preserve"> 住房货币安置的，货币安置款额等于住房货币安置价格标准乘以应安置建筑面积。住房货币安置价格标准见附件6。</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方正仿宋_GBK" w:cs="Times New Roman"/>
          <w:sz w:val="32"/>
          <w:szCs w:val="32"/>
        </w:rPr>
        <w:t xml:space="preserve"> 住房安置对象合法拥有两处及以上农村住房的，只在其享有宅基地权利的住房被搬迁时安置一次住房，不得重复安置住房。</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第二十八条</w:t>
      </w:r>
      <w:r>
        <w:rPr>
          <w:rFonts w:hint="default" w:ascii="Times New Roman" w:hAnsi="Times New Roman" w:eastAsia="方正仿宋_GBK" w:cs="Times New Roman"/>
          <w:sz w:val="32"/>
          <w:szCs w:val="32"/>
        </w:rPr>
        <w:t xml:space="preserve"> 符合下列情形之一的，其被搬迁房屋按重置价格标准（见附件2）的50%予以补助：</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（一）被搬迁住房所有权人均不属于住房安置对象的；</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（二）被搬迁住房属于住房安置对象合法拥有两处及以上农村住房，且按本实施办法第二十七条规定不予住房安置的；</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（三）乡镇企业、乡（镇）村公共设施、公益事业用房等登记为非住宅的房屋。</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第二十九条</w:t>
      </w:r>
      <w:r>
        <w:rPr>
          <w:rFonts w:hint="default" w:ascii="Times New Roman" w:hAnsi="Times New Roman" w:eastAsia="方正仿宋_GBK" w:cs="Times New Roman"/>
          <w:sz w:val="32"/>
          <w:szCs w:val="32"/>
        </w:rPr>
        <w:t xml:space="preserve"> 征地搬迁农村住房，按照每户每次2000元的标准支付搬迁费，用于被搬迁户搬家及生产生活设施迁移，按两次计发。</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农村宅基地自建安置的，按照符合宅基地申请条件的人员每人每月200元计算，一次性支付18个月的临时安置费。</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安置房安置的，按照应安置建筑面积、每月每平方米6元计算，支付自搬迁（或签订补偿安置协议）之月起至安置房交付后6个月止期间的临时安置费。</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住房货币安置的，按照应安置建筑面积、每月每平方米6元计算，一次性支付12个月的临时安置费。</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第三十条</w:t>
      </w:r>
      <w:r>
        <w:rPr>
          <w:rFonts w:hint="default" w:ascii="Times New Roman" w:hAnsi="Times New Roman" w:eastAsia="方正仿宋_GBK" w:cs="Times New Roman"/>
          <w:sz w:val="32"/>
          <w:szCs w:val="32"/>
        </w:rPr>
        <w:t xml:space="preserve"> 发布征收土地预公告之日或自征收项目实施之日起6个月内，签订房屋补偿安置协议并按时搬迁腾退房屋的，给予按时搬迁奖励，逾期签订补偿安置协议和搬迁腾退房屋的，不给予搬迁奖励。奖励金额按照被搬迁农村房屋的合法建筑面积计算，奖励标准为每平方米200元。</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default" w:ascii="Times New Roman" w:hAnsi="Times New Roman" w:eastAsia="黑体"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第五章 附则</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黑体"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第三十一条</w:t>
      </w:r>
      <w:r>
        <w:rPr>
          <w:rFonts w:hint="default" w:ascii="Times New Roman" w:hAnsi="Times New Roman" w:eastAsia="方正仿宋_GBK" w:cs="Times New Roman"/>
          <w:sz w:val="32"/>
          <w:szCs w:val="32"/>
        </w:rPr>
        <w:t xml:space="preserve"> 本实施办法自2021年7月1日起施行。《秀山土家族苗族自治县人民政府关于调整征地补偿安置政策有关事项的通知》（秀山府发〔2008〕42号）、《秀山土家族苗族自治县人民政府关于进一步调整征地补偿安置标准有关事项的通知》（秀山府发〔2013〕26号）、《秀山土家族苗族自治县国土资源和房屋管理局关于明确征地补偿有关具体问题的通知》（秀山国土房管发〔2014〕1号）文件同时废止。</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本实施办法施行前已经确定征地补偿安置方案的项目，按照原政策标准执行。</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附件：1.秀山县征地区片综合地价标准</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1600" w:firstLineChars="5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2.秀山县农村房屋重置价格补偿标准</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1600" w:firstLineChars="5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3.秀山县农村房屋装修装饰等补助标准</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1600" w:firstLineChars="5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4.秀山县征地建（构）筑物等补偿标准</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1600" w:firstLineChars="5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5.秀山县规模化专业种植养殖搬迁补助标准</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1600" w:firstLineChars="5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6.秀山县农村住房货币安置价格标准</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spacing w:line="570" w:lineRule="exact"/>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附件1</w:t>
      </w:r>
    </w:p>
    <w:p>
      <w:pPr>
        <w:widowControl w:val="0"/>
        <w:snapToGrid w:val="0"/>
        <w:jc w:val="center"/>
        <w:rPr>
          <w:rFonts w:hint="default" w:ascii="Times New Roman" w:hAnsi="Times New Roman" w:eastAsia="方正小标宋_GBK" w:cs="Times New Roman"/>
          <w:sz w:val="44"/>
          <w:szCs w:val="44"/>
        </w:rPr>
      </w:pPr>
    </w:p>
    <w:p>
      <w:pPr>
        <w:widowControl w:val="0"/>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秀山县征地区片综合地价标准</w:t>
      </w:r>
    </w:p>
    <w:p>
      <w:pPr>
        <w:widowControl w:val="0"/>
        <w:snapToGrid w:val="0"/>
        <w:jc w:val="center"/>
        <w:rPr>
          <w:rFonts w:hint="default" w:ascii="Times New Roman" w:hAnsi="Times New Roman" w:eastAsia="方正小标宋_GBK" w:cs="Times New Roman"/>
          <w:sz w:val="44"/>
          <w:szCs w:val="44"/>
        </w:rPr>
      </w:pPr>
    </w:p>
    <w:tbl>
      <w:tblPr>
        <w:tblStyle w:val="12"/>
        <w:tblW w:w="903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75"/>
        <w:gridCol w:w="1630"/>
        <w:gridCol w:w="1630"/>
        <w:gridCol w:w="3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46" w:type="dxa"/>
            <w:vMerge w:val="restart"/>
            <w:vAlign w:val="center"/>
          </w:tcPr>
          <w:p>
            <w:pPr>
              <w:snapToGrid w:val="0"/>
              <w:jc w:val="center"/>
              <w:rPr>
                <w:rFonts w:hint="default" w:ascii="Times New Roman" w:hAnsi="Times New Roman" w:eastAsia="黑体" w:cs="Times New Roman"/>
                <w:color w:val="FF0000"/>
                <w:sz w:val="28"/>
                <w:szCs w:val="28"/>
              </w:rPr>
            </w:pPr>
            <w:r>
              <w:rPr>
                <w:rFonts w:hint="default" w:ascii="Times New Roman" w:hAnsi="Times New Roman" w:eastAsia="黑体" w:cs="Times New Roman"/>
                <w:color w:val="000000"/>
                <w:sz w:val="28"/>
                <w:szCs w:val="28"/>
              </w:rPr>
              <w:t>区片</w:t>
            </w:r>
          </w:p>
        </w:tc>
        <w:tc>
          <w:tcPr>
            <w:tcW w:w="1375" w:type="dxa"/>
            <w:vMerge w:val="restart"/>
            <w:vAlign w:val="center"/>
          </w:tcPr>
          <w:p>
            <w:pPr>
              <w:snapToGrid w:val="0"/>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标准</w:t>
            </w:r>
          </w:p>
          <w:p>
            <w:pPr>
              <w:snapToGrid w:val="0"/>
              <w:jc w:val="center"/>
              <w:rPr>
                <w:rFonts w:hint="default" w:ascii="Times New Roman" w:hAnsi="Times New Roman" w:eastAsia="黑体" w:cs="Times New Roman"/>
                <w:color w:val="FF0000"/>
                <w:sz w:val="28"/>
                <w:szCs w:val="28"/>
              </w:rPr>
            </w:pPr>
            <w:r>
              <w:rPr>
                <w:rFonts w:hint="default" w:ascii="Times New Roman" w:hAnsi="Times New Roman" w:eastAsia="黑体" w:cs="Times New Roman"/>
                <w:color w:val="000000"/>
                <w:sz w:val="28"/>
                <w:szCs w:val="28"/>
              </w:rPr>
              <w:t>（元/亩）</w:t>
            </w:r>
          </w:p>
        </w:tc>
        <w:tc>
          <w:tcPr>
            <w:tcW w:w="3260" w:type="dxa"/>
            <w:gridSpan w:val="2"/>
            <w:vAlign w:val="center"/>
          </w:tcPr>
          <w:p>
            <w:pPr>
              <w:snapToGrid w:val="0"/>
              <w:jc w:val="center"/>
              <w:rPr>
                <w:rFonts w:hint="default" w:ascii="Times New Roman" w:hAnsi="Times New Roman" w:eastAsia="黑体" w:cs="Times New Roman"/>
                <w:color w:val="FF0000"/>
                <w:sz w:val="28"/>
                <w:szCs w:val="28"/>
              </w:rPr>
            </w:pPr>
            <w:r>
              <w:rPr>
                <w:rFonts w:hint="default" w:ascii="Times New Roman" w:hAnsi="Times New Roman" w:eastAsia="黑体" w:cs="Times New Roman"/>
                <w:color w:val="000000"/>
                <w:sz w:val="28"/>
                <w:szCs w:val="28"/>
              </w:rPr>
              <w:t>其中</w:t>
            </w:r>
          </w:p>
        </w:tc>
        <w:tc>
          <w:tcPr>
            <w:tcW w:w="3551" w:type="dxa"/>
            <w:vMerge w:val="restart"/>
            <w:vAlign w:val="center"/>
          </w:tcPr>
          <w:p>
            <w:pPr>
              <w:snapToGrid w:val="0"/>
              <w:jc w:val="center"/>
              <w:rPr>
                <w:rFonts w:hint="default" w:ascii="Times New Roman" w:hAnsi="Times New Roman" w:eastAsia="黑体" w:cs="Times New Roman"/>
                <w:color w:val="FF0000"/>
                <w:sz w:val="28"/>
                <w:szCs w:val="28"/>
              </w:rPr>
            </w:pPr>
            <w:r>
              <w:rPr>
                <w:rFonts w:hint="default" w:ascii="Times New Roman" w:hAnsi="Times New Roman" w:eastAsia="黑体" w:cs="Times New Roman"/>
                <w:color w:val="000000"/>
                <w:sz w:val="28"/>
                <w:szCs w:val="28"/>
              </w:rPr>
              <w:t>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846" w:type="dxa"/>
            <w:vMerge w:val="continue"/>
            <w:vAlign w:val="center"/>
          </w:tcPr>
          <w:p>
            <w:pPr>
              <w:snapToGrid w:val="0"/>
              <w:jc w:val="center"/>
              <w:rPr>
                <w:rFonts w:hint="default" w:ascii="Times New Roman" w:hAnsi="Times New Roman" w:eastAsia="黑体" w:cs="Times New Roman"/>
                <w:color w:val="FF0000"/>
                <w:sz w:val="28"/>
                <w:szCs w:val="28"/>
              </w:rPr>
            </w:pPr>
          </w:p>
        </w:tc>
        <w:tc>
          <w:tcPr>
            <w:tcW w:w="1375" w:type="dxa"/>
            <w:vMerge w:val="continue"/>
            <w:vAlign w:val="center"/>
          </w:tcPr>
          <w:p>
            <w:pPr>
              <w:snapToGrid w:val="0"/>
              <w:jc w:val="center"/>
              <w:rPr>
                <w:rFonts w:hint="default" w:ascii="Times New Roman" w:hAnsi="Times New Roman" w:eastAsia="黑体" w:cs="Times New Roman"/>
                <w:color w:val="FF0000"/>
                <w:sz w:val="28"/>
                <w:szCs w:val="28"/>
              </w:rPr>
            </w:pPr>
          </w:p>
        </w:tc>
        <w:tc>
          <w:tcPr>
            <w:tcW w:w="1630" w:type="dxa"/>
            <w:vAlign w:val="center"/>
          </w:tcPr>
          <w:p>
            <w:pPr>
              <w:snapToGrid w:val="0"/>
              <w:jc w:val="center"/>
              <w:rPr>
                <w:rFonts w:hint="default" w:ascii="Times New Roman" w:hAnsi="Times New Roman" w:eastAsia="黑体" w:cs="Times New Roman"/>
                <w:color w:val="FF0000"/>
                <w:sz w:val="28"/>
                <w:szCs w:val="28"/>
              </w:rPr>
            </w:pPr>
            <w:r>
              <w:rPr>
                <w:rFonts w:hint="default" w:ascii="Times New Roman" w:hAnsi="Times New Roman" w:eastAsia="黑体" w:cs="Times New Roman"/>
                <w:color w:val="000000"/>
                <w:sz w:val="28"/>
                <w:szCs w:val="28"/>
              </w:rPr>
              <w:t>土地补偿费</w:t>
            </w:r>
          </w:p>
        </w:tc>
        <w:tc>
          <w:tcPr>
            <w:tcW w:w="1630" w:type="dxa"/>
            <w:vAlign w:val="center"/>
          </w:tcPr>
          <w:p>
            <w:pPr>
              <w:snapToGrid w:val="0"/>
              <w:jc w:val="center"/>
              <w:rPr>
                <w:rFonts w:hint="default" w:ascii="Times New Roman" w:hAnsi="Times New Roman" w:eastAsia="黑体" w:cs="Times New Roman"/>
                <w:color w:val="FF0000"/>
                <w:sz w:val="28"/>
                <w:szCs w:val="28"/>
              </w:rPr>
            </w:pPr>
            <w:r>
              <w:rPr>
                <w:rFonts w:hint="default" w:ascii="Times New Roman" w:hAnsi="Times New Roman" w:eastAsia="黑体" w:cs="Times New Roman"/>
                <w:color w:val="000000"/>
                <w:sz w:val="28"/>
                <w:szCs w:val="28"/>
              </w:rPr>
              <w:t>安置补助费</w:t>
            </w:r>
          </w:p>
        </w:tc>
        <w:tc>
          <w:tcPr>
            <w:tcW w:w="3551" w:type="dxa"/>
            <w:vMerge w:val="continue"/>
            <w:vAlign w:val="center"/>
          </w:tcPr>
          <w:p>
            <w:pPr>
              <w:snapToGrid w:val="0"/>
              <w:jc w:val="left"/>
              <w:rPr>
                <w:rFonts w:hint="default" w:ascii="Times New Roman" w:hAnsi="Times New Roman" w:eastAsia="黑体" w:cs="Times New Roman"/>
                <w:color w:val="FF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25" w:hRule="atLeast"/>
          <w:jc w:val="center"/>
        </w:trPr>
        <w:tc>
          <w:tcPr>
            <w:tcW w:w="846"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Ⅰ</w:t>
            </w:r>
          </w:p>
        </w:tc>
        <w:tc>
          <w:tcPr>
            <w:tcW w:w="1375"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46600</w:t>
            </w:r>
          </w:p>
        </w:tc>
        <w:tc>
          <w:tcPr>
            <w:tcW w:w="1630"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13980</w:t>
            </w:r>
          </w:p>
        </w:tc>
        <w:tc>
          <w:tcPr>
            <w:tcW w:w="1630"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32620</w:t>
            </w:r>
          </w:p>
        </w:tc>
        <w:tc>
          <w:tcPr>
            <w:tcW w:w="3551" w:type="dxa"/>
            <w:vAlign w:val="center"/>
          </w:tcPr>
          <w:p>
            <w:pPr>
              <w:snapToGrid w:val="0"/>
              <w:jc w:val="lef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中和街道、乌杨街道、平凯街道、官庄街道。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25" w:hRule="atLeast"/>
          <w:jc w:val="center"/>
        </w:trPr>
        <w:tc>
          <w:tcPr>
            <w:tcW w:w="846"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Ⅱ</w:t>
            </w:r>
          </w:p>
        </w:tc>
        <w:tc>
          <w:tcPr>
            <w:tcW w:w="1375"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44200</w:t>
            </w:r>
          </w:p>
        </w:tc>
        <w:tc>
          <w:tcPr>
            <w:tcW w:w="1630"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13260</w:t>
            </w:r>
          </w:p>
        </w:tc>
        <w:tc>
          <w:tcPr>
            <w:tcW w:w="1630"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30940</w:t>
            </w:r>
          </w:p>
        </w:tc>
        <w:tc>
          <w:tcPr>
            <w:tcW w:w="3551" w:type="dxa"/>
            <w:vAlign w:val="center"/>
          </w:tcPr>
          <w:p>
            <w:pPr>
              <w:snapToGrid w:val="0"/>
              <w:jc w:val="lef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洪安镇、龙池镇、梅江镇、清溪场镇、石耶镇、雅江镇、溶溪镇、石堤镇。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25" w:hRule="atLeast"/>
          <w:jc w:val="center"/>
        </w:trPr>
        <w:tc>
          <w:tcPr>
            <w:tcW w:w="846"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eastAsia="宋体" w:cs="Times New Roman"/>
                <w:color w:val="000000"/>
                <w:sz w:val="28"/>
                <w:szCs w:val="28"/>
              </w:rPr>
              <w:t>Ⅲ</w:t>
            </w:r>
          </w:p>
        </w:tc>
        <w:tc>
          <w:tcPr>
            <w:tcW w:w="1375"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41300</w:t>
            </w:r>
          </w:p>
        </w:tc>
        <w:tc>
          <w:tcPr>
            <w:tcW w:w="1630"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12390</w:t>
            </w:r>
          </w:p>
        </w:tc>
        <w:tc>
          <w:tcPr>
            <w:tcW w:w="1630"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28910</w:t>
            </w:r>
          </w:p>
        </w:tc>
        <w:tc>
          <w:tcPr>
            <w:tcW w:w="3551" w:type="dxa"/>
            <w:vAlign w:val="center"/>
          </w:tcPr>
          <w:p>
            <w:pPr>
              <w:snapToGrid w:val="0"/>
              <w:jc w:val="lef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隘口镇、峨溶镇、兰桥镇、膏田镇、里仁镇、妙泉镇、宋农镇、钟灵镇、岑溪乡、大溪乡、海洋乡、溪口镇、孝溪乡、涌洞乡、中平乡。</w:t>
            </w:r>
          </w:p>
        </w:tc>
      </w:tr>
    </w:tbl>
    <w:p>
      <w:pPr>
        <w:spacing w:line="570" w:lineRule="exact"/>
        <w:rPr>
          <w:rFonts w:hint="default" w:ascii="Times New Roman" w:hAnsi="Times New Roman" w:cs="Times New Roman"/>
          <w:color w:val="FF0000"/>
          <w:szCs w:val="32"/>
        </w:rPr>
      </w:pPr>
      <w:r>
        <w:rPr>
          <w:rFonts w:hint="default" w:ascii="Times New Roman" w:hAnsi="Times New Roman" w:cs="Times New Roman"/>
          <w:color w:val="000000"/>
          <w:szCs w:val="32"/>
        </w:rPr>
        <w:t>说明：外省、外县“插花地”按土地所属省、县的标准执行。</w:t>
      </w:r>
    </w:p>
    <w:p>
      <w:pPr>
        <w:spacing w:line="570" w:lineRule="exact"/>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FF0000"/>
          <w:szCs w:val="32"/>
        </w:rPr>
        <w:br w:type="page"/>
      </w:r>
      <w:r>
        <w:rPr>
          <w:rFonts w:hint="default" w:ascii="Times New Roman" w:hAnsi="Times New Roman" w:eastAsia="黑体" w:cs="Times New Roman"/>
          <w:color w:val="000000"/>
          <w:sz w:val="32"/>
          <w:szCs w:val="32"/>
        </w:rPr>
        <w:t>附件2</w:t>
      </w:r>
    </w:p>
    <w:p>
      <w:pPr>
        <w:widowControl w:val="0"/>
        <w:spacing w:line="600" w:lineRule="exact"/>
        <w:jc w:val="center"/>
        <w:rPr>
          <w:rFonts w:hint="default" w:ascii="Times New Roman" w:hAnsi="Times New Roman" w:eastAsia="方正小标宋_GBK" w:cs="Times New Roman"/>
          <w:color w:val="000000"/>
          <w:sz w:val="44"/>
          <w:szCs w:val="44"/>
        </w:rPr>
      </w:pPr>
    </w:p>
    <w:p>
      <w:pPr>
        <w:widowControl w:val="0"/>
        <w:spacing w:line="60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秀山县农村房屋重置价格补偿标准</w:t>
      </w:r>
    </w:p>
    <w:p>
      <w:pPr>
        <w:widowControl w:val="0"/>
        <w:spacing w:line="600" w:lineRule="exact"/>
        <w:jc w:val="center"/>
        <w:rPr>
          <w:rFonts w:hint="default" w:ascii="Times New Roman" w:hAnsi="Times New Roman" w:eastAsia="方正小标宋_GBK" w:cs="Times New Roman"/>
          <w:color w:val="000000"/>
          <w:sz w:val="44"/>
          <w:szCs w:val="44"/>
        </w:rPr>
      </w:pPr>
    </w:p>
    <w:tbl>
      <w:tblPr>
        <w:tblStyle w:val="12"/>
        <w:tblW w:w="8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63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2840" w:type="dxa"/>
            <w:tcBorders>
              <w:top w:val="single" w:color="auto" w:sz="12" w:space="0"/>
              <w:left w:val="single" w:color="auto" w:sz="12" w:space="0"/>
              <w:tl2br w:val="single" w:color="auto" w:sz="4" w:space="0"/>
            </w:tcBorders>
            <w:vAlign w:val="top"/>
          </w:tcPr>
          <w:p>
            <w:pPr>
              <w:snapToGrid w:val="0"/>
              <w:ind w:right="320"/>
              <w:jc w:val="right"/>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 xml:space="preserve"> 结构</w:t>
            </w:r>
          </w:p>
          <w:p>
            <w:pPr>
              <w:snapToGrid w:val="0"/>
              <w:ind w:firstLine="280" w:firstLineChars="100"/>
              <w:jc w:val="left"/>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类别</w:t>
            </w:r>
          </w:p>
        </w:tc>
        <w:tc>
          <w:tcPr>
            <w:tcW w:w="3630" w:type="dxa"/>
            <w:tcBorders>
              <w:top w:val="single" w:color="auto" w:sz="12" w:space="0"/>
            </w:tcBorders>
            <w:vAlign w:val="center"/>
          </w:tcPr>
          <w:p>
            <w:pPr>
              <w:snapToGrid w:val="0"/>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房屋结构</w:t>
            </w:r>
          </w:p>
        </w:tc>
        <w:tc>
          <w:tcPr>
            <w:tcW w:w="2445" w:type="dxa"/>
            <w:tcBorders>
              <w:top w:val="single" w:color="auto" w:sz="12" w:space="0"/>
              <w:right w:val="single" w:color="auto" w:sz="12" w:space="0"/>
            </w:tcBorders>
            <w:vAlign w:val="center"/>
          </w:tcPr>
          <w:p>
            <w:pPr>
              <w:snapToGrid w:val="0"/>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标准</w:t>
            </w:r>
          </w:p>
          <w:p>
            <w:pPr>
              <w:snapToGrid w:val="0"/>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840" w:type="dxa"/>
            <w:tcBorders>
              <w:left w:val="single" w:color="auto" w:sz="12" w:space="0"/>
            </w:tcBorders>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钢砼结构</w:t>
            </w:r>
          </w:p>
        </w:tc>
        <w:tc>
          <w:tcPr>
            <w:tcW w:w="3630"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框架（剪力墙）现浇盖</w:t>
            </w:r>
          </w:p>
        </w:tc>
        <w:tc>
          <w:tcPr>
            <w:tcW w:w="2445" w:type="dxa"/>
            <w:tcBorders>
              <w:right w:val="single" w:color="auto" w:sz="12" w:space="0"/>
            </w:tcBorders>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2840" w:type="dxa"/>
            <w:tcBorders>
              <w:left w:val="single" w:color="auto" w:sz="12" w:space="0"/>
            </w:tcBorders>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砖混结构</w:t>
            </w:r>
          </w:p>
        </w:tc>
        <w:tc>
          <w:tcPr>
            <w:tcW w:w="3630"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砖墙（条石）预制盖</w:t>
            </w:r>
          </w:p>
        </w:tc>
        <w:tc>
          <w:tcPr>
            <w:tcW w:w="2445" w:type="dxa"/>
            <w:tcBorders>
              <w:right w:val="single" w:color="auto" w:sz="12" w:space="0"/>
            </w:tcBorders>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2840" w:type="dxa"/>
            <w:vMerge w:val="restart"/>
            <w:tcBorders>
              <w:left w:val="single" w:color="auto" w:sz="12" w:space="0"/>
            </w:tcBorders>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砖木结构</w:t>
            </w:r>
          </w:p>
        </w:tc>
        <w:tc>
          <w:tcPr>
            <w:tcW w:w="3630"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砖墙（木板）穿逗瓦盖</w:t>
            </w:r>
          </w:p>
        </w:tc>
        <w:tc>
          <w:tcPr>
            <w:tcW w:w="2445" w:type="dxa"/>
            <w:tcBorders>
              <w:right w:val="single" w:color="auto" w:sz="12" w:space="0"/>
            </w:tcBorders>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2840" w:type="dxa"/>
            <w:vMerge w:val="continue"/>
            <w:tcBorders>
              <w:left w:val="single" w:color="auto" w:sz="12" w:space="0"/>
            </w:tcBorders>
            <w:vAlign w:val="center"/>
          </w:tcPr>
          <w:p>
            <w:pPr>
              <w:snapToGrid w:val="0"/>
              <w:jc w:val="center"/>
              <w:rPr>
                <w:rFonts w:hint="default" w:ascii="Times New Roman" w:hAnsi="Times New Roman" w:cs="Times New Roman"/>
                <w:color w:val="000000"/>
                <w:sz w:val="28"/>
                <w:szCs w:val="28"/>
              </w:rPr>
            </w:pPr>
          </w:p>
        </w:tc>
        <w:tc>
          <w:tcPr>
            <w:tcW w:w="3630"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砖墙（片石）瓦盖</w:t>
            </w:r>
          </w:p>
        </w:tc>
        <w:tc>
          <w:tcPr>
            <w:tcW w:w="2445" w:type="dxa"/>
            <w:tcBorders>
              <w:right w:val="single" w:color="auto" w:sz="12" w:space="0"/>
            </w:tcBorders>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2840" w:type="dxa"/>
            <w:vMerge w:val="continue"/>
            <w:tcBorders>
              <w:left w:val="single" w:color="auto" w:sz="12" w:space="0"/>
            </w:tcBorders>
            <w:vAlign w:val="center"/>
          </w:tcPr>
          <w:p>
            <w:pPr>
              <w:snapToGrid w:val="0"/>
              <w:jc w:val="center"/>
              <w:rPr>
                <w:rFonts w:hint="default" w:ascii="Times New Roman" w:hAnsi="Times New Roman" w:cs="Times New Roman"/>
                <w:color w:val="000000"/>
                <w:sz w:val="28"/>
                <w:szCs w:val="28"/>
              </w:rPr>
            </w:pPr>
          </w:p>
        </w:tc>
        <w:tc>
          <w:tcPr>
            <w:tcW w:w="3630"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砖墙石棉瓦盖（含油毡、玻纤瓦、彩钢盖）</w:t>
            </w:r>
          </w:p>
        </w:tc>
        <w:tc>
          <w:tcPr>
            <w:tcW w:w="2445" w:type="dxa"/>
            <w:tcBorders>
              <w:right w:val="single" w:color="auto" w:sz="12" w:space="0"/>
            </w:tcBorders>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2840" w:type="dxa"/>
            <w:tcBorders>
              <w:left w:val="single" w:color="auto" w:sz="12" w:space="0"/>
            </w:tcBorders>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木结构</w:t>
            </w:r>
          </w:p>
        </w:tc>
        <w:tc>
          <w:tcPr>
            <w:tcW w:w="3630"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木柱、木墙、瓦盖</w:t>
            </w:r>
          </w:p>
        </w:tc>
        <w:tc>
          <w:tcPr>
            <w:tcW w:w="2445" w:type="dxa"/>
            <w:tcBorders>
              <w:right w:val="single" w:color="auto" w:sz="12" w:space="0"/>
            </w:tcBorders>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2840" w:type="dxa"/>
            <w:vMerge w:val="restart"/>
            <w:tcBorders>
              <w:left w:val="single" w:color="auto" w:sz="12" w:space="0"/>
            </w:tcBorders>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土墙结构</w:t>
            </w:r>
          </w:p>
        </w:tc>
        <w:tc>
          <w:tcPr>
            <w:tcW w:w="3630"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土墙瓦盖</w:t>
            </w:r>
          </w:p>
        </w:tc>
        <w:tc>
          <w:tcPr>
            <w:tcW w:w="2445" w:type="dxa"/>
            <w:tcBorders>
              <w:right w:val="single" w:color="auto" w:sz="12" w:space="0"/>
            </w:tcBorders>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2840" w:type="dxa"/>
            <w:vMerge w:val="continue"/>
            <w:tcBorders>
              <w:left w:val="single" w:color="auto" w:sz="12" w:space="0"/>
            </w:tcBorders>
            <w:vAlign w:val="center"/>
          </w:tcPr>
          <w:p>
            <w:pPr>
              <w:snapToGrid w:val="0"/>
              <w:jc w:val="center"/>
              <w:rPr>
                <w:rFonts w:hint="default" w:ascii="Times New Roman" w:hAnsi="Times New Roman" w:cs="Times New Roman"/>
                <w:color w:val="000000"/>
                <w:sz w:val="28"/>
                <w:szCs w:val="28"/>
              </w:rPr>
            </w:pPr>
          </w:p>
        </w:tc>
        <w:tc>
          <w:tcPr>
            <w:tcW w:w="3630"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石棉瓦、玻纤瓦盖</w:t>
            </w:r>
          </w:p>
        </w:tc>
        <w:tc>
          <w:tcPr>
            <w:tcW w:w="2445" w:type="dxa"/>
            <w:tcBorders>
              <w:right w:val="single" w:color="auto" w:sz="12" w:space="0"/>
            </w:tcBorders>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vMerge w:val="restart"/>
            <w:tcBorders>
              <w:left w:val="single" w:color="auto" w:sz="12" w:space="0"/>
            </w:tcBorders>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简易结构</w:t>
            </w:r>
          </w:p>
        </w:tc>
        <w:tc>
          <w:tcPr>
            <w:tcW w:w="3630"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砖柱（石柱、木柱）石棉瓦盖（油毡、玻纤瓦）</w:t>
            </w:r>
          </w:p>
        </w:tc>
        <w:tc>
          <w:tcPr>
            <w:tcW w:w="2445" w:type="dxa"/>
            <w:tcBorders>
              <w:right w:val="single" w:color="auto" w:sz="12" w:space="0"/>
            </w:tcBorders>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840" w:type="dxa"/>
            <w:vMerge w:val="continue"/>
            <w:tcBorders>
              <w:left w:val="single" w:color="auto" w:sz="12" w:space="0"/>
            </w:tcBorders>
            <w:vAlign w:val="center"/>
          </w:tcPr>
          <w:p>
            <w:pPr>
              <w:snapToGrid w:val="0"/>
              <w:jc w:val="center"/>
              <w:rPr>
                <w:rFonts w:hint="default" w:ascii="Times New Roman" w:hAnsi="Times New Roman" w:cs="Times New Roman"/>
                <w:color w:val="000000"/>
                <w:sz w:val="28"/>
                <w:szCs w:val="28"/>
              </w:rPr>
            </w:pPr>
          </w:p>
        </w:tc>
        <w:tc>
          <w:tcPr>
            <w:tcW w:w="3630"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简易棚房</w:t>
            </w:r>
          </w:p>
        </w:tc>
        <w:tc>
          <w:tcPr>
            <w:tcW w:w="2445" w:type="dxa"/>
            <w:tcBorders>
              <w:right w:val="single" w:color="auto" w:sz="12" w:space="0"/>
            </w:tcBorders>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840" w:type="dxa"/>
            <w:tcBorders>
              <w:left w:val="single" w:color="auto" w:sz="12" w:space="0"/>
              <w:bottom w:val="single" w:color="auto" w:sz="12" w:space="0"/>
            </w:tcBorders>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活动板房</w:t>
            </w:r>
          </w:p>
        </w:tc>
        <w:tc>
          <w:tcPr>
            <w:tcW w:w="3630" w:type="dxa"/>
            <w:tcBorders>
              <w:bottom w:val="single" w:color="auto" w:sz="12" w:space="0"/>
            </w:tcBorders>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钢铝柱墙</w:t>
            </w:r>
          </w:p>
        </w:tc>
        <w:tc>
          <w:tcPr>
            <w:tcW w:w="2445" w:type="dxa"/>
            <w:tcBorders>
              <w:bottom w:val="single" w:color="auto" w:sz="12" w:space="0"/>
              <w:right w:val="single" w:color="auto" w:sz="12" w:space="0"/>
            </w:tcBorders>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350</w:t>
            </w:r>
          </w:p>
        </w:tc>
      </w:tr>
    </w:tbl>
    <w:p>
      <w:pPr>
        <w:spacing w:line="330" w:lineRule="exact"/>
        <w:jc w:val="lef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说明：</w:t>
      </w:r>
    </w:p>
    <w:p>
      <w:pPr>
        <w:spacing w:line="330" w:lineRule="exact"/>
        <w:jc w:val="lef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1.房屋层高在2.2米以下（不含2.2米），1.5米以上（含1.5米）的，按同类房屋标准的70%计算补偿。</w:t>
      </w:r>
    </w:p>
    <w:p>
      <w:pPr>
        <w:spacing w:line="330" w:lineRule="exact"/>
        <w:jc w:val="lef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2.房屋层高在1.5米以下（不含1.5米），1米以上（含1米）的，按同类房屋标准的50%计算补偿。</w:t>
      </w:r>
    </w:p>
    <w:p>
      <w:pPr>
        <w:spacing w:line="330" w:lineRule="exact"/>
        <w:jc w:val="lef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3.房屋层高在1米以下（不含1米）的，按同类房屋标准的20%计算补偿。</w:t>
      </w:r>
    </w:p>
    <w:p>
      <w:pPr>
        <w:spacing w:line="330" w:lineRule="exact"/>
        <w:jc w:val="lef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4.外阳台按同类房屋的50%计算。</w:t>
      </w:r>
    </w:p>
    <w:p>
      <w:pPr>
        <w:spacing w:line="330" w:lineRule="exact"/>
        <w:jc w:val="lef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5.房屋面积以外墙尺寸计算。</w:t>
      </w:r>
    </w:p>
    <w:p>
      <w:pPr>
        <w:spacing w:line="57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附件3</w:t>
      </w:r>
    </w:p>
    <w:p>
      <w:pPr>
        <w:widowControl w:val="0"/>
        <w:snapToGrid w:val="0"/>
        <w:jc w:val="center"/>
        <w:rPr>
          <w:rFonts w:hint="default" w:ascii="Times New Roman" w:hAnsi="Times New Roman" w:eastAsia="方正小标宋_GBK" w:cs="Times New Roman"/>
          <w:sz w:val="44"/>
          <w:szCs w:val="44"/>
        </w:rPr>
      </w:pPr>
    </w:p>
    <w:p>
      <w:pPr>
        <w:widowControl w:val="0"/>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秀山县农村房屋装修装饰等补助标准</w:t>
      </w:r>
    </w:p>
    <w:p>
      <w:pPr>
        <w:widowControl w:val="0"/>
        <w:snapToGrid w:val="0"/>
        <w:jc w:val="center"/>
        <w:rPr>
          <w:rFonts w:hint="default" w:ascii="Times New Roman" w:hAnsi="Times New Roman" w:eastAsia="方正小标宋_GBK" w:cs="Times New Roman"/>
          <w:sz w:val="44"/>
          <w:szCs w:val="44"/>
        </w:rPr>
      </w:pPr>
    </w:p>
    <w:tbl>
      <w:tblPr>
        <w:tblStyle w:val="12"/>
        <w:tblW w:w="8815" w:type="dxa"/>
        <w:jc w:val="center"/>
        <w:tblInd w:w="0" w:type="dxa"/>
        <w:tblLayout w:type="fixed"/>
        <w:tblCellMar>
          <w:top w:w="15" w:type="dxa"/>
          <w:left w:w="15" w:type="dxa"/>
          <w:bottom w:w="15" w:type="dxa"/>
          <w:right w:w="15" w:type="dxa"/>
        </w:tblCellMar>
      </w:tblPr>
      <w:tblGrid>
        <w:gridCol w:w="866"/>
        <w:gridCol w:w="3801"/>
        <w:gridCol w:w="1018"/>
        <w:gridCol w:w="2410"/>
        <w:gridCol w:w="720"/>
      </w:tblGrid>
      <w:tr>
        <w:tblPrEx>
          <w:tblLayout w:type="fixed"/>
          <w:tblCellMar>
            <w:top w:w="15" w:type="dxa"/>
            <w:left w:w="15" w:type="dxa"/>
            <w:bottom w:w="15" w:type="dxa"/>
            <w:right w:w="15" w:type="dxa"/>
          </w:tblCellMar>
        </w:tblPrEx>
        <w:trPr>
          <w:trHeight w:val="20" w:hRule="atLeast"/>
          <w:jc w:val="center"/>
        </w:trPr>
        <w:tc>
          <w:tcPr>
            <w:tcW w:w="866" w:type="dxa"/>
            <w:tcBorders>
              <w:top w:val="single" w:color="auto" w:sz="12" w:space="0"/>
              <w:left w:val="single" w:color="auto" w:sz="12" w:space="0"/>
              <w:right w:val="single" w:color="000000" w:sz="4" w:space="0"/>
            </w:tcBorders>
            <w:shd w:val="clear" w:color="auto" w:fill="auto"/>
            <w:vAlign w:val="center"/>
          </w:tcPr>
          <w:p>
            <w:pPr>
              <w:snapToGrid w:val="0"/>
              <w:jc w:val="center"/>
              <w:textAlignment w:val="center"/>
              <w:rPr>
                <w:rFonts w:hint="default" w:ascii="Times New Roman" w:hAnsi="Times New Roman" w:eastAsia="黑体" w:cs="Times New Roman"/>
                <w:color w:val="000000"/>
                <w:sz w:val="23"/>
                <w:szCs w:val="21"/>
              </w:rPr>
            </w:pPr>
            <w:r>
              <w:rPr>
                <w:rFonts w:hint="default" w:ascii="Times New Roman" w:hAnsi="Times New Roman" w:eastAsia="黑体" w:cs="Times New Roman"/>
                <w:color w:val="000000"/>
                <w:kern w:val="0"/>
                <w:sz w:val="23"/>
                <w:szCs w:val="21"/>
                <w:lang w:bidi="ar"/>
              </w:rPr>
              <w:t>类别</w:t>
            </w:r>
          </w:p>
        </w:tc>
        <w:tc>
          <w:tcPr>
            <w:tcW w:w="3801" w:type="dxa"/>
            <w:tcBorders>
              <w:top w:val="single" w:color="auto" w:sz="12" w:space="0"/>
              <w:left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eastAsia="黑体" w:cs="Times New Roman"/>
                <w:color w:val="000000"/>
                <w:sz w:val="23"/>
                <w:szCs w:val="21"/>
              </w:rPr>
            </w:pPr>
            <w:r>
              <w:rPr>
                <w:rFonts w:hint="default" w:ascii="Times New Roman" w:hAnsi="Times New Roman" w:eastAsia="黑体" w:cs="Times New Roman"/>
                <w:color w:val="000000"/>
                <w:kern w:val="0"/>
                <w:sz w:val="23"/>
                <w:szCs w:val="21"/>
                <w:lang w:bidi="ar"/>
              </w:rPr>
              <w:t>名称及规格</w:t>
            </w:r>
          </w:p>
        </w:tc>
        <w:tc>
          <w:tcPr>
            <w:tcW w:w="1018" w:type="dxa"/>
            <w:tcBorders>
              <w:top w:val="single" w:color="auto" w:sz="12" w:space="0"/>
              <w:left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eastAsia="黑体" w:cs="Times New Roman"/>
                <w:color w:val="000000"/>
                <w:sz w:val="23"/>
                <w:szCs w:val="21"/>
              </w:rPr>
            </w:pPr>
            <w:r>
              <w:rPr>
                <w:rFonts w:hint="default" w:ascii="Times New Roman" w:hAnsi="Times New Roman" w:eastAsia="黑体" w:cs="Times New Roman"/>
                <w:color w:val="000000"/>
                <w:kern w:val="0"/>
                <w:sz w:val="23"/>
                <w:szCs w:val="21"/>
                <w:lang w:bidi="ar"/>
              </w:rPr>
              <w:t>单位</w:t>
            </w:r>
          </w:p>
        </w:tc>
        <w:tc>
          <w:tcPr>
            <w:tcW w:w="2410" w:type="dxa"/>
            <w:tcBorders>
              <w:top w:val="single" w:color="auto" w:sz="12" w:space="0"/>
              <w:left w:val="single" w:color="000000" w:sz="4" w:space="0"/>
              <w:right w:val="single" w:color="auto" w:sz="4" w:space="0"/>
            </w:tcBorders>
            <w:shd w:val="clear" w:color="auto" w:fill="FFFFFF"/>
            <w:vAlign w:val="center"/>
          </w:tcPr>
          <w:p>
            <w:pPr>
              <w:snapToGrid w:val="0"/>
              <w:jc w:val="center"/>
              <w:textAlignment w:val="center"/>
              <w:rPr>
                <w:rFonts w:hint="default" w:ascii="Times New Roman" w:hAnsi="Times New Roman" w:eastAsia="黑体" w:cs="Times New Roman"/>
                <w:color w:val="000000"/>
                <w:sz w:val="23"/>
                <w:szCs w:val="21"/>
              </w:rPr>
            </w:pPr>
            <w:r>
              <w:rPr>
                <w:rFonts w:hint="default" w:ascii="Times New Roman" w:hAnsi="Times New Roman" w:eastAsia="黑体" w:cs="Times New Roman"/>
                <w:color w:val="000000"/>
                <w:kern w:val="0"/>
                <w:sz w:val="23"/>
                <w:szCs w:val="21"/>
                <w:lang w:bidi="ar"/>
              </w:rPr>
              <w:t>标准（元）</w:t>
            </w:r>
          </w:p>
        </w:tc>
        <w:tc>
          <w:tcPr>
            <w:tcW w:w="720" w:type="dxa"/>
            <w:tcBorders>
              <w:top w:val="single" w:color="auto" w:sz="12" w:space="0"/>
              <w:left w:val="single" w:color="auto" w:sz="4" w:space="0"/>
              <w:bottom w:val="single" w:color="auto" w:sz="4" w:space="0"/>
              <w:right w:val="single" w:color="auto" w:sz="12" w:space="0"/>
            </w:tcBorders>
            <w:vAlign w:val="center"/>
          </w:tcPr>
          <w:p>
            <w:pPr>
              <w:snapToGrid w:val="0"/>
              <w:jc w:val="center"/>
              <w:textAlignment w:val="center"/>
              <w:rPr>
                <w:rFonts w:hint="default" w:ascii="Times New Roman" w:hAnsi="Times New Roman" w:eastAsia="黑体" w:cs="Times New Roman"/>
                <w:color w:val="000000"/>
                <w:sz w:val="23"/>
                <w:szCs w:val="21"/>
              </w:rPr>
            </w:pPr>
            <w:r>
              <w:rPr>
                <w:rFonts w:hint="default" w:ascii="Times New Roman" w:hAnsi="Times New Roman" w:eastAsia="黑体" w:cs="Times New Roman"/>
                <w:color w:val="000000"/>
                <w:kern w:val="0"/>
                <w:sz w:val="23"/>
                <w:szCs w:val="21"/>
                <w:lang w:bidi="ar"/>
              </w:rPr>
              <w:t>备注</w:t>
            </w:r>
          </w:p>
        </w:tc>
      </w:tr>
      <w:tr>
        <w:tblPrEx>
          <w:tblLayout w:type="fixed"/>
          <w:tblCellMar>
            <w:top w:w="15" w:type="dxa"/>
            <w:left w:w="15" w:type="dxa"/>
            <w:bottom w:w="15" w:type="dxa"/>
            <w:right w:w="15" w:type="dxa"/>
          </w:tblCellMar>
        </w:tblPrEx>
        <w:trPr>
          <w:trHeight w:val="20" w:hRule="atLeast"/>
          <w:jc w:val="center"/>
        </w:trPr>
        <w:tc>
          <w:tcPr>
            <w:tcW w:w="866" w:type="dxa"/>
            <w:vMerge w:val="restart"/>
            <w:tcBorders>
              <w:top w:val="single" w:color="000000" w:sz="4" w:space="0"/>
              <w:left w:val="single" w:color="auto" w:sz="12"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装修装饰类</w:t>
            </w: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水磨石地面</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平方米</w:t>
            </w:r>
          </w:p>
        </w:tc>
        <w:tc>
          <w:tcPr>
            <w:tcW w:w="2410" w:type="dxa"/>
            <w:tcBorders>
              <w:top w:val="single" w:color="000000" w:sz="4" w:space="0"/>
              <w:left w:val="single" w:color="000000" w:sz="4" w:space="0"/>
              <w:bottom w:val="single" w:color="000000" w:sz="4" w:space="0"/>
              <w:right w:val="single" w:color="auto"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65</w:t>
            </w:r>
          </w:p>
        </w:tc>
        <w:tc>
          <w:tcPr>
            <w:tcW w:w="720" w:type="dxa"/>
            <w:tcBorders>
              <w:top w:val="single" w:color="auto" w:sz="4" w:space="0"/>
              <w:left w:val="single" w:color="auto" w:sz="4" w:space="0"/>
              <w:bottom w:val="single" w:color="auto" w:sz="4" w:space="0"/>
              <w:right w:val="single" w:color="auto" w:sz="12" w:space="0"/>
            </w:tcBorders>
            <w:vAlign w:val="center"/>
          </w:tcPr>
          <w:p>
            <w:pPr>
              <w:snapToGrid w:val="0"/>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rFonts w:hint="default" w:ascii="Times New Roman" w:hAnsi="Times New Roman" w:cs="Times New Roman"/>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陶瓷地砖：40厘米以下、50—60厘米、80厘米以上</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平方米</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60、80、95</w:t>
            </w:r>
          </w:p>
        </w:tc>
        <w:tc>
          <w:tcPr>
            <w:tcW w:w="720" w:type="dxa"/>
            <w:tcBorders>
              <w:top w:val="single" w:color="auto" w:sz="4" w:space="0"/>
              <w:left w:val="single" w:color="000000" w:sz="4" w:space="0"/>
              <w:bottom w:val="single" w:color="000000" w:sz="4" w:space="0"/>
              <w:right w:val="single" w:color="auto" w:sz="12" w:space="0"/>
            </w:tcBorders>
            <w:vAlign w:val="center"/>
          </w:tcPr>
          <w:p>
            <w:pPr>
              <w:snapToGrid w:val="0"/>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rFonts w:hint="default" w:ascii="Times New Roman" w:hAnsi="Times New Roman" w:cs="Times New Roman"/>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实木地板</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平方米</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120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rFonts w:hint="default" w:ascii="Times New Roman" w:hAnsi="Times New Roman" w:cs="Times New Roman"/>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强化木地板</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平方米</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100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rFonts w:hint="default" w:ascii="Times New Roman" w:hAnsi="Times New Roman" w:cs="Times New Roman"/>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室内墙砖</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平方米</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55</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rFonts w:hint="default" w:ascii="Times New Roman" w:hAnsi="Times New Roman" w:cs="Times New Roman"/>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墙纸、墙漆、墙布</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平方米</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30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rFonts w:hint="default" w:ascii="Times New Roman" w:hAnsi="Times New Roman" w:cs="Times New Roman"/>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电视墙：大理石、普通</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个</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2500、1500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rFonts w:hint="default" w:ascii="Times New Roman" w:hAnsi="Times New Roman" w:cs="Times New Roman"/>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集成吊顶：铝材、塑材和其他</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平方米</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80、40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rFonts w:hint="default" w:ascii="Times New Roman" w:hAnsi="Times New Roman" w:cs="Times New Roman"/>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套装门、普通门</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套</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550、240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rFonts w:hint="default" w:ascii="Times New Roman" w:hAnsi="Times New Roman" w:cs="Times New Roman"/>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防盗门</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个</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650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rFonts w:hint="default" w:ascii="Times New Roman" w:hAnsi="Times New Roman" w:cs="Times New Roman"/>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sz w:val="23"/>
                <w:szCs w:val="21"/>
              </w:rPr>
            </w:pPr>
            <w:r>
              <w:rPr>
                <w:rFonts w:hint="default" w:ascii="Times New Roman" w:hAnsi="Times New Roman" w:cs="Times New Roman"/>
                <w:color w:val="000000"/>
                <w:sz w:val="23"/>
                <w:szCs w:val="21"/>
              </w:rPr>
              <w:t>包窗</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个</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150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rFonts w:hint="default" w:ascii="Times New Roman" w:hAnsi="Times New Roman" w:cs="Times New Roman"/>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拉闸门、卷闸门、玻璃推拉门</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平方米</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120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rFonts w:hint="default" w:ascii="Times New Roman" w:hAnsi="Times New Roman" w:cs="Times New Roman"/>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固定壁柜</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米</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450</w:t>
            </w:r>
          </w:p>
        </w:tc>
        <w:tc>
          <w:tcPr>
            <w:tcW w:w="720" w:type="dxa"/>
            <w:tcBorders>
              <w:top w:val="single" w:color="000000" w:sz="4" w:space="0"/>
              <w:left w:val="single" w:color="000000" w:sz="4" w:space="0"/>
              <w:bottom w:val="single" w:color="000000" w:sz="4" w:space="0"/>
              <w:right w:val="single" w:color="auto" w:sz="12" w:space="0"/>
            </w:tcBorders>
            <w:vAlign w:val="top"/>
          </w:tcPr>
          <w:p>
            <w:pPr>
              <w:snapToGrid w:val="0"/>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rFonts w:hint="default" w:ascii="Times New Roman" w:hAnsi="Times New Roman" w:cs="Times New Roman"/>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楼梯扶手</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米</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90</w:t>
            </w:r>
          </w:p>
        </w:tc>
        <w:tc>
          <w:tcPr>
            <w:tcW w:w="720" w:type="dxa"/>
            <w:tcBorders>
              <w:top w:val="single" w:color="000000" w:sz="4" w:space="0"/>
              <w:left w:val="single" w:color="000000" w:sz="4" w:space="0"/>
              <w:bottom w:val="single" w:color="000000" w:sz="4" w:space="0"/>
              <w:right w:val="single" w:color="auto" w:sz="12" w:space="0"/>
            </w:tcBorders>
            <w:vAlign w:val="top"/>
          </w:tcPr>
          <w:p>
            <w:pPr>
              <w:snapToGrid w:val="0"/>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rFonts w:hint="default" w:ascii="Times New Roman" w:hAnsi="Times New Roman" w:cs="Times New Roman"/>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固定洗脸盆、独立固定洗衣槽</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个</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200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textAlignment w:val="center"/>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rFonts w:hint="default" w:ascii="Times New Roman" w:hAnsi="Times New Roman" w:cs="Times New Roman"/>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固定案板碗柜（现浇结构）</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立方米</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400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jc w:val="center"/>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rFonts w:hint="default" w:ascii="Times New Roman" w:hAnsi="Times New Roman" w:cs="Times New Roman"/>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整体橱柜</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米</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650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jc w:val="center"/>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rFonts w:hint="default" w:ascii="Times New Roman" w:hAnsi="Times New Roman" w:cs="Times New Roman"/>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防盗窗</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平方米</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80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jc w:val="center"/>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rFonts w:hint="default" w:ascii="Times New Roman" w:hAnsi="Times New Roman" w:cs="Times New Roman"/>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浴缸</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个</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600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jc w:val="center"/>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rFonts w:hint="default" w:ascii="Times New Roman" w:hAnsi="Times New Roman" w:cs="Times New Roman"/>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坐便器（马桶）</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个</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300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jc w:val="center"/>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rFonts w:hint="default" w:ascii="Times New Roman" w:hAnsi="Times New Roman" w:cs="Times New Roman"/>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便槽</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个</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100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jc w:val="center"/>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rFonts w:hint="default" w:ascii="Times New Roman" w:hAnsi="Times New Roman" w:cs="Times New Roman"/>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kern w:val="0"/>
                <w:sz w:val="23"/>
                <w:szCs w:val="21"/>
                <w:lang w:bidi="ar"/>
              </w:rPr>
            </w:pPr>
            <w:r>
              <w:rPr>
                <w:rFonts w:hint="default" w:ascii="Times New Roman" w:hAnsi="Times New Roman" w:cs="Times New Roman"/>
                <w:color w:val="000000"/>
                <w:kern w:val="0"/>
                <w:sz w:val="23"/>
                <w:szCs w:val="21"/>
                <w:lang w:bidi="ar"/>
              </w:rPr>
              <w:t>固定灶：三眼及以上、两眼及以下</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kern w:val="0"/>
                <w:sz w:val="23"/>
                <w:szCs w:val="21"/>
                <w:lang w:bidi="ar"/>
              </w:rPr>
            </w:pPr>
            <w:r>
              <w:rPr>
                <w:rFonts w:hint="default" w:ascii="Times New Roman" w:hAnsi="Times New Roman" w:cs="Times New Roman"/>
                <w:color w:val="000000"/>
                <w:kern w:val="0"/>
                <w:sz w:val="23"/>
                <w:szCs w:val="21"/>
                <w:lang w:bidi="ar"/>
              </w:rPr>
              <w:t>个</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kern w:val="0"/>
                <w:sz w:val="23"/>
                <w:szCs w:val="21"/>
                <w:lang w:bidi="ar"/>
              </w:rPr>
            </w:pPr>
            <w:r>
              <w:rPr>
                <w:rFonts w:hint="default" w:ascii="Times New Roman" w:hAnsi="Times New Roman" w:cs="Times New Roman"/>
                <w:color w:val="000000"/>
                <w:kern w:val="0"/>
                <w:sz w:val="23"/>
                <w:szCs w:val="21"/>
                <w:lang w:bidi="ar"/>
              </w:rPr>
              <w:t>450、350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jc w:val="center"/>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continue"/>
            <w:tcBorders>
              <w:top w:val="single" w:color="000000" w:sz="4" w:space="0"/>
              <w:left w:val="single" w:color="auto" w:sz="12" w:space="0"/>
              <w:bottom w:val="single" w:color="000000" w:sz="4" w:space="0"/>
              <w:right w:val="single" w:color="000000" w:sz="4" w:space="0"/>
            </w:tcBorders>
            <w:vAlign w:val="center"/>
          </w:tcPr>
          <w:p>
            <w:pPr>
              <w:snapToGrid w:val="0"/>
              <w:jc w:val="center"/>
              <w:rPr>
                <w:rFonts w:hint="default" w:ascii="Times New Roman" w:hAnsi="Times New Roman" w:cs="Times New Roman"/>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闭路电视、电话、宽带</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户</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100</w:t>
            </w:r>
          </w:p>
        </w:tc>
        <w:tc>
          <w:tcPr>
            <w:tcW w:w="720" w:type="dxa"/>
            <w:tcBorders>
              <w:top w:val="single" w:color="000000" w:sz="4" w:space="0"/>
              <w:left w:val="single" w:color="000000" w:sz="4" w:space="0"/>
              <w:bottom w:val="single" w:color="000000" w:sz="4" w:space="0"/>
              <w:right w:val="single" w:color="auto" w:sz="12" w:space="0"/>
            </w:tcBorders>
            <w:vAlign w:val="top"/>
          </w:tcPr>
          <w:p>
            <w:pPr>
              <w:snapToGrid w:val="0"/>
              <w:textAlignment w:val="top"/>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restart"/>
            <w:tcBorders>
              <w:top w:val="single" w:color="000000" w:sz="4" w:space="0"/>
              <w:left w:val="single" w:color="auto" w:sz="12"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搬迁移装类</w:t>
            </w: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kern w:val="0"/>
                <w:sz w:val="23"/>
                <w:szCs w:val="21"/>
                <w:lang w:bidi="ar"/>
              </w:rPr>
            </w:pPr>
            <w:r>
              <w:rPr>
                <w:rFonts w:hint="default" w:ascii="Times New Roman" w:hAnsi="Times New Roman" w:cs="Times New Roman"/>
                <w:color w:val="000000"/>
                <w:kern w:val="0"/>
                <w:sz w:val="23"/>
                <w:szCs w:val="21"/>
                <w:lang w:bidi="ar"/>
              </w:rPr>
              <w:t>热水器、油烟机</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kern w:val="0"/>
                <w:sz w:val="23"/>
                <w:szCs w:val="21"/>
                <w:lang w:bidi="ar"/>
              </w:rPr>
            </w:pPr>
            <w:r>
              <w:rPr>
                <w:rFonts w:hint="default" w:ascii="Times New Roman" w:hAnsi="Times New Roman" w:cs="Times New Roman"/>
                <w:color w:val="000000"/>
                <w:kern w:val="0"/>
                <w:sz w:val="23"/>
                <w:szCs w:val="21"/>
                <w:lang w:bidi="ar"/>
              </w:rPr>
              <w:t>台</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kern w:val="0"/>
                <w:sz w:val="23"/>
                <w:szCs w:val="21"/>
                <w:lang w:bidi="ar"/>
              </w:rPr>
            </w:pPr>
            <w:r>
              <w:rPr>
                <w:rFonts w:hint="default" w:ascii="Times New Roman" w:hAnsi="Times New Roman" w:cs="Times New Roman"/>
                <w:color w:val="000000"/>
                <w:kern w:val="0"/>
                <w:sz w:val="23"/>
                <w:szCs w:val="21"/>
                <w:lang w:bidi="ar"/>
              </w:rPr>
              <w:t>100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textAlignment w:val="top"/>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continue"/>
            <w:tcBorders>
              <w:left w:val="single" w:color="auto" w:sz="12"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p>
        </w:tc>
        <w:tc>
          <w:tcPr>
            <w:tcW w:w="380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太阳能、空调</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台</w:t>
            </w:r>
          </w:p>
        </w:tc>
        <w:tc>
          <w:tcPr>
            <w:tcW w:w="241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400</w:t>
            </w:r>
          </w:p>
        </w:tc>
        <w:tc>
          <w:tcPr>
            <w:tcW w:w="720" w:type="dxa"/>
            <w:tcBorders>
              <w:top w:val="single" w:color="000000" w:sz="4" w:space="0"/>
              <w:left w:val="single" w:color="000000" w:sz="4" w:space="0"/>
              <w:bottom w:val="single" w:color="000000" w:sz="4" w:space="0"/>
              <w:right w:val="single" w:color="auto" w:sz="12" w:space="0"/>
            </w:tcBorders>
            <w:vAlign w:val="center"/>
          </w:tcPr>
          <w:p>
            <w:pPr>
              <w:snapToGrid w:val="0"/>
              <w:textAlignment w:val="top"/>
              <w:rPr>
                <w:rFonts w:hint="default" w:ascii="Times New Roman" w:hAnsi="Times New Roman" w:cs="Times New Roman"/>
                <w:color w:val="000000"/>
                <w:sz w:val="23"/>
                <w:szCs w:val="21"/>
              </w:rPr>
            </w:pPr>
          </w:p>
        </w:tc>
      </w:tr>
      <w:tr>
        <w:tblPrEx>
          <w:tblLayout w:type="fixed"/>
          <w:tblCellMar>
            <w:top w:w="15" w:type="dxa"/>
            <w:left w:w="15" w:type="dxa"/>
            <w:bottom w:w="15" w:type="dxa"/>
            <w:right w:w="15" w:type="dxa"/>
          </w:tblCellMar>
        </w:tblPrEx>
        <w:trPr>
          <w:trHeight w:val="20" w:hRule="atLeast"/>
          <w:jc w:val="center"/>
        </w:trPr>
        <w:tc>
          <w:tcPr>
            <w:tcW w:w="866" w:type="dxa"/>
            <w:vMerge w:val="continue"/>
            <w:tcBorders>
              <w:left w:val="single" w:color="auto" w:sz="12" w:space="0"/>
              <w:bottom w:val="single" w:color="auto" w:sz="12" w:space="0"/>
              <w:right w:val="single" w:color="000000" w:sz="4" w:space="0"/>
            </w:tcBorders>
            <w:vAlign w:val="center"/>
          </w:tcPr>
          <w:p>
            <w:pPr>
              <w:snapToGrid w:val="0"/>
              <w:jc w:val="center"/>
              <w:rPr>
                <w:rFonts w:hint="default" w:ascii="Times New Roman" w:hAnsi="Times New Roman" w:cs="Times New Roman"/>
                <w:color w:val="000000"/>
                <w:sz w:val="23"/>
                <w:szCs w:val="21"/>
              </w:rPr>
            </w:pPr>
          </w:p>
        </w:tc>
        <w:tc>
          <w:tcPr>
            <w:tcW w:w="3801" w:type="dxa"/>
            <w:tcBorders>
              <w:top w:val="single" w:color="000000" w:sz="4" w:space="0"/>
              <w:left w:val="single" w:color="000000" w:sz="4" w:space="0"/>
              <w:bottom w:val="single" w:color="auto" w:sz="12" w:space="0"/>
              <w:right w:val="single" w:color="000000" w:sz="4" w:space="0"/>
            </w:tcBorders>
            <w:vAlign w:val="center"/>
          </w:tcPr>
          <w:p>
            <w:pPr>
              <w:snapToGrid w:val="0"/>
              <w:jc w:val="left"/>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天然气移装费</w:t>
            </w:r>
          </w:p>
        </w:tc>
        <w:tc>
          <w:tcPr>
            <w:tcW w:w="1018" w:type="dxa"/>
            <w:tcBorders>
              <w:top w:val="single" w:color="000000" w:sz="4" w:space="0"/>
              <w:left w:val="single" w:color="000000" w:sz="4" w:space="0"/>
              <w:bottom w:val="single" w:color="auto" w:sz="12" w:space="0"/>
              <w:right w:val="single" w:color="000000" w:sz="4" w:space="0"/>
            </w:tcBorders>
            <w:vAlign w:val="center"/>
          </w:tcPr>
          <w:p>
            <w:pPr>
              <w:snapToGrid w:val="0"/>
              <w:jc w:val="center"/>
              <w:textAlignment w:val="center"/>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户</w:t>
            </w:r>
          </w:p>
        </w:tc>
        <w:tc>
          <w:tcPr>
            <w:tcW w:w="2410" w:type="dxa"/>
            <w:tcBorders>
              <w:top w:val="single" w:color="000000" w:sz="4" w:space="0"/>
              <w:left w:val="single" w:color="000000" w:sz="4" w:space="0"/>
              <w:bottom w:val="single" w:color="auto" w:sz="12" w:space="0"/>
              <w:right w:val="single" w:color="000000" w:sz="4" w:space="0"/>
            </w:tcBorders>
            <w:vAlign w:val="top"/>
          </w:tcPr>
          <w:p>
            <w:pPr>
              <w:snapToGrid w:val="0"/>
              <w:jc w:val="center"/>
              <w:textAlignment w:val="top"/>
              <w:rPr>
                <w:rFonts w:hint="default" w:ascii="Times New Roman" w:hAnsi="Times New Roman" w:cs="Times New Roman"/>
                <w:color w:val="000000"/>
                <w:sz w:val="23"/>
                <w:szCs w:val="21"/>
              </w:rPr>
            </w:pPr>
            <w:r>
              <w:rPr>
                <w:rFonts w:hint="default" w:ascii="Times New Roman" w:hAnsi="Times New Roman" w:cs="Times New Roman"/>
                <w:color w:val="000000"/>
                <w:kern w:val="0"/>
                <w:sz w:val="23"/>
                <w:szCs w:val="21"/>
                <w:lang w:bidi="ar"/>
              </w:rPr>
              <w:t>主管单位适时收费标准</w:t>
            </w:r>
          </w:p>
        </w:tc>
        <w:tc>
          <w:tcPr>
            <w:tcW w:w="720" w:type="dxa"/>
            <w:tcBorders>
              <w:top w:val="single" w:color="000000" w:sz="4" w:space="0"/>
              <w:left w:val="single" w:color="000000" w:sz="4" w:space="0"/>
              <w:bottom w:val="single" w:color="auto" w:sz="12" w:space="0"/>
              <w:right w:val="single" w:color="auto" w:sz="12" w:space="0"/>
            </w:tcBorders>
            <w:vAlign w:val="top"/>
          </w:tcPr>
          <w:p>
            <w:pPr>
              <w:snapToGrid w:val="0"/>
              <w:rPr>
                <w:rFonts w:hint="default" w:ascii="Times New Roman" w:hAnsi="Times New Roman" w:cs="Times New Roman"/>
                <w:color w:val="000000"/>
                <w:sz w:val="23"/>
                <w:szCs w:val="21"/>
              </w:rPr>
            </w:pPr>
          </w:p>
        </w:tc>
      </w:tr>
    </w:tbl>
    <w:p>
      <w:pPr>
        <w:rPr>
          <w:rFonts w:hint="default" w:ascii="Times New Roman" w:hAnsi="Times New Roman" w:eastAsia="宋体" w:cs="Times New Roman"/>
          <w:bCs/>
          <w:color w:val="000000"/>
          <w:szCs w:val="32"/>
        </w:rPr>
      </w:pPr>
    </w:p>
    <w:p>
      <w:pPr>
        <w:rPr>
          <w:rFonts w:hint="default" w:ascii="Times New Roman" w:hAnsi="Times New Roman" w:eastAsia="方正黑体_GBK" w:cs="Times New Roman"/>
          <w:color w:val="000000"/>
          <w:szCs w:val="32"/>
        </w:rPr>
      </w:pPr>
      <w:r>
        <w:rPr>
          <w:rFonts w:hint="default" w:ascii="Times New Roman" w:hAnsi="Times New Roman" w:eastAsia="宋体" w:cs="Times New Roman"/>
          <w:bCs/>
          <w:color w:val="000000"/>
          <w:szCs w:val="32"/>
        </w:rPr>
        <w:br w:type="page"/>
      </w:r>
      <w:r>
        <w:rPr>
          <w:rFonts w:hint="default" w:ascii="Times New Roman" w:hAnsi="Times New Roman" w:eastAsia="黑体" w:cs="Times New Roman"/>
          <w:color w:val="000000"/>
          <w:sz w:val="32"/>
          <w:szCs w:val="32"/>
        </w:rPr>
        <w:t>附件4</w:t>
      </w:r>
    </w:p>
    <w:p>
      <w:pPr>
        <w:spacing w:line="600" w:lineRule="exact"/>
        <w:jc w:val="center"/>
        <w:rPr>
          <w:rFonts w:hint="default" w:ascii="Times New Roman" w:hAnsi="Times New Roman" w:eastAsia="方正小标宋_GBK" w:cs="Times New Roman"/>
          <w:color w:val="000000"/>
          <w:kern w:val="0"/>
          <w:sz w:val="44"/>
          <w:szCs w:val="44"/>
          <w:lang w:bidi="ar"/>
        </w:rPr>
      </w:pPr>
    </w:p>
    <w:p>
      <w:pPr>
        <w:spacing w:line="600" w:lineRule="exact"/>
        <w:jc w:val="center"/>
        <w:rPr>
          <w:rFonts w:hint="default" w:ascii="Times New Roman" w:hAnsi="Times New Roman" w:eastAsia="方正小标宋_GBK" w:cs="Times New Roman"/>
          <w:color w:val="000000"/>
          <w:kern w:val="0"/>
          <w:sz w:val="44"/>
          <w:szCs w:val="44"/>
          <w:lang w:bidi="ar"/>
        </w:rPr>
      </w:pPr>
      <w:r>
        <w:rPr>
          <w:rFonts w:hint="default" w:ascii="Times New Roman" w:hAnsi="Times New Roman" w:eastAsia="方正小标宋_GBK" w:cs="Times New Roman"/>
          <w:color w:val="000000"/>
          <w:kern w:val="0"/>
          <w:sz w:val="44"/>
          <w:szCs w:val="44"/>
          <w:lang w:bidi="ar"/>
        </w:rPr>
        <w:t>秀山县征地建（构）筑物等补偿标准</w:t>
      </w:r>
    </w:p>
    <w:p>
      <w:pPr>
        <w:spacing w:line="600" w:lineRule="exact"/>
        <w:jc w:val="center"/>
        <w:rPr>
          <w:rFonts w:hint="default" w:ascii="Times New Roman" w:hAnsi="Times New Roman" w:eastAsia="方正小标宋_GBK" w:cs="Times New Roman"/>
          <w:color w:val="000000"/>
          <w:kern w:val="0"/>
          <w:sz w:val="36"/>
          <w:szCs w:val="36"/>
          <w:lang w:bidi="ar"/>
        </w:rPr>
      </w:pPr>
    </w:p>
    <w:tbl>
      <w:tblPr>
        <w:tblStyle w:val="12"/>
        <w:tblW w:w="8874" w:type="dxa"/>
        <w:jc w:val="center"/>
        <w:tblInd w:w="0" w:type="dxa"/>
        <w:tblLayout w:type="fixed"/>
        <w:tblCellMar>
          <w:top w:w="15" w:type="dxa"/>
          <w:left w:w="15" w:type="dxa"/>
          <w:bottom w:w="15" w:type="dxa"/>
          <w:right w:w="15" w:type="dxa"/>
        </w:tblCellMar>
      </w:tblPr>
      <w:tblGrid>
        <w:gridCol w:w="741"/>
        <w:gridCol w:w="4377"/>
        <w:gridCol w:w="1112"/>
        <w:gridCol w:w="1408"/>
        <w:gridCol w:w="1236"/>
      </w:tblGrid>
      <w:tr>
        <w:tblPrEx>
          <w:tblLayout w:type="fixed"/>
          <w:tblCellMar>
            <w:top w:w="15" w:type="dxa"/>
            <w:left w:w="15" w:type="dxa"/>
            <w:bottom w:w="15" w:type="dxa"/>
            <w:right w:w="15" w:type="dxa"/>
          </w:tblCellMar>
        </w:tblPrEx>
        <w:trPr>
          <w:trHeight w:val="20" w:hRule="atLeast"/>
          <w:jc w:val="center"/>
        </w:trPr>
        <w:tc>
          <w:tcPr>
            <w:tcW w:w="741" w:type="dxa"/>
            <w:tcBorders>
              <w:top w:val="single" w:color="auto" w:sz="12" w:space="0"/>
              <w:left w:val="single" w:color="auto" w:sz="12"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kern w:val="0"/>
                <w:sz w:val="21"/>
                <w:szCs w:val="21"/>
                <w:lang w:bidi="ar"/>
              </w:rPr>
              <w:t>类别</w:t>
            </w:r>
          </w:p>
        </w:tc>
        <w:tc>
          <w:tcPr>
            <w:tcW w:w="4377" w:type="dxa"/>
            <w:tcBorders>
              <w:top w:val="single" w:color="auto" w:sz="12"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kern w:val="0"/>
                <w:sz w:val="21"/>
                <w:szCs w:val="21"/>
                <w:lang w:bidi="ar"/>
              </w:rPr>
              <w:t>名称</w:t>
            </w:r>
          </w:p>
        </w:tc>
        <w:tc>
          <w:tcPr>
            <w:tcW w:w="1112" w:type="dxa"/>
            <w:tcBorders>
              <w:top w:val="single" w:color="auto" w:sz="12"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kern w:val="0"/>
                <w:sz w:val="21"/>
                <w:szCs w:val="21"/>
                <w:lang w:bidi="ar"/>
              </w:rPr>
              <w:t>单位</w:t>
            </w:r>
          </w:p>
        </w:tc>
        <w:tc>
          <w:tcPr>
            <w:tcW w:w="1408" w:type="dxa"/>
            <w:tcBorders>
              <w:top w:val="single" w:color="auto" w:sz="12"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kern w:val="0"/>
                <w:sz w:val="21"/>
                <w:szCs w:val="21"/>
                <w:lang w:bidi="ar"/>
              </w:rPr>
              <w:t>标准（元）</w:t>
            </w:r>
          </w:p>
        </w:tc>
        <w:tc>
          <w:tcPr>
            <w:tcW w:w="1236"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备注</w:t>
            </w:r>
          </w:p>
        </w:tc>
      </w:tr>
      <w:tr>
        <w:tblPrEx>
          <w:tblLayout w:type="fixed"/>
          <w:tblCellMar>
            <w:top w:w="15" w:type="dxa"/>
            <w:left w:w="15" w:type="dxa"/>
            <w:bottom w:w="15" w:type="dxa"/>
            <w:right w:w="15" w:type="dxa"/>
          </w:tblCellMar>
        </w:tblPrEx>
        <w:trPr>
          <w:trHeight w:val="20" w:hRule="atLeast"/>
          <w:jc w:val="center"/>
        </w:trPr>
        <w:tc>
          <w:tcPr>
            <w:tcW w:w="741" w:type="dxa"/>
            <w:vMerge w:val="restart"/>
            <w:tcBorders>
              <w:top w:val="single" w:color="auto" w:sz="4" w:space="0"/>
              <w:left w:val="single" w:color="auto" w:sz="12"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构筑</w:t>
            </w:r>
          </w:p>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物类</w:t>
            </w:r>
          </w:p>
        </w:tc>
        <w:tc>
          <w:tcPr>
            <w:tcW w:w="4377" w:type="dxa"/>
            <w:tcBorders>
              <w:top w:val="single" w:color="auto"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堡坎（条石、碎石）</w:t>
            </w:r>
          </w:p>
        </w:tc>
        <w:tc>
          <w:tcPr>
            <w:tcW w:w="1112" w:type="dxa"/>
            <w:tcBorders>
              <w:top w:val="single" w:color="auto"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立方米</w:t>
            </w:r>
          </w:p>
        </w:tc>
        <w:tc>
          <w:tcPr>
            <w:tcW w:w="1408" w:type="dxa"/>
            <w:tcBorders>
              <w:top w:val="single" w:color="auto"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260、240</w:t>
            </w:r>
          </w:p>
        </w:tc>
        <w:tc>
          <w:tcPr>
            <w:tcW w:w="1236" w:type="dxa"/>
            <w:tcBorders>
              <w:top w:val="single" w:color="auto" w:sz="4" w:space="0"/>
              <w:left w:val="single" w:color="000000" w:sz="4" w:space="0"/>
              <w:bottom w:val="single" w:color="000000" w:sz="4" w:space="0"/>
              <w:right w:val="single" w:color="auto" w:sz="12" w:space="0"/>
            </w:tcBorders>
            <w:shd w:val="clear" w:color="auto" w:fill="FFFFFF"/>
            <w:vAlign w:val="center"/>
          </w:tcPr>
          <w:p>
            <w:pPr>
              <w:snapToGrid w:val="0"/>
              <w:jc w:val="left"/>
              <w:rPr>
                <w:rFonts w:hint="default" w:ascii="Times New Roman" w:hAnsi="Times New Roman" w:cs="Times New Roman"/>
                <w:color w:val="000000"/>
                <w:sz w:val="21"/>
                <w:szCs w:val="21"/>
              </w:rPr>
            </w:pPr>
          </w:p>
        </w:tc>
      </w:tr>
      <w:tr>
        <w:tblPrEx>
          <w:tblLayout w:type="fixed"/>
          <w:tblCellMar>
            <w:top w:w="15" w:type="dxa"/>
            <w:left w:w="15" w:type="dxa"/>
            <w:bottom w:w="15" w:type="dxa"/>
            <w:right w:w="15" w:type="dxa"/>
          </w:tblCellMar>
        </w:tblPrEx>
        <w:trPr>
          <w:trHeight w:val="20" w:hRule="atLeast"/>
          <w:jc w:val="center"/>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rFonts w:hint="default" w:ascii="Times New Roman" w:hAnsi="Times New Roman" w:cs="Times New Roman"/>
                <w:color w:val="000000"/>
                <w:sz w:val="21"/>
                <w:szCs w:val="21"/>
              </w:rPr>
            </w:pPr>
          </w:p>
        </w:tc>
        <w:tc>
          <w:tcPr>
            <w:tcW w:w="4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围墙</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平方米</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50</w:t>
            </w:r>
          </w:p>
        </w:tc>
        <w:tc>
          <w:tcPr>
            <w:tcW w:w="1236" w:type="dxa"/>
            <w:tcBorders>
              <w:top w:val="single" w:color="000000" w:sz="4" w:space="0"/>
              <w:left w:val="single" w:color="000000" w:sz="4" w:space="0"/>
              <w:bottom w:val="single" w:color="000000" w:sz="4" w:space="0"/>
              <w:right w:val="single" w:color="auto" w:sz="12" w:space="0"/>
            </w:tcBorders>
            <w:shd w:val="clear" w:color="auto" w:fill="FFFFFF"/>
            <w:vAlign w:val="center"/>
          </w:tcPr>
          <w:p>
            <w:pPr>
              <w:snapToGrid w:val="0"/>
              <w:jc w:val="center"/>
              <w:rPr>
                <w:rFonts w:hint="default" w:ascii="Times New Roman" w:hAnsi="Times New Roman" w:cs="Times New Roman"/>
                <w:color w:val="000000"/>
                <w:sz w:val="21"/>
                <w:szCs w:val="21"/>
              </w:rPr>
            </w:pPr>
          </w:p>
        </w:tc>
      </w:tr>
      <w:tr>
        <w:tblPrEx>
          <w:tblLayout w:type="fixed"/>
          <w:tblCellMar>
            <w:top w:w="15" w:type="dxa"/>
            <w:left w:w="15" w:type="dxa"/>
            <w:bottom w:w="15" w:type="dxa"/>
            <w:right w:w="15" w:type="dxa"/>
          </w:tblCellMar>
        </w:tblPrEx>
        <w:trPr>
          <w:trHeight w:val="20" w:hRule="atLeast"/>
          <w:jc w:val="center"/>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rFonts w:hint="default" w:ascii="Times New Roman" w:hAnsi="Times New Roman" w:cs="Times New Roman"/>
                <w:color w:val="000000"/>
                <w:sz w:val="21"/>
                <w:szCs w:val="21"/>
              </w:rPr>
            </w:pPr>
          </w:p>
        </w:tc>
        <w:tc>
          <w:tcPr>
            <w:tcW w:w="4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户外围栏（瓷器类、钢铁类）</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平方米</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25、20</w:t>
            </w:r>
          </w:p>
        </w:tc>
        <w:tc>
          <w:tcPr>
            <w:tcW w:w="1236" w:type="dxa"/>
            <w:tcBorders>
              <w:top w:val="single" w:color="000000" w:sz="4" w:space="0"/>
              <w:left w:val="single" w:color="000000" w:sz="4" w:space="0"/>
              <w:bottom w:val="single" w:color="000000" w:sz="4" w:space="0"/>
              <w:right w:val="single" w:color="auto" w:sz="12" w:space="0"/>
            </w:tcBorders>
            <w:shd w:val="clear" w:color="auto" w:fill="FFFFFF"/>
            <w:vAlign w:val="center"/>
          </w:tcPr>
          <w:p>
            <w:pPr>
              <w:snapToGrid w:val="0"/>
              <w:jc w:val="center"/>
              <w:rPr>
                <w:rFonts w:hint="default" w:ascii="Times New Roman" w:hAnsi="Times New Roman" w:cs="Times New Roman"/>
                <w:color w:val="000000"/>
                <w:sz w:val="21"/>
                <w:szCs w:val="21"/>
              </w:rPr>
            </w:pPr>
          </w:p>
        </w:tc>
      </w:tr>
      <w:tr>
        <w:tblPrEx>
          <w:tblLayout w:type="fixed"/>
          <w:tblCellMar>
            <w:top w:w="15" w:type="dxa"/>
            <w:left w:w="15" w:type="dxa"/>
            <w:bottom w:w="15" w:type="dxa"/>
            <w:right w:w="15" w:type="dxa"/>
          </w:tblCellMar>
        </w:tblPrEx>
        <w:trPr>
          <w:trHeight w:val="20" w:hRule="atLeast"/>
          <w:jc w:val="center"/>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rFonts w:hint="default" w:ascii="Times New Roman" w:hAnsi="Times New Roman" w:cs="Times New Roman"/>
                <w:color w:val="000000"/>
                <w:sz w:val="21"/>
                <w:szCs w:val="21"/>
              </w:rPr>
            </w:pPr>
          </w:p>
        </w:tc>
        <w:tc>
          <w:tcPr>
            <w:tcW w:w="4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道路（石板、水泥）</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平方米</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90、80</w:t>
            </w:r>
          </w:p>
        </w:tc>
        <w:tc>
          <w:tcPr>
            <w:tcW w:w="1236" w:type="dxa"/>
            <w:tcBorders>
              <w:top w:val="single" w:color="000000" w:sz="4" w:space="0"/>
              <w:left w:val="single" w:color="000000" w:sz="4" w:space="0"/>
              <w:bottom w:val="single" w:color="000000" w:sz="4" w:space="0"/>
              <w:right w:val="single" w:color="auto" w:sz="12" w:space="0"/>
            </w:tcBorders>
            <w:shd w:val="clear" w:color="auto" w:fill="FFFFFF"/>
            <w:vAlign w:val="center"/>
          </w:tcPr>
          <w:p>
            <w:pPr>
              <w:snapToGrid w:val="0"/>
              <w:jc w:val="left"/>
              <w:rPr>
                <w:rFonts w:hint="default" w:ascii="Times New Roman" w:hAnsi="Times New Roman" w:cs="Times New Roman"/>
                <w:color w:val="000000"/>
                <w:sz w:val="21"/>
                <w:szCs w:val="21"/>
              </w:rPr>
            </w:pPr>
          </w:p>
        </w:tc>
      </w:tr>
      <w:tr>
        <w:tblPrEx>
          <w:tblLayout w:type="fixed"/>
          <w:tblCellMar>
            <w:top w:w="15" w:type="dxa"/>
            <w:left w:w="15" w:type="dxa"/>
            <w:bottom w:w="15" w:type="dxa"/>
            <w:right w:w="15" w:type="dxa"/>
          </w:tblCellMar>
        </w:tblPrEx>
        <w:trPr>
          <w:trHeight w:val="20" w:hRule="atLeast"/>
          <w:jc w:val="center"/>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rFonts w:hint="default" w:ascii="Times New Roman" w:hAnsi="Times New Roman" w:cs="Times New Roman"/>
                <w:color w:val="000000"/>
                <w:sz w:val="21"/>
                <w:szCs w:val="21"/>
              </w:rPr>
            </w:pPr>
          </w:p>
        </w:tc>
        <w:tc>
          <w:tcPr>
            <w:tcW w:w="4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砖瓦窑、石灰窑</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座</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2500、1250</w:t>
            </w:r>
          </w:p>
        </w:tc>
        <w:tc>
          <w:tcPr>
            <w:tcW w:w="1236" w:type="dxa"/>
            <w:tcBorders>
              <w:top w:val="single" w:color="000000" w:sz="4" w:space="0"/>
              <w:left w:val="single" w:color="000000" w:sz="4" w:space="0"/>
              <w:bottom w:val="single" w:color="000000" w:sz="4" w:space="0"/>
              <w:right w:val="single" w:color="auto" w:sz="12" w:space="0"/>
            </w:tcBorders>
            <w:shd w:val="clear" w:color="auto" w:fill="FFFFFF"/>
            <w:vAlign w:val="center"/>
          </w:tcPr>
          <w:p>
            <w:pPr>
              <w:snapToGrid w:val="0"/>
              <w:jc w:val="left"/>
              <w:rPr>
                <w:rFonts w:hint="default" w:ascii="Times New Roman" w:hAnsi="Times New Roman" w:cs="Times New Roman"/>
                <w:color w:val="000000"/>
                <w:sz w:val="21"/>
                <w:szCs w:val="21"/>
              </w:rPr>
            </w:pPr>
          </w:p>
        </w:tc>
      </w:tr>
      <w:tr>
        <w:tblPrEx>
          <w:tblLayout w:type="fixed"/>
          <w:tblCellMar>
            <w:top w:w="15" w:type="dxa"/>
            <w:left w:w="15" w:type="dxa"/>
            <w:bottom w:w="15" w:type="dxa"/>
            <w:right w:w="15" w:type="dxa"/>
          </w:tblCellMar>
        </w:tblPrEx>
        <w:trPr>
          <w:trHeight w:val="20" w:hRule="atLeast"/>
          <w:jc w:val="center"/>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rFonts w:hint="default" w:ascii="Times New Roman" w:hAnsi="Times New Roman" w:cs="Times New Roman"/>
                <w:color w:val="000000"/>
                <w:sz w:val="21"/>
                <w:szCs w:val="21"/>
              </w:rPr>
            </w:pPr>
          </w:p>
        </w:tc>
        <w:tc>
          <w:tcPr>
            <w:tcW w:w="4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水井（条石、水泥、简易）</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立方米</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85、70、45</w:t>
            </w:r>
          </w:p>
        </w:tc>
        <w:tc>
          <w:tcPr>
            <w:tcW w:w="1236" w:type="dxa"/>
            <w:tcBorders>
              <w:top w:val="single" w:color="000000" w:sz="4" w:space="0"/>
              <w:left w:val="single" w:color="000000" w:sz="4" w:space="0"/>
              <w:bottom w:val="single" w:color="000000" w:sz="4" w:space="0"/>
              <w:right w:val="single" w:color="auto" w:sz="12" w:space="0"/>
            </w:tcBorders>
            <w:shd w:val="clear" w:color="auto" w:fill="FFFFFF"/>
            <w:vAlign w:val="center"/>
          </w:tcPr>
          <w:p>
            <w:pPr>
              <w:snapToGrid w:val="0"/>
              <w:jc w:val="left"/>
              <w:rPr>
                <w:rFonts w:hint="default" w:ascii="Times New Roman" w:hAnsi="Times New Roman" w:cs="Times New Roman"/>
                <w:color w:val="000000"/>
                <w:sz w:val="21"/>
                <w:szCs w:val="21"/>
              </w:rPr>
            </w:pPr>
          </w:p>
        </w:tc>
      </w:tr>
      <w:tr>
        <w:tblPrEx>
          <w:tblLayout w:type="fixed"/>
          <w:tblCellMar>
            <w:top w:w="15" w:type="dxa"/>
            <w:left w:w="15" w:type="dxa"/>
            <w:bottom w:w="15" w:type="dxa"/>
            <w:right w:w="15" w:type="dxa"/>
          </w:tblCellMar>
        </w:tblPrEx>
        <w:trPr>
          <w:trHeight w:val="20" w:hRule="atLeast"/>
          <w:jc w:val="center"/>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rFonts w:hint="default" w:ascii="Times New Roman" w:hAnsi="Times New Roman" w:cs="Times New Roman"/>
                <w:color w:val="000000"/>
                <w:sz w:val="21"/>
                <w:szCs w:val="21"/>
              </w:rPr>
            </w:pPr>
          </w:p>
        </w:tc>
        <w:tc>
          <w:tcPr>
            <w:tcW w:w="4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机井、钻孔井</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立方米、米</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400、300</w:t>
            </w:r>
          </w:p>
        </w:tc>
        <w:tc>
          <w:tcPr>
            <w:tcW w:w="1236" w:type="dxa"/>
            <w:tcBorders>
              <w:top w:val="single" w:color="000000" w:sz="4" w:space="0"/>
              <w:left w:val="single" w:color="000000" w:sz="4" w:space="0"/>
              <w:bottom w:val="single" w:color="000000" w:sz="4" w:space="0"/>
              <w:right w:val="single" w:color="auto" w:sz="12" w:space="0"/>
            </w:tcBorders>
            <w:shd w:val="clear" w:color="auto" w:fill="FFFFFF"/>
            <w:vAlign w:val="center"/>
          </w:tcPr>
          <w:p>
            <w:pPr>
              <w:snapToGrid w:val="0"/>
              <w:jc w:val="left"/>
              <w:rPr>
                <w:rFonts w:hint="default" w:ascii="Times New Roman" w:hAnsi="Times New Roman" w:cs="Times New Roman"/>
                <w:color w:val="000000"/>
                <w:sz w:val="21"/>
                <w:szCs w:val="21"/>
              </w:rPr>
            </w:pPr>
          </w:p>
        </w:tc>
      </w:tr>
      <w:tr>
        <w:tblPrEx>
          <w:tblLayout w:type="fixed"/>
          <w:tblCellMar>
            <w:top w:w="15" w:type="dxa"/>
            <w:left w:w="15" w:type="dxa"/>
            <w:bottom w:w="15" w:type="dxa"/>
            <w:right w:w="15" w:type="dxa"/>
          </w:tblCellMar>
        </w:tblPrEx>
        <w:trPr>
          <w:trHeight w:val="20" w:hRule="atLeast"/>
          <w:jc w:val="center"/>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rFonts w:hint="default" w:ascii="Times New Roman" w:hAnsi="Times New Roman" w:cs="Times New Roman"/>
                <w:color w:val="000000"/>
                <w:sz w:val="21"/>
                <w:szCs w:val="21"/>
              </w:rPr>
            </w:pPr>
          </w:p>
        </w:tc>
        <w:tc>
          <w:tcPr>
            <w:tcW w:w="4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坟墓（双人、单人）</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座</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3000、2000</w:t>
            </w:r>
          </w:p>
        </w:tc>
        <w:tc>
          <w:tcPr>
            <w:tcW w:w="1236" w:type="dxa"/>
            <w:tcBorders>
              <w:top w:val="single" w:color="000000" w:sz="4" w:space="0"/>
              <w:left w:val="single" w:color="000000" w:sz="4" w:space="0"/>
              <w:bottom w:val="single" w:color="000000" w:sz="4" w:space="0"/>
              <w:right w:val="single" w:color="auto" w:sz="12" w:space="0"/>
            </w:tcBorders>
            <w:shd w:val="clear" w:color="auto" w:fill="FFFFFF"/>
            <w:vAlign w:val="center"/>
          </w:tcPr>
          <w:p>
            <w:pPr>
              <w:snapToGrid w:val="0"/>
              <w:jc w:val="left"/>
              <w:textAlignment w:val="center"/>
              <w:rPr>
                <w:rFonts w:hint="default" w:ascii="Times New Roman" w:hAnsi="Times New Roman" w:cs="Times New Roman"/>
                <w:color w:val="000000"/>
                <w:sz w:val="21"/>
                <w:szCs w:val="21"/>
              </w:rPr>
            </w:pPr>
          </w:p>
        </w:tc>
      </w:tr>
      <w:tr>
        <w:tblPrEx>
          <w:tblLayout w:type="fixed"/>
          <w:tblCellMar>
            <w:top w:w="15" w:type="dxa"/>
            <w:left w:w="15" w:type="dxa"/>
            <w:bottom w:w="15" w:type="dxa"/>
            <w:right w:w="15" w:type="dxa"/>
          </w:tblCellMar>
        </w:tblPrEx>
        <w:trPr>
          <w:trHeight w:val="20" w:hRule="atLeast"/>
          <w:jc w:val="center"/>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rFonts w:hint="default" w:ascii="Times New Roman" w:hAnsi="Times New Roman" w:cs="Times New Roman"/>
                <w:color w:val="000000"/>
                <w:sz w:val="21"/>
                <w:szCs w:val="21"/>
              </w:rPr>
            </w:pPr>
          </w:p>
        </w:tc>
        <w:tc>
          <w:tcPr>
            <w:tcW w:w="4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坟墓墓碑（组合碑、四角碑、令碑）</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座</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2000、1500、1000</w:t>
            </w:r>
          </w:p>
        </w:tc>
        <w:tc>
          <w:tcPr>
            <w:tcW w:w="1236" w:type="dxa"/>
            <w:tcBorders>
              <w:top w:val="single" w:color="000000" w:sz="4" w:space="0"/>
              <w:left w:val="single" w:color="000000" w:sz="4" w:space="0"/>
              <w:bottom w:val="single" w:color="000000" w:sz="4" w:space="0"/>
              <w:right w:val="single" w:color="auto" w:sz="12" w:space="0"/>
            </w:tcBorders>
            <w:shd w:val="clear" w:color="auto" w:fill="FFFFFF"/>
            <w:vAlign w:val="center"/>
          </w:tcPr>
          <w:p>
            <w:pPr>
              <w:snapToGrid w:val="0"/>
              <w:jc w:val="left"/>
              <w:rPr>
                <w:rFonts w:hint="default" w:ascii="Times New Roman" w:hAnsi="Times New Roman" w:cs="Times New Roman"/>
                <w:color w:val="000000"/>
                <w:sz w:val="21"/>
                <w:szCs w:val="21"/>
              </w:rPr>
            </w:pPr>
          </w:p>
        </w:tc>
      </w:tr>
      <w:tr>
        <w:tblPrEx>
          <w:tblLayout w:type="fixed"/>
          <w:tblCellMar>
            <w:top w:w="15" w:type="dxa"/>
            <w:left w:w="15" w:type="dxa"/>
            <w:bottom w:w="15" w:type="dxa"/>
            <w:right w:w="15" w:type="dxa"/>
          </w:tblCellMar>
        </w:tblPrEx>
        <w:trPr>
          <w:trHeight w:val="20" w:hRule="atLeast"/>
          <w:jc w:val="center"/>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rFonts w:hint="default" w:ascii="Times New Roman" w:hAnsi="Times New Roman" w:cs="Times New Roman"/>
                <w:color w:val="000000"/>
                <w:sz w:val="21"/>
                <w:szCs w:val="21"/>
              </w:rPr>
            </w:pPr>
          </w:p>
        </w:tc>
        <w:tc>
          <w:tcPr>
            <w:tcW w:w="4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地坝（石板、水泥）</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平方米</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55、45</w:t>
            </w:r>
          </w:p>
        </w:tc>
        <w:tc>
          <w:tcPr>
            <w:tcW w:w="1236" w:type="dxa"/>
            <w:tcBorders>
              <w:top w:val="single" w:color="000000" w:sz="4" w:space="0"/>
              <w:left w:val="single" w:color="000000" w:sz="4" w:space="0"/>
              <w:bottom w:val="single" w:color="000000" w:sz="4" w:space="0"/>
              <w:right w:val="single" w:color="auto" w:sz="12" w:space="0"/>
            </w:tcBorders>
            <w:shd w:val="clear" w:color="auto" w:fill="FFFFFF"/>
            <w:vAlign w:val="center"/>
          </w:tcPr>
          <w:p>
            <w:pPr>
              <w:snapToGrid w:val="0"/>
              <w:jc w:val="left"/>
              <w:textAlignment w:val="center"/>
              <w:rPr>
                <w:rFonts w:hint="default" w:ascii="Times New Roman" w:hAnsi="Times New Roman" w:cs="Times New Roman"/>
                <w:color w:val="000000"/>
                <w:sz w:val="21"/>
                <w:szCs w:val="21"/>
              </w:rPr>
            </w:pPr>
          </w:p>
        </w:tc>
      </w:tr>
      <w:tr>
        <w:tblPrEx>
          <w:tblLayout w:type="fixed"/>
          <w:tblCellMar>
            <w:top w:w="15" w:type="dxa"/>
            <w:left w:w="15" w:type="dxa"/>
            <w:bottom w:w="15" w:type="dxa"/>
            <w:right w:w="15" w:type="dxa"/>
          </w:tblCellMar>
        </w:tblPrEx>
        <w:trPr>
          <w:trHeight w:val="20" w:hRule="atLeast"/>
          <w:jc w:val="center"/>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rFonts w:hint="default" w:ascii="Times New Roman" w:hAnsi="Times New Roman" w:cs="Times New Roman"/>
                <w:color w:val="000000"/>
                <w:sz w:val="21"/>
                <w:szCs w:val="21"/>
              </w:rPr>
            </w:pPr>
          </w:p>
        </w:tc>
        <w:tc>
          <w:tcPr>
            <w:tcW w:w="4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室外化粪池、粪池</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个</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500</w:t>
            </w:r>
          </w:p>
        </w:tc>
        <w:tc>
          <w:tcPr>
            <w:tcW w:w="1236" w:type="dxa"/>
            <w:tcBorders>
              <w:top w:val="single" w:color="000000" w:sz="4" w:space="0"/>
              <w:left w:val="single" w:color="000000" w:sz="4" w:space="0"/>
              <w:bottom w:val="single" w:color="000000" w:sz="4" w:space="0"/>
              <w:right w:val="single" w:color="auto" w:sz="12" w:space="0"/>
            </w:tcBorders>
            <w:shd w:val="clear" w:color="auto" w:fill="FFFFFF"/>
            <w:vAlign w:val="center"/>
          </w:tcPr>
          <w:p>
            <w:pPr>
              <w:snapToGrid w:val="0"/>
              <w:jc w:val="left"/>
              <w:rPr>
                <w:rFonts w:hint="default" w:ascii="Times New Roman" w:hAnsi="Times New Roman" w:cs="Times New Roman"/>
                <w:color w:val="000000"/>
                <w:sz w:val="21"/>
                <w:szCs w:val="21"/>
              </w:rPr>
            </w:pPr>
          </w:p>
        </w:tc>
      </w:tr>
      <w:tr>
        <w:tblPrEx>
          <w:tblLayout w:type="fixed"/>
          <w:tblCellMar>
            <w:top w:w="15" w:type="dxa"/>
            <w:left w:w="15" w:type="dxa"/>
            <w:bottom w:w="15" w:type="dxa"/>
            <w:right w:w="15" w:type="dxa"/>
          </w:tblCellMar>
        </w:tblPrEx>
        <w:trPr>
          <w:trHeight w:val="20" w:hRule="atLeast"/>
          <w:jc w:val="center"/>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rFonts w:hint="default" w:ascii="Times New Roman" w:hAnsi="Times New Roman" w:cs="Times New Roman"/>
                <w:color w:val="000000"/>
                <w:sz w:val="21"/>
                <w:szCs w:val="21"/>
              </w:rPr>
            </w:pPr>
          </w:p>
        </w:tc>
        <w:tc>
          <w:tcPr>
            <w:tcW w:w="4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贮水池、沼气池</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立方米、个</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70、1200</w:t>
            </w:r>
          </w:p>
        </w:tc>
        <w:tc>
          <w:tcPr>
            <w:tcW w:w="1236" w:type="dxa"/>
            <w:tcBorders>
              <w:top w:val="single" w:color="000000" w:sz="4" w:space="0"/>
              <w:left w:val="single" w:color="000000" w:sz="4" w:space="0"/>
              <w:bottom w:val="single" w:color="000000" w:sz="4" w:space="0"/>
              <w:right w:val="single" w:color="auto" w:sz="12" w:space="0"/>
            </w:tcBorders>
            <w:shd w:val="clear" w:color="auto" w:fill="FFFFFF"/>
            <w:vAlign w:val="center"/>
          </w:tcPr>
          <w:p>
            <w:pPr>
              <w:snapToGrid w:val="0"/>
              <w:jc w:val="left"/>
              <w:rPr>
                <w:rFonts w:hint="default" w:ascii="Times New Roman" w:hAnsi="Times New Roman" w:cs="Times New Roman"/>
                <w:color w:val="000000"/>
                <w:sz w:val="21"/>
                <w:szCs w:val="21"/>
              </w:rPr>
            </w:pPr>
          </w:p>
        </w:tc>
      </w:tr>
      <w:tr>
        <w:tblPrEx>
          <w:tblLayout w:type="fixed"/>
          <w:tblCellMar>
            <w:top w:w="15" w:type="dxa"/>
            <w:left w:w="15" w:type="dxa"/>
            <w:bottom w:w="15" w:type="dxa"/>
            <w:right w:w="15" w:type="dxa"/>
          </w:tblCellMar>
        </w:tblPrEx>
        <w:trPr>
          <w:trHeight w:val="20" w:hRule="atLeast"/>
          <w:jc w:val="center"/>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rFonts w:hint="default" w:ascii="Times New Roman" w:hAnsi="Times New Roman" w:cs="Times New Roman"/>
                <w:color w:val="000000"/>
                <w:sz w:val="21"/>
                <w:szCs w:val="21"/>
              </w:rPr>
            </w:pPr>
          </w:p>
        </w:tc>
        <w:tc>
          <w:tcPr>
            <w:tcW w:w="4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苕窖</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个</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400</w:t>
            </w:r>
          </w:p>
        </w:tc>
        <w:tc>
          <w:tcPr>
            <w:tcW w:w="1236" w:type="dxa"/>
            <w:tcBorders>
              <w:top w:val="single" w:color="000000" w:sz="4" w:space="0"/>
              <w:left w:val="single" w:color="000000" w:sz="4" w:space="0"/>
              <w:bottom w:val="single" w:color="000000" w:sz="4" w:space="0"/>
              <w:right w:val="single" w:color="auto" w:sz="12" w:space="0"/>
            </w:tcBorders>
            <w:shd w:val="clear" w:color="auto" w:fill="FFFFFF"/>
            <w:vAlign w:val="center"/>
          </w:tcPr>
          <w:p>
            <w:pPr>
              <w:snapToGrid w:val="0"/>
              <w:rPr>
                <w:rFonts w:hint="default" w:ascii="Times New Roman" w:hAnsi="Times New Roman" w:cs="Times New Roman"/>
                <w:color w:val="000000"/>
                <w:sz w:val="21"/>
                <w:szCs w:val="21"/>
              </w:rPr>
            </w:pPr>
          </w:p>
        </w:tc>
      </w:tr>
      <w:tr>
        <w:tblPrEx>
          <w:tblLayout w:type="fixed"/>
          <w:tblCellMar>
            <w:top w:w="15" w:type="dxa"/>
            <w:left w:w="15" w:type="dxa"/>
            <w:bottom w:w="15" w:type="dxa"/>
            <w:right w:w="15" w:type="dxa"/>
          </w:tblCellMar>
        </w:tblPrEx>
        <w:trPr>
          <w:trHeight w:val="20" w:hRule="atLeast"/>
          <w:jc w:val="center"/>
        </w:trPr>
        <w:tc>
          <w:tcPr>
            <w:tcW w:w="741" w:type="dxa"/>
            <w:vMerge w:val="continue"/>
            <w:tcBorders>
              <w:top w:val="single" w:color="000000" w:sz="4" w:space="0"/>
              <w:left w:val="single" w:color="auto" w:sz="12" w:space="0"/>
              <w:bottom w:val="single" w:color="000000" w:sz="4" w:space="0"/>
              <w:right w:val="single" w:color="000000" w:sz="4" w:space="0"/>
            </w:tcBorders>
            <w:shd w:val="clear" w:color="auto" w:fill="FFFFFF"/>
            <w:vAlign w:val="center"/>
          </w:tcPr>
          <w:p>
            <w:pPr>
              <w:snapToGrid w:val="0"/>
              <w:jc w:val="center"/>
              <w:rPr>
                <w:rFonts w:hint="default" w:ascii="Times New Roman" w:hAnsi="Times New Roman" w:cs="Times New Roman"/>
                <w:color w:val="000000"/>
                <w:sz w:val="21"/>
                <w:szCs w:val="21"/>
              </w:rPr>
            </w:pPr>
          </w:p>
        </w:tc>
        <w:tc>
          <w:tcPr>
            <w:tcW w:w="4377" w:type="dxa"/>
            <w:tcBorders>
              <w:top w:val="single" w:color="000000" w:sz="4" w:space="0"/>
              <w:left w:val="single" w:color="000000" w:sz="4" w:space="0"/>
              <w:bottom w:val="single" w:color="auto" w:sz="4" w:space="0"/>
              <w:right w:val="single" w:color="000000" w:sz="4" w:space="0"/>
            </w:tcBorders>
            <w:shd w:val="clear" w:color="auto" w:fill="FFFFFF"/>
            <w:vAlign w:val="center"/>
          </w:tcPr>
          <w:p>
            <w:pPr>
              <w:snapToGrid w:val="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水渠（条石、砖）</w:t>
            </w:r>
          </w:p>
        </w:tc>
        <w:tc>
          <w:tcPr>
            <w:tcW w:w="1112" w:type="dxa"/>
            <w:tcBorders>
              <w:top w:val="single" w:color="000000" w:sz="4" w:space="0"/>
              <w:left w:val="single" w:color="000000" w:sz="4" w:space="0"/>
              <w:bottom w:val="single" w:color="auto"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立方米</w:t>
            </w:r>
          </w:p>
        </w:tc>
        <w:tc>
          <w:tcPr>
            <w:tcW w:w="1408" w:type="dxa"/>
            <w:tcBorders>
              <w:top w:val="single" w:color="000000" w:sz="4" w:space="0"/>
              <w:left w:val="single" w:color="000000" w:sz="4" w:space="0"/>
              <w:bottom w:val="single" w:color="auto" w:sz="4" w:space="0"/>
              <w:right w:val="single" w:color="000000"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40</w:t>
            </w:r>
          </w:p>
        </w:tc>
        <w:tc>
          <w:tcPr>
            <w:tcW w:w="1236" w:type="dxa"/>
            <w:tcBorders>
              <w:top w:val="single" w:color="000000" w:sz="4" w:space="0"/>
              <w:left w:val="single" w:color="000000" w:sz="4" w:space="0"/>
              <w:bottom w:val="single" w:color="auto" w:sz="4" w:space="0"/>
              <w:right w:val="single" w:color="auto" w:sz="12" w:space="0"/>
            </w:tcBorders>
            <w:shd w:val="clear" w:color="auto" w:fill="FFFFFF"/>
            <w:vAlign w:val="center"/>
          </w:tcPr>
          <w:p>
            <w:pPr>
              <w:snapToGrid w:val="0"/>
              <w:jc w:val="left"/>
              <w:textAlignment w:val="center"/>
              <w:rPr>
                <w:rFonts w:hint="default" w:ascii="Times New Roman" w:hAnsi="Times New Roman" w:cs="Times New Roman"/>
                <w:color w:val="000000"/>
                <w:sz w:val="21"/>
                <w:szCs w:val="21"/>
              </w:rPr>
            </w:pPr>
          </w:p>
        </w:tc>
      </w:tr>
      <w:tr>
        <w:tblPrEx>
          <w:tblLayout w:type="fixed"/>
          <w:tblCellMar>
            <w:top w:w="15" w:type="dxa"/>
            <w:left w:w="15" w:type="dxa"/>
            <w:bottom w:w="15" w:type="dxa"/>
            <w:right w:w="15" w:type="dxa"/>
          </w:tblCellMar>
        </w:tblPrEx>
        <w:trPr>
          <w:trHeight w:val="20" w:hRule="atLeast"/>
          <w:jc w:val="center"/>
        </w:trPr>
        <w:tc>
          <w:tcPr>
            <w:tcW w:w="741" w:type="dxa"/>
            <w:vMerge w:val="restart"/>
            <w:tcBorders>
              <w:top w:val="single" w:color="auto" w:sz="4" w:space="0"/>
              <w:left w:val="single" w:color="auto" w:sz="12" w:space="0"/>
              <w:bottom w:val="single" w:color="auto" w:sz="4" w:space="0"/>
              <w:right w:val="single" w:color="auto"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设施设备类</w:t>
            </w:r>
          </w:p>
        </w:tc>
        <w:tc>
          <w:tcPr>
            <w:tcW w:w="437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水泥电线杆9米及以上、9米以下</w:t>
            </w:r>
          </w:p>
        </w:tc>
        <w:tc>
          <w:tcPr>
            <w:tcW w:w="11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根</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490、300</w:t>
            </w:r>
          </w:p>
        </w:tc>
        <w:tc>
          <w:tcPr>
            <w:tcW w:w="1236" w:type="dxa"/>
            <w:tcBorders>
              <w:top w:val="single" w:color="auto" w:sz="4" w:space="0"/>
              <w:left w:val="single" w:color="auto" w:sz="4" w:space="0"/>
              <w:bottom w:val="single" w:color="auto" w:sz="4" w:space="0"/>
              <w:right w:val="single" w:color="auto" w:sz="12"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集体、个人投资的</w:t>
            </w:r>
          </w:p>
        </w:tc>
      </w:tr>
      <w:tr>
        <w:tblPrEx>
          <w:tblLayout w:type="fixed"/>
          <w:tblCellMar>
            <w:top w:w="15" w:type="dxa"/>
            <w:left w:w="15" w:type="dxa"/>
            <w:bottom w:w="15" w:type="dxa"/>
            <w:right w:w="15" w:type="dxa"/>
          </w:tblCellMar>
        </w:tblPrEx>
        <w:trPr>
          <w:trHeight w:val="20" w:hRule="atLeast"/>
          <w:jc w:val="center"/>
        </w:trPr>
        <w:tc>
          <w:tcPr>
            <w:tcW w:w="741" w:type="dxa"/>
            <w:vMerge w:val="continue"/>
            <w:tcBorders>
              <w:top w:val="single" w:color="auto" w:sz="4" w:space="0"/>
              <w:left w:val="single" w:color="auto" w:sz="12" w:space="0"/>
              <w:bottom w:val="single" w:color="auto" w:sz="4" w:space="0"/>
              <w:right w:val="single" w:color="auto" w:sz="4" w:space="0"/>
            </w:tcBorders>
            <w:shd w:val="clear" w:color="auto" w:fill="FFFFFF"/>
            <w:vAlign w:val="center"/>
          </w:tcPr>
          <w:p>
            <w:pPr>
              <w:snapToGrid w:val="0"/>
              <w:jc w:val="center"/>
              <w:rPr>
                <w:rFonts w:hint="default" w:ascii="Times New Roman" w:hAnsi="Times New Roman" w:cs="Times New Roman"/>
                <w:color w:val="000000"/>
                <w:sz w:val="21"/>
                <w:szCs w:val="21"/>
              </w:rPr>
            </w:pPr>
          </w:p>
        </w:tc>
        <w:tc>
          <w:tcPr>
            <w:tcW w:w="437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室外电线（动力、照明）</w:t>
            </w:r>
          </w:p>
        </w:tc>
        <w:tc>
          <w:tcPr>
            <w:tcW w:w="11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米</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5、4</w:t>
            </w:r>
          </w:p>
        </w:tc>
        <w:tc>
          <w:tcPr>
            <w:tcW w:w="1236" w:type="dxa"/>
            <w:tcBorders>
              <w:top w:val="single" w:color="auto" w:sz="4" w:space="0"/>
              <w:left w:val="single" w:color="auto" w:sz="4" w:space="0"/>
              <w:bottom w:val="single" w:color="auto" w:sz="4" w:space="0"/>
              <w:right w:val="single" w:color="auto" w:sz="12" w:space="0"/>
            </w:tcBorders>
            <w:shd w:val="clear" w:color="auto" w:fill="FFFFFF"/>
            <w:vAlign w:val="center"/>
          </w:tcPr>
          <w:p>
            <w:pPr>
              <w:snapToGrid w:val="0"/>
              <w:rPr>
                <w:rFonts w:hint="default" w:ascii="Times New Roman" w:hAnsi="Times New Roman" w:cs="Times New Roman"/>
                <w:color w:val="000000"/>
                <w:sz w:val="21"/>
                <w:szCs w:val="21"/>
              </w:rPr>
            </w:pPr>
          </w:p>
        </w:tc>
      </w:tr>
      <w:tr>
        <w:tblPrEx>
          <w:tblLayout w:type="fixed"/>
          <w:tblCellMar>
            <w:top w:w="15" w:type="dxa"/>
            <w:left w:w="15" w:type="dxa"/>
            <w:bottom w:w="15" w:type="dxa"/>
            <w:right w:w="15" w:type="dxa"/>
          </w:tblCellMar>
        </w:tblPrEx>
        <w:trPr>
          <w:trHeight w:val="20" w:hRule="atLeast"/>
          <w:jc w:val="center"/>
        </w:trPr>
        <w:tc>
          <w:tcPr>
            <w:tcW w:w="741" w:type="dxa"/>
            <w:vMerge w:val="continue"/>
            <w:tcBorders>
              <w:top w:val="single" w:color="auto" w:sz="4" w:space="0"/>
              <w:left w:val="single" w:color="auto" w:sz="12" w:space="0"/>
              <w:bottom w:val="single" w:color="auto" w:sz="4" w:space="0"/>
              <w:right w:val="single" w:color="auto" w:sz="4" w:space="0"/>
            </w:tcBorders>
            <w:shd w:val="clear" w:color="auto" w:fill="FFFFFF"/>
            <w:vAlign w:val="center"/>
          </w:tcPr>
          <w:p>
            <w:pPr>
              <w:snapToGrid w:val="0"/>
              <w:jc w:val="center"/>
              <w:rPr>
                <w:rFonts w:hint="default" w:ascii="Times New Roman" w:hAnsi="Times New Roman" w:cs="Times New Roman"/>
                <w:color w:val="000000"/>
                <w:sz w:val="21"/>
                <w:szCs w:val="21"/>
              </w:rPr>
            </w:pPr>
          </w:p>
        </w:tc>
        <w:tc>
          <w:tcPr>
            <w:tcW w:w="437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养殖和种植大棚（钢架类、竹木类）</w:t>
            </w:r>
          </w:p>
        </w:tc>
        <w:tc>
          <w:tcPr>
            <w:tcW w:w="11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亩</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5000、2600</w:t>
            </w:r>
          </w:p>
        </w:tc>
        <w:tc>
          <w:tcPr>
            <w:tcW w:w="1236" w:type="dxa"/>
            <w:tcBorders>
              <w:top w:val="single" w:color="auto" w:sz="4" w:space="0"/>
              <w:left w:val="single" w:color="auto" w:sz="4" w:space="0"/>
              <w:bottom w:val="single" w:color="auto" w:sz="4" w:space="0"/>
              <w:right w:val="single" w:color="auto" w:sz="12" w:space="0"/>
            </w:tcBorders>
            <w:shd w:val="clear" w:color="auto" w:fill="FFFFFF"/>
            <w:vAlign w:val="center"/>
          </w:tcPr>
          <w:p>
            <w:pPr>
              <w:snapToGrid w:val="0"/>
              <w:jc w:val="center"/>
              <w:rPr>
                <w:rFonts w:hint="default" w:ascii="Times New Roman" w:hAnsi="Times New Roman" w:cs="Times New Roman"/>
                <w:color w:val="000000"/>
                <w:sz w:val="21"/>
                <w:szCs w:val="21"/>
              </w:rPr>
            </w:pPr>
          </w:p>
        </w:tc>
      </w:tr>
      <w:tr>
        <w:tblPrEx>
          <w:tblLayout w:type="fixed"/>
          <w:tblCellMar>
            <w:top w:w="15" w:type="dxa"/>
            <w:left w:w="15" w:type="dxa"/>
            <w:bottom w:w="15" w:type="dxa"/>
            <w:right w:w="15" w:type="dxa"/>
          </w:tblCellMar>
        </w:tblPrEx>
        <w:trPr>
          <w:trHeight w:val="20" w:hRule="atLeast"/>
          <w:jc w:val="center"/>
        </w:trPr>
        <w:tc>
          <w:tcPr>
            <w:tcW w:w="741" w:type="dxa"/>
            <w:vMerge w:val="continue"/>
            <w:tcBorders>
              <w:top w:val="single" w:color="auto" w:sz="4" w:space="0"/>
              <w:left w:val="single" w:color="auto" w:sz="12" w:space="0"/>
              <w:bottom w:val="single" w:color="auto" w:sz="4" w:space="0"/>
              <w:right w:val="single" w:color="auto" w:sz="4" w:space="0"/>
            </w:tcBorders>
            <w:shd w:val="clear" w:color="auto" w:fill="FFFFFF"/>
            <w:vAlign w:val="center"/>
          </w:tcPr>
          <w:p>
            <w:pPr>
              <w:snapToGrid w:val="0"/>
              <w:jc w:val="center"/>
              <w:rPr>
                <w:rFonts w:hint="default" w:ascii="Times New Roman" w:hAnsi="Times New Roman" w:cs="Times New Roman"/>
                <w:color w:val="000000"/>
                <w:sz w:val="21"/>
                <w:szCs w:val="21"/>
              </w:rPr>
            </w:pPr>
          </w:p>
        </w:tc>
        <w:tc>
          <w:tcPr>
            <w:tcW w:w="4377"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固定广告牌、宣传栏等（金属类、木质类）</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平方米</w:t>
            </w: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200、100</w:t>
            </w:r>
          </w:p>
        </w:tc>
        <w:tc>
          <w:tcPr>
            <w:tcW w:w="1236" w:type="dxa"/>
            <w:tcBorders>
              <w:top w:val="single" w:color="auto" w:sz="4" w:space="0"/>
              <w:left w:val="single" w:color="auto" w:sz="4" w:space="0"/>
              <w:bottom w:val="single" w:color="auto" w:sz="4" w:space="0"/>
              <w:right w:val="single" w:color="auto" w:sz="12" w:space="0"/>
            </w:tcBorders>
            <w:vAlign w:val="center"/>
          </w:tcPr>
          <w:p>
            <w:pPr>
              <w:snapToGrid w:val="0"/>
              <w:jc w:val="center"/>
              <w:textAlignment w:val="center"/>
              <w:rPr>
                <w:rFonts w:hint="default" w:ascii="Times New Roman" w:hAnsi="Times New Roman" w:cs="Times New Roman"/>
                <w:color w:val="000000"/>
                <w:sz w:val="21"/>
                <w:szCs w:val="21"/>
              </w:rPr>
            </w:pPr>
          </w:p>
        </w:tc>
      </w:tr>
      <w:tr>
        <w:tblPrEx>
          <w:tblLayout w:type="fixed"/>
          <w:tblCellMar>
            <w:top w:w="15" w:type="dxa"/>
            <w:left w:w="15" w:type="dxa"/>
            <w:bottom w:w="15" w:type="dxa"/>
            <w:right w:w="15" w:type="dxa"/>
          </w:tblCellMar>
        </w:tblPrEx>
        <w:trPr>
          <w:trHeight w:val="20" w:hRule="atLeast"/>
          <w:jc w:val="center"/>
        </w:trPr>
        <w:tc>
          <w:tcPr>
            <w:tcW w:w="741" w:type="dxa"/>
            <w:vMerge w:val="continue"/>
            <w:tcBorders>
              <w:top w:val="single" w:color="auto" w:sz="4" w:space="0"/>
              <w:left w:val="single" w:color="auto" w:sz="12" w:space="0"/>
              <w:bottom w:val="single" w:color="auto" w:sz="4" w:space="0"/>
              <w:right w:val="single" w:color="auto" w:sz="4" w:space="0"/>
            </w:tcBorders>
            <w:shd w:val="clear" w:color="auto" w:fill="FFFFFF"/>
            <w:vAlign w:val="center"/>
          </w:tcPr>
          <w:p>
            <w:pPr>
              <w:snapToGrid w:val="0"/>
              <w:jc w:val="center"/>
              <w:rPr>
                <w:rFonts w:hint="default" w:ascii="Times New Roman" w:hAnsi="Times New Roman" w:cs="Times New Roman"/>
                <w:color w:val="000000"/>
                <w:sz w:val="21"/>
                <w:szCs w:val="21"/>
              </w:rPr>
            </w:pPr>
          </w:p>
        </w:tc>
        <w:tc>
          <w:tcPr>
            <w:tcW w:w="4377"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独立式路灯</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套</w:t>
            </w: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300</w:t>
            </w:r>
          </w:p>
        </w:tc>
        <w:tc>
          <w:tcPr>
            <w:tcW w:w="123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cs="Times New Roman"/>
                <w:color w:val="000000"/>
                <w:sz w:val="21"/>
                <w:szCs w:val="21"/>
              </w:rPr>
            </w:pPr>
          </w:p>
        </w:tc>
      </w:tr>
      <w:tr>
        <w:tblPrEx>
          <w:tblLayout w:type="fixed"/>
          <w:tblCellMar>
            <w:top w:w="15" w:type="dxa"/>
            <w:left w:w="15" w:type="dxa"/>
            <w:bottom w:w="15" w:type="dxa"/>
            <w:right w:w="15" w:type="dxa"/>
          </w:tblCellMar>
        </w:tblPrEx>
        <w:trPr>
          <w:trHeight w:val="20" w:hRule="atLeast"/>
          <w:jc w:val="center"/>
        </w:trPr>
        <w:tc>
          <w:tcPr>
            <w:tcW w:w="741" w:type="dxa"/>
            <w:vMerge w:val="continue"/>
            <w:tcBorders>
              <w:top w:val="single" w:color="auto" w:sz="4" w:space="0"/>
              <w:left w:val="single" w:color="auto" w:sz="12" w:space="0"/>
              <w:bottom w:val="single" w:color="auto" w:sz="4" w:space="0"/>
              <w:right w:val="single" w:color="auto" w:sz="4" w:space="0"/>
            </w:tcBorders>
            <w:shd w:val="clear" w:color="auto" w:fill="FFFFFF"/>
            <w:vAlign w:val="center"/>
          </w:tcPr>
          <w:p>
            <w:pPr>
              <w:snapToGrid w:val="0"/>
              <w:jc w:val="center"/>
              <w:rPr>
                <w:rFonts w:hint="default" w:ascii="Times New Roman" w:hAnsi="Times New Roman" w:cs="Times New Roman"/>
                <w:color w:val="000000"/>
                <w:sz w:val="21"/>
                <w:szCs w:val="21"/>
              </w:rPr>
            </w:pPr>
          </w:p>
        </w:tc>
        <w:tc>
          <w:tcPr>
            <w:tcW w:w="4377"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摄像头拆装费</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个</w:t>
            </w: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150</w:t>
            </w:r>
          </w:p>
        </w:tc>
        <w:tc>
          <w:tcPr>
            <w:tcW w:w="123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cs="Times New Roman"/>
                <w:color w:val="000000"/>
                <w:sz w:val="21"/>
                <w:szCs w:val="21"/>
              </w:rPr>
            </w:pPr>
          </w:p>
        </w:tc>
      </w:tr>
      <w:tr>
        <w:tblPrEx>
          <w:tblLayout w:type="fixed"/>
          <w:tblCellMar>
            <w:top w:w="15" w:type="dxa"/>
            <w:left w:w="15" w:type="dxa"/>
            <w:bottom w:w="15" w:type="dxa"/>
            <w:right w:w="15" w:type="dxa"/>
          </w:tblCellMar>
        </w:tblPrEx>
        <w:trPr>
          <w:trHeight w:val="20" w:hRule="atLeast"/>
          <w:jc w:val="center"/>
        </w:trPr>
        <w:tc>
          <w:tcPr>
            <w:tcW w:w="741" w:type="dxa"/>
            <w:vMerge w:val="continue"/>
            <w:tcBorders>
              <w:top w:val="single" w:color="auto" w:sz="4" w:space="0"/>
              <w:left w:val="single" w:color="auto" w:sz="12" w:space="0"/>
              <w:bottom w:val="single" w:color="auto" w:sz="4" w:space="0"/>
              <w:right w:val="single" w:color="auto" w:sz="4" w:space="0"/>
            </w:tcBorders>
            <w:shd w:val="clear" w:color="auto" w:fill="FFFFFF"/>
            <w:vAlign w:val="center"/>
          </w:tcPr>
          <w:p>
            <w:pPr>
              <w:snapToGrid w:val="0"/>
              <w:jc w:val="center"/>
              <w:rPr>
                <w:rFonts w:hint="default" w:ascii="Times New Roman" w:hAnsi="Times New Roman" w:cs="Times New Roman"/>
                <w:color w:val="000000"/>
                <w:sz w:val="21"/>
                <w:szCs w:val="21"/>
              </w:rPr>
            </w:pPr>
          </w:p>
        </w:tc>
        <w:tc>
          <w:tcPr>
            <w:tcW w:w="4377"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普通加压泵</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个</w:t>
            </w: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100</w:t>
            </w:r>
          </w:p>
        </w:tc>
        <w:tc>
          <w:tcPr>
            <w:tcW w:w="123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cs="Times New Roman"/>
                <w:color w:val="000000"/>
                <w:sz w:val="21"/>
                <w:szCs w:val="21"/>
              </w:rPr>
            </w:pPr>
          </w:p>
        </w:tc>
      </w:tr>
      <w:tr>
        <w:tblPrEx>
          <w:tblLayout w:type="fixed"/>
          <w:tblCellMar>
            <w:top w:w="15" w:type="dxa"/>
            <w:left w:w="15" w:type="dxa"/>
            <w:bottom w:w="15" w:type="dxa"/>
            <w:right w:w="15" w:type="dxa"/>
          </w:tblCellMar>
        </w:tblPrEx>
        <w:trPr>
          <w:trHeight w:val="20" w:hRule="atLeast"/>
          <w:jc w:val="center"/>
        </w:trPr>
        <w:tc>
          <w:tcPr>
            <w:tcW w:w="741" w:type="dxa"/>
            <w:vMerge w:val="continue"/>
            <w:tcBorders>
              <w:top w:val="single" w:color="auto" w:sz="4" w:space="0"/>
              <w:left w:val="single" w:color="auto" w:sz="12" w:space="0"/>
              <w:bottom w:val="single" w:color="auto" w:sz="4" w:space="0"/>
              <w:right w:val="single" w:color="auto" w:sz="4" w:space="0"/>
            </w:tcBorders>
            <w:shd w:val="clear" w:color="auto" w:fill="FFFFFF"/>
            <w:vAlign w:val="center"/>
          </w:tcPr>
          <w:p>
            <w:pPr>
              <w:snapToGrid w:val="0"/>
              <w:jc w:val="center"/>
              <w:rPr>
                <w:rFonts w:hint="default" w:ascii="Times New Roman" w:hAnsi="Times New Roman" w:cs="Times New Roman"/>
                <w:color w:val="000000"/>
                <w:sz w:val="21"/>
                <w:szCs w:val="21"/>
              </w:rPr>
            </w:pPr>
          </w:p>
        </w:tc>
        <w:tc>
          <w:tcPr>
            <w:tcW w:w="4377"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电子显示屏</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平方米</w:t>
            </w: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500</w:t>
            </w:r>
          </w:p>
        </w:tc>
        <w:tc>
          <w:tcPr>
            <w:tcW w:w="123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cs="Times New Roman"/>
                <w:color w:val="000000"/>
                <w:sz w:val="21"/>
                <w:szCs w:val="21"/>
              </w:rPr>
            </w:pPr>
          </w:p>
        </w:tc>
      </w:tr>
      <w:tr>
        <w:tblPrEx>
          <w:tblLayout w:type="fixed"/>
          <w:tblCellMar>
            <w:top w:w="15" w:type="dxa"/>
            <w:left w:w="15" w:type="dxa"/>
            <w:bottom w:w="15" w:type="dxa"/>
            <w:right w:w="15" w:type="dxa"/>
          </w:tblCellMar>
        </w:tblPrEx>
        <w:trPr>
          <w:trHeight w:val="20" w:hRule="atLeast"/>
          <w:jc w:val="center"/>
        </w:trPr>
        <w:tc>
          <w:tcPr>
            <w:tcW w:w="741" w:type="dxa"/>
            <w:vMerge w:val="continue"/>
            <w:tcBorders>
              <w:top w:val="single" w:color="auto" w:sz="4" w:space="0"/>
              <w:left w:val="single" w:color="auto" w:sz="12" w:space="0"/>
              <w:bottom w:val="single" w:color="auto" w:sz="4" w:space="0"/>
              <w:right w:val="single" w:color="auto" w:sz="4" w:space="0"/>
            </w:tcBorders>
            <w:shd w:val="clear" w:color="auto" w:fill="FFFFFF"/>
            <w:vAlign w:val="center"/>
          </w:tcPr>
          <w:p>
            <w:pPr>
              <w:snapToGrid w:val="0"/>
              <w:jc w:val="center"/>
              <w:rPr>
                <w:rFonts w:hint="default" w:ascii="Times New Roman" w:hAnsi="Times New Roman" w:cs="Times New Roman"/>
                <w:color w:val="000000"/>
                <w:sz w:val="21"/>
                <w:szCs w:val="21"/>
              </w:rPr>
            </w:pPr>
          </w:p>
        </w:tc>
        <w:tc>
          <w:tcPr>
            <w:tcW w:w="4377"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专业冻库冷冻类（体积300立方米及以下、300至600立方米、600立方米及以上）</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立方米</w:t>
            </w: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680、580、480</w:t>
            </w:r>
          </w:p>
        </w:tc>
        <w:tc>
          <w:tcPr>
            <w:tcW w:w="1236" w:type="dxa"/>
            <w:tcBorders>
              <w:top w:val="single" w:color="auto" w:sz="4" w:space="0"/>
              <w:left w:val="single" w:color="auto" w:sz="4" w:space="0"/>
              <w:bottom w:val="single" w:color="auto" w:sz="4" w:space="0"/>
              <w:right w:val="single" w:color="auto" w:sz="12" w:space="0"/>
            </w:tcBorders>
            <w:vAlign w:val="center"/>
          </w:tcPr>
          <w:p>
            <w:pPr>
              <w:snapToGrid w:val="0"/>
              <w:jc w:val="center"/>
              <w:textAlignment w:val="center"/>
              <w:rPr>
                <w:rFonts w:hint="default" w:ascii="Times New Roman" w:hAnsi="Times New Roman" w:cs="Times New Roman"/>
                <w:color w:val="000000"/>
                <w:sz w:val="21"/>
                <w:szCs w:val="21"/>
              </w:rPr>
            </w:pPr>
          </w:p>
        </w:tc>
      </w:tr>
      <w:tr>
        <w:tblPrEx>
          <w:tblLayout w:type="fixed"/>
          <w:tblCellMar>
            <w:top w:w="15" w:type="dxa"/>
            <w:left w:w="15" w:type="dxa"/>
            <w:bottom w:w="15" w:type="dxa"/>
            <w:right w:w="15" w:type="dxa"/>
          </w:tblCellMar>
        </w:tblPrEx>
        <w:trPr>
          <w:trHeight w:val="20" w:hRule="atLeast"/>
          <w:jc w:val="center"/>
        </w:trPr>
        <w:tc>
          <w:tcPr>
            <w:tcW w:w="741" w:type="dxa"/>
            <w:vMerge w:val="continue"/>
            <w:tcBorders>
              <w:top w:val="single" w:color="auto" w:sz="4" w:space="0"/>
              <w:left w:val="single" w:color="auto" w:sz="12" w:space="0"/>
              <w:bottom w:val="single" w:color="auto" w:sz="4" w:space="0"/>
              <w:right w:val="single" w:color="auto" w:sz="4" w:space="0"/>
            </w:tcBorders>
            <w:shd w:val="clear" w:color="auto" w:fill="FFFFFF"/>
            <w:vAlign w:val="center"/>
          </w:tcPr>
          <w:p>
            <w:pPr>
              <w:snapToGrid w:val="0"/>
              <w:jc w:val="center"/>
              <w:rPr>
                <w:rFonts w:hint="default" w:ascii="Times New Roman" w:hAnsi="Times New Roman" w:cs="Times New Roman"/>
                <w:color w:val="000000"/>
                <w:sz w:val="21"/>
                <w:szCs w:val="21"/>
              </w:rPr>
            </w:pPr>
          </w:p>
        </w:tc>
        <w:tc>
          <w:tcPr>
            <w:tcW w:w="4377"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专业冻库保鲜类</w:t>
            </w:r>
            <w:r>
              <w:rPr>
                <w:rFonts w:hint="default" w:ascii="Times New Roman" w:hAnsi="Times New Roman" w:cs="Times New Roman"/>
                <w:color w:val="000000"/>
                <w:kern w:val="0"/>
                <w:sz w:val="21"/>
                <w:szCs w:val="21"/>
                <w:lang w:bidi="ar"/>
              </w:rPr>
              <w:t>（体积300立方米及以下、300至600立方米、600立方米及以上）</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平方米</w:t>
            </w: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480、380、280</w:t>
            </w:r>
          </w:p>
        </w:tc>
        <w:tc>
          <w:tcPr>
            <w:tcW w:w="123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cs="Times New Roman"/>
                <w:color w:val="000000"/>
                <w:sz w:val="21"/>
                <w:szCs w:val="21"/>
              </w:rPr>
            </w:pPr>
          </w:p>
        </w:tc>
      </w:tr>
      <w:tr>
        <w:tblPrEx>
          <w:tblLayout w:type="fixed"/>
          <w:tblCellMar>
            <w:top w:w="15" w:type="dxa"/>
            <w:left w:w="15" w:type="dxa"/>
            <w:bottom w:w="15" w:type="dxa"/>
            <w:right w:w="15" w:type="dxa"/>
          </w:tblCellMar>
        </w:tblPrEx>
        <w:trPr>
          <w:trHeight w:val="20" w:hRule="atLeast"/>
          <w:jc w:val="center"/>
        </w:trPr>
        <w:tc>
          <w:tcPr>
            <w:tcW w:w="741" w:type="dxa"/>
            <w:vMerge w:val="continue"/>
            <w:tcBorders>
              <w:top w:val="single" w:color="auto" w:sz="4" w:space="0"/>
              <w:left w:val="single" w:color="auto" w:sz="12" w:space="0"/>
              <w:bottom w:val="single" w:color="auto" w:sz="4" w:space="0"/>
              <w:right w:val="single" w:color="auto" w:sz="4" w:space="0"/>
            </w:tcBorders>
            <w:shd w:val="clear" w:color="auto" w:fill="FFFFFF"/>
            <w:vAlign w:val="center"/>
          </w:tcPr>
          <w:p>
            <w:pPr>
              <w:snapToGrid w:val="0"/>
              <w:jc w:val="center"/>
              <w:rPr>
                <w:rFonts w:hint="default" w:ascii="Times New Roman" w:hAnsi="Times New Roman" w:cs="Times New Roman"/>
                <w:color w:val="000000"/>
                <w:sz w:val="21"/>
                <w:szCs w:val="21"/>
              </w:rPr>
            </w:pPr>
          </w:p>
        </w:tc>
        <w:tc>
          <w:tcPr>
            <w:tcW w:w="4377"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变压器拆装费</w:t>
            </w:r>
          </w:p>
        </w:tc>
        <w:tc>
          <w:tcPr>
            <w:tcW w:w="111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台</w:t>
            </w: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6000</w:t>
            </w:r>
          </w:p>
        </w:tc>
        <w:tc>
          <w:tcPr>
            <w:tcW w:w="123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default" w:ascii="Times New Roman" w:hAnsi="Times New Roman" w:cs="Times New Roman"/>
                <w:color w:val="000000"/>
                <w:sz w:val="21"/>
                <w:szCs w:val="21"/>
              </w:rPr>
            </w:pPr>
          </w:p>
        </w:tc>
      </w:tr>
      <w:tr>
        <w:tblPrEx>
          <w:tblLayout w:type="fixed"/>
          <w:tblCellMar>
            <w:top w:w="15" w:type="dxa"/>
            <w:left w:w="15" w:type="dxa"/>
            <w:bottom w:w="15" w:type="dxa"/>
            <w:right w:w="15" w:type="dxa"/>
          </w:tblCellMar>
        </w:tblPrEx>
        <w:trPr>
          <w:trHeight w:val="20" w:hRule="atLeast"/>
          <w:jc w:val="center"/>
        </w:trPr>
        <w:tc>
          <w:tcPr>
            <w:tcW w:w="741" w:type="dxa"/>
            <w:vMerge w:val="continue"/>
            <w:tcBorders>
              <w:top w:val="single" w:color="auto" w:sz="4" w:space="0"/>
              <w:left w:val="single" w:color="auto" w:sz="12" w:space="0"/>
              <w:bottom w:val="single" w:color="auto" w:sz="12" w:space="0"/>
              <w:right w:val="single" w:color="auto" w:sz="4" w:space="0"/>
            </w:tcBorders>
            <w:shd w:val="clear" w:color="auto" w:fill="FFFFFF"/>
            <w:vAlign w:val="center"/>
          </w:tcPr>
          <w:p>
            <w:pPr>
              <w:snapToGrid w:val="0"/>
              <w:jc w:val="center"/>
              <w:rPr>
                <w:rFonts w:hint="default" w:ascii="Times New Roman" w:hAnsi="Times New Roman" w:cs="Times New Roman"/>
                <w:color w:val="000000"/>
                <w:sz w:val="21"/>
                <w:szCs w:val="21"/>
              </w:rPr>
            </w:pPr>
          </w:p>
        </w:tc>
        <w:tc>
          <w:tcPr>
            <w:tcW w:w="4377" w:type="dxa"/>
            <w:tcBorders>
              <w:top w:val="single" w:color="auto" w:sz="4" w:space="0"/>
              <w:left w:val="single" w:color="auto" w:sz="4" w:space="0"/>
              <w:bottom w:val="single" w:color="auto" w:sz="12" w:space="0"/>
              <w:right w:val="single" w:color="auto" w:sz="4" w:space="0"/>
            </w:tcBorders>
            <w:vAlign w:val="center"/>
          </w:tcPr>
          <w:p>
            <w:pPr>
              <w:snapToGrid w:val="0"/>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室外饮水管：直径20毫米及以下、20—50毫米、50毫米及以上</w:t>
            </w:r>
          </w:p>
        </w:tc>
        <w:tc>
          <w:tcPr>
            <w:tcW w:w="1112" w:type="dxa"/>
            <w:tcBorders>
              <w:top w:val="single" w:color="auto" w:sz="4" w:space="0"/>
              <w:left w:val="single" w:color="auto" w:sz="4" w:space="0"/>
              <w:bottom w:val="single" w:color="auto" w:sz="12" w:space="0"/>
              <w:right w:val="single" w:color="auto" w:sz="4" w:space="0"/>
            </w:tcBorders>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米</w:t>
            </w:r>
          </w:p>
        </w:tc>
        <w:tc>
          <w:tcPr>
            <w:tcW w:w="1408" w:type="dxa"/>
            <w:tcBorders>
              <w:top w:val="single" w:color="auto" w:sz="4" w:space="0"/>
              <w:left w:val="single" w:color="auto" w:sz="4" w:space="0"/>
              <w:bottom w:val="single" w:color="auto" w:sz="12" w:space="0"/>
              <w:right w:val="single" w:color="auto" w:sz="4" w:space="0"/>
            </w:tcBorders>
            <w:vAlign w:val="center"/>
          </w:tcPr>
          <w:p>
            <w:pPr>
              <w:snapToGrid w:val="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6、10、20</w:t>
            </w:r>
          </w:p>
        </w:tc>
        <w:tc>
          <w:tcPr>
            <w:tcW w:w="1236" w:type="dxa"/>
            <w:tcBorders>
              <w:top w:val="single" w:color="auto" w:sz="4" w:space="0"/>
              <w:left w:val="single" w:color="auto" w:sz="4" w:space="0"/>
              <w:bottom w:val="single" w:color="auto" w:sz="12" w:space="0"/>
              <w:right w:val="single" w:color="auto" w:sz="12" w:space="0"/>
            </w:tcBorders>
            <w:vAlign w:val="center"/>
          </w:tcPr>
          <w:p>
            <w:pPr>
              <w:snapToGrid w:val="0"/>
              <w:jc w:val="center"/>
              <w:rPr>
                <w:rFonts w:hint="default" w:ascii="Times New Roman" w:hAnsi="Times New Roman" w:cs="Times New Roman"/>
                <w:color w:val="000000"/>
                <w:sz w:val="21"/>
                <w:szCs w:val="21"/>
              </w:rPr>
            </w:pPr>
          </w:p>
        </w:tc>
      </w:tr>
    </w:tbl>
    <w:p>
      <w:pPr>
        <w:spacing w:line="360" w:lineRule="exact"/>
        <w:rPr>
          <w:rFonts w:hint="default" w:ascii="Times New Roman" w:hAnsi="Times New Roman" w:eastAsia="方正黑体_GBK" w:cs="Times New Roman"/>
          <w:color w:val="000000"/>
          <w:szCs w:val="32"/>
        </w:rPr>
      </w:pPr>
    </w:p>
    <w:p>
      <w:pPr>
        <w:spacing w:line="36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附件5</w:t>
      </w:r>
    </w:p>
    <w:p>
      <w:pPr>
        <w:widowControl w:val="0"/>
        <w:snapToGrid w:val="0"/>
        <w:jc w:val="center"/>
        <w:rPr>
          <w:rFonts w:hint="default" w:ascii="Times New Roman" w:hAnsi="Times New Roman" w:eastAsia="方正小标宋_GBK" w:cs="Times New Roman"/>
          <w:sz w:val="44"/>
          <w:szCs w:val="44"/>
        </w:rPr>
      </w:pPr>
    </w:p>
    <w:p>
      <w:pPr>
        <w:widowControl w:val="0"/>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秀山县规模化专业种植养殖搬迁补助标准</w:t>
      </w:r>
    </w:p>
    <w:p>
      <w:pPr>
        <w:widowControl w:val="0"/>
        <w:numPr>
          <w:ilvl w:val="0"/>
          <w:numId w:val="0"/>
        </w:numPr>
        <w:snapToGrid w:val="0"/>
        <w:jc w:val="both"/>
        <w:rPr>
          <w:rFonts w:hint="default" w:ascii="Times New Roman" w:hAnsi="Times New Roman" w:eastAsia="黑体" w:cs="Times New Roman"/>
          <w:sz w:val="32"/>
          <w:szCs w:val="32"/>
          <w:lang w:eastAsia="zh-CN" w:bidi="ar"/>
        </w:rPr>
      </w:pPr>
    </w:p>
    <w:p>
      <w:pPr>
        <w:widowControl w:val="0"/>
        <w:numPr>
          <w:ilvl w:val="0"/>
          <w:numId w:val="0"/>
        </w:numPr>
        <w:snapToGrid w:val="0"/>
        <w:jc w:val="center"/>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lang w:eastAsia="zh-CN" w:bidi="ar"/>
        </w:rPr>
        <w:t>（一）</w:t>
      </w:r>
      <w:r>
        <w:rPr>
          <w:rFonts w:hint="default" w:ascii="Times New Roman" w:hAnsi="Times New Roman" w:eastAsia="黑体" w:cs="Times New Roman"/>
          <w:sz w:val="32"/>
          <w:szCs w:val="32"/>
          <w:lang w:bidi="ar"/>
        </w:rPr>
        <w:t>规模化专业种植、规模化专业水产养殖</w:t>
      </w:r>
    </w:p>
    <w:tbl>
      <w:tblPr>
        <w:tblStyle w:val="12"/>
        <w:tblW w:w="9167" w:type="dxa"/>
        <w:jc w:val="center"/>
        <w:tblInd w:w="-11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1145"/>
        <w:gridCol w:w="4757"/>
        <w:gridCol w:w="915"/>
        <w:gridCol w:w="960"/>
        <w:gridCol w:w="1390"/>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jc w:val="center"/>
        </w:trPr>
        <w:tc>
          <w:tcPr>
            <w:tcW w:w="1145" w:type="dxa"/>
            <w:shd w:val="clear" w:color="auto" w:fill="auto"/>
            <w:vAlign w:val="center"/>
          </w:tcPr>
          <w:p>
            <w:pPr>
              <w:snapToGrid w:val="0"/>
              <w:jc w:val="center"/>
              <w:textAlignment w:val="center"/>
              <w:rPr>
                <w:rFonts w:hint="default" w:ascii="Times New Roman" w:hAnsi="Times New Roman" w:eastAsia="黑体" w:cs="Times New Roman"/>
                <w:bCs/>
                <w:color w:val="000000"/>
                <w:sz w:val="28"/>
                <w:szCs w:val="28"/>
              </w:rPr>
            </w:pPr>
            <w:r>
              <w:rPr>
                <w:rFonts w:hint="default" w:ascii="Times New Roman" w:hAnsi="Times New Roman" w:eastAsia="黑体" w:cs="Times New Roman"/>
                <w:bCs/>
                <w:color w:val="000000"/>
                <w:kern w:val="0"/>
                <w:sz w:val="28"/>
                <w:szCs w:val="28"/>
                <w:lang w:bidi="ar"/>
              </w:rPr>
              <w:t>类别</w:t>
            </w:r>
          </w:p>
        </w:tc>
        <w:tc>
          <w:tcPr>
            <w:tcW w:w="4757" w:type="dxa"/>
            <w:shd w:val="clear" w:color="auto" w:fill="FFFFFF"/>
            <w:vAlign w:val="center"/>
          </w:tcPr>
          <w:p>
            <w:pPr>
              <w:snapToGrid w:val="0"/>
              <w:jc w:val="center"/>
              <w:textAlignment w:val="center"/>
              <w:rPr>
                <w:rFonts w:hint="default" w:ascii="Times New Roman" w:hAnsi="Times New Roman" w:eastAsia="黑体" w:cs="Times New Roman"/>
                <w:bCs/>
                <w:color w:val="000000"/>
                <w:sz w:val="28"/>
                <w:szCs w:val="28"/>
              </w:rPr>
            </w:pPr>
            <w:r>
              <w:rPr>
                <w:rFonts w:hint="default" w:ascii="Times New Roman" w:hAnsi="Times New Roman" w:eastAsia="黑体" w:cs="Times New Roman"/>
                <w:bCs/>
                <w:color w:val="000000"/>
                <w:kern w:val="0"/>
                <w:sz w:val="28"/>
                <w:szCs w:val="28"/>
                <w:lang w:bidi="ar"/>
              </w:rPr>
              <w:t>名称</w:t>
            </w:r>
          </w:p>
        </w:tc>
        <w:tc>
          <w:tcPr>
            <w:tcW w:w="915" w:type="dxa"/>
            <w:shd w:val="clear" w:color="auto" w:fill="FFFFFF"/>
            <w:vAlign w:val="center"/>
          </w:tcPr>
          <w:p>
            <w:pPr>
              <w:snapToGrid w:val="0"/>
              <w:jc w:val="center"/>
              <w:textAlignment w:val="center"/>
              <w:rPr>
                <w:rFonts w:hint="default" w:ascii="Times New Roman" w:hAnsi="Times New Roman" w:eastAsia="黑体" w:cs="Times New Roman"/>
                <w:bCs/>
                <w:color w:val="000000"/>
                <w:sz w:val="28"/>
                <w:szCs w:val="28"/>
              </w:rPr>
            </w:pPr>
            <w:r>
              <w:rPr>
                <w:rFonts w:hint="default" w:ascii="Times New Roman" w:hAnsi="Times New Roman" w:eastAsia="黑体" w:cs="Times New Roman"/>
                <w:bCs/>
                <w:color w:val="000000"/>
                <w:kern w:val="0"/>
                <w:sz w:val="28"/>
                <w:szCs w:val="28"/>
                <w:lang w:bidi="ar"/>
              </w:rPr>
              <w:t>单位</w:t>
            </w:r>
          </w:p>
        </w:tc>
        <w:tc>
          <w:tcPr>
            <w:tcW w:w="960" w:type="dxa"/>
            <w:shd w:val="clear" w:color="auto" w:fill="FFFFFF"/>
            <w:vAlign w:val="center"/>
          </w:tcPr>
          <w:p>
            <w:pPr>
              <w:snapToGrid w:val="0"/>
              <w:jc w:val="center"/>
              <w:textAlignment w:val="center"/>
              <w:rPr>
                <w:rFonts w:hint="default" w:ascii="Times New Roman" w:hAnsi="Times New Roman" w:eastAsia="黑体" w:cs="Times New Roman"/>
                <w:bCs/>
                <w:color w:val="000000"/>
                <w:sz w:val="28"/>
                <w:szCs w:val="28"/>
              </w:rPr>
            </w:pPr>
            <w:r>
              <w:rPr>
                <w:rFonts w:hint="default" w:ascii="Times New Roman" w:hAnsi="Times New Roman" w:eastAsia="黑体" w:cs="Times New Roman"/>
                <w:bCs/>
                <w:color w:val="000000"/>
                <w:kern w:val="0"/>
                <w:sz w:val="28"/>
                <w:szCs w:val="28"/>
                <w:lang w:bidi="ar"/>
              </w:rPr>
              <w:t>标准（元）</w:t>
            </w:r>
          </w:p>
        </w:tc>
        <w:tc>
          <w:tcPr>
            <w:tcW w:w="1390" w:type="dxa"/>
            <w:vAlign w:val="center"/>
          </w:tcPr>
          <w:p>
            <w:pPr>
              <w:snapToGrid w:val="0"/>
              <w:jc w:val="center"/>
              <w:textAlignment w:val="center"/>
              <w:rPr>
                <w:rFonts w:hint="default" w:ascii="Times New Roman" w:hAnsi="Times New Roman" w:eastAsia="黑体" w:cs="Times New Roman"/>
                <w:bCs/>
                <w:color w:val="000000"/>
                <w:sz w:val="28"/>
                <w:szCs w:val="28"/>
              </w:rPr>
            </w:pPr>
            <w:r>
              <w:rPr>
                <w:rFonts w:hint="default" w:ascii="Times New Roman" w:hAnsi="Times New Roman" w:eastAsia="黑体" w:cs="Times New Roman"/>
                <w:bCs/>
                <w:color w:val="000000"/>
                <w:kern w:val="0"/>
                <w:sz w:val="28"/>
                <w:szCs w:val="28"/>
                <w:lang w:bidi="ar"/>
              </w:rPr>
              <w:t>备注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jc w:val="center"/>
        </w:trPr>
        <w:tc>
          <w:tcPr>
            <w:tcW w:w="1145" w:type="dxa"/>
            <w:vAlign w:val="center"/>
          </w:tcPr>
          <w:p>
            <w:pPr>
              <w:snapToGrid w:val="0"/>
              <w:jc w:val="center"/>
              <w:textAlignment w:val="center"/>
              <w:rPr>
                <w:rFonts w:hint="default" w:ascii="Times New Roman" w:hAnsi="Times New Roman" w:cs="Times New Roman"/>
                <w:color w:val="000000"/>
                <w:kern w:val="0"/>
                <w:sz w:val="28"/>
                <w:szCs w:val="28"/>
                <w:lang w:bidi="ar"/>
              </w:rPr>
            </w:pPr>
            <w:r>
              <w:rPr>
                <w:rFonts w:hint="default" w:ascii="Times New Roman" w:hAnsi="Times New Roman" w:cs="Times New Roman"/>
                <w:color w:val="000000"/>
                <w:kern w:val="0"/>
                <w:sz w:val="28"/>
                <w:szCs w:val="28"/>
                <w:lang w:bidi="ar"/>
              </w:rPr>
              <w:t>药物类</w:t>
            </w:r>
          </w:p>
        </w:tc>
        <w:tc>
          <w:tcPr>
            <w:tcW w:w="4757" w:type="dxa"/>
            <w:vAlign w:val="center"/>
          </w:tcPr>
          <w:p>
            <w:pPr>
              <w:snapToGrid w:val="0"/>
              <w:jc w:val="left"/>
              <w:textAlignment w:val="center"/>
              <w:rPr>
                <w:rFonts w:hint="default" w:ascii="Times New Roman" w:hAnsi="Times New Roman" w:cs="Times New Roman"/>
                <w:color w:val="000000"/>
                <w:kern w:val="0"/>
                <w:sz w:val="28"/>
                <w:szCs w:val="28"/>
                <w:lang w:bidi="ar"/>
              </w:rPr>
            </w:pPr>
            <w:r>
              <w:rPr>
                <w:rFonts w:hint="default" w:ascii="Times New Roman" w:hAnsi="Times New Roman" w:cs="Times New Roman"/>
                <w:color w:val="000000"/>
                <w:kern w:val="0"/>
                <w:sz w:val="28"/>
                <w:szCs w:val="28"/>
                <w:lang w:bidi="ar"/>
              </w:rPr>
              <w:t>人参、灵芝、黄精、枸杞、天麻、杜仲、黄连、白术、麦冬、山银花等。</w:t>
            </w:r>
          </w:p>
        </w:tc>
        <w:tc>
          <w:tcPr>
            <w:tcW w:w="915" w:type="dxa"/>
            <w:vAlign w:val="center"/>
          </w:tcPr>
          <w:p>
            <w:pPr>
              <w:snapToGrid w:val="0"/>
              <w:jc w:val="center"/>
              <w:textAlignment w:val="center"/>
              <w:rPr>
                <w:rFonts w:hint="default" w:ascii="Times New Roman" w:hAnsi="Times New Roman" w:cs="Times New Roman"/>
                <w:color w:val="000000"/>
                <w:kern w:val="0"/>
                <w:sz w:val="28"/>
                <w:szCs w:val="28"/>
                <w:lang w:bidi="ar"/>
              </w:rPr>
            </w:pPr>
            <w:r>
              <w:rPr>
                <w:rFonts w:hint="default" w:ascii="Times New Roman" w:hAnsi="Times New Roman" w:cs="Times New Roman"/>
                <w:color w:val="000000"/>
                <w:kern w:val="0"/>
                <w:sz w:val="28"/>
                <w:szCs w:val="28"/>
                <w:lang w:bidi="ar"/>
              </w:rPr>
              <w:t>亩</w:t>
            </w:r>
          </w:p>
        </w:tc>
        <w:tc>
          <w:tcPr>
            <w:tcW w:w="960" w:type="dxa"/>
            <w:vAlign w:val="center"/>
          </w:tcPr>
          <w:p>
            <w:pPr>
              <w:snapToGrid w:val="0"/>
              <w:jc w:val="center"/>
              <w:textAlignment w:val="center"/>
              <w:rPr>
                <w:rFonts w:hint="default" w:ascii="Times New Roman" w:hAnsi="Times New Roman" w:cs="Times New Roman"/>
                <w:color w:val="000000"/>
                <w:kern w:val="0"/>
                <w:sz w:val="28"/>
                <w:szCs w:val="28"/>
                <w:lang w:bidi="ar"/>
              </w:rPr>
            </w:pPr>
            <w:r>
              <w:rPr>
                <w:rFonts w:hint="default" w:ascii="Times New Roman" w:hAnsi="Times New Roman" w:cs="Times New Roman"/>
                <w:color w:val="000000"/>
                <w:kern w:val="0"/>
                <w:sz w:val="28"/>
                <w:szCs w:val="28"/>
                <w:lang w:bidi="ar"/>
              </w:rPr>
              <w:t>2200</w:t>
            </w:r>
          </w:p>
        </w:tc>
        <w:tc>
          <w:tcPr>
            <w:tcW w:w="1390" w:type="dxa"/>
            <w:vAlign w:val="center"/>
          </w:tcPr>
          <w:p>
            <w:pPr>
              <w:snapToGrid w:val="0"/>
              <w:jc w:val="center"/>
              <w:textAlignment w:val="center"/>
              <w:rPr>
                <w:rFonts w:hint="default" w:ascii="Times New Roman" w:hAnsi="Times New Roman" w:cs="Times New Roman"/>
                <w:color w:val="000000"/>
                <w:kern w:val="0"/>
                <w:sz w:val="28"/>
                <w:szCs w:val="28"/>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jc w:val="center"/>
        </w:trPr>
        <w:tc>
          <w:tcPr>
            <w:tcW w:w="1145"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菌菇类</w:t>
            </w:r>
          </w:p>
        </w:tc>
        <w:tc>
          <w:tcPr>
            <w:tcW w:w="4757" w:type="dxa"/>
            <w:vAlign w:val="center"/>
          </w:tcPr>
          <w:p>
            <w:pPr>
              <w:snapToGrid w:val="0"/>
              <w:jc w:val="left"/>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蘑菇、秀珍菇、香菇、草菇、金针菇、黑木耳等。</w:t>
            </w:r>
          </w:p>
        </w:tc>
        <w:tc>
          <w:tcPr>
            <w:tcW w:w="915"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亩</w:t>
            </w:r>
          </w:p>
        </w:tc>
        <w:tc>
          <w:tcPr>
            <w:tcW w:w="960"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3000</w:t>
            </w:r>
          </w:p>
        </w:tc>
        <w:tc>
          <w:tcPr>
            <w:tcW w:w="1390" w:type="dxa"/>
            <w:vAlign w:val="center"/>
          </w:tcPr>
          <w:p>
            <w:pPr>
              <w:snapToGrid w:val="0"/>
              <w:jc w:val="center"/>
              <w:textAlignment w:val="center"/>
              <w:rPr>
                <w:rFonts w:hint="default" w:ascii="Times New Roman" w:hAnsi="Times New Roman"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jc w:val="center"/>
        </w:trPr>
        <w:tc>
          <w:tcPr>
            <w:tcW w:w="1145"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果树类</w:t>
            </w:r>
          </w:p>
        </w:tc>
        <w:tc>
          <w:tcPr>
            <w:tcW w:w="4757" w:type="dxa"/>
            <w:vAlign w:val="center"/>
          </w:tcPr>
          <w:p>
            <w:pPr>
              <w:snapToGrid w:val="0"/>
              <w:jc w:val="left"/>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柑桔、梨、桃、李、杏、柚子、枇杷、苹果、葡萄、猕猴桃、蓝莓、柿子、桑椹、杨梅等。</w:t>
            </w:r>
          </w:p>
        </w:tc>
        <w:tc>
          <w:tcPr>
            <w:tcW w:w="915"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亩</w:t>
            </w:r>
          </w:p>
        </w:tc>
        <w:tc>
          <w:tcPr>
            <w:tcW w:w="960"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2500</w:t>
            </w:r>
          </w:p>
        </w:tc>
        <w:tc>
          <w:tcPr>
            <w:tcW w:w="1390"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投入期1800元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jc w:val="center"/>
        </w:trPr>
        <w:tc>
          <w:tcPr>
            <w:tcW w:w="1145" w:type="dxa"/>
            <w:vMerge w:val="restart"/>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苗木花卉及苗圃类</w:t>
            </w:r>
          </w:p>
        </w:tc>
        <w:tc>
          <w:tcPr>
            <w:tcW w:w="4757" w:type="dxa"/>
            <w:vAlign w:val="center"/>
          </w:tcPr>
          <w:p>
            <w:pPr>
              <w:snapToGrid w:val="0"/>
              <w:jc w:val="left"/>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玫瑰、黄杨、玉兰、桂花、蚊母、香樟、雪松、栀子花、海棠、石榴、腊梅、栾树、水杉、</w:t>
            </w:r>
            <w:r>
              <w:rPr>
                <w:rStyle w:val="17"/>
                <w:rFonts w:hint="default" w:ascii="Times New Roman" w:hAnsi="Times New Roman" w:cs="Times New Roman"/>
                <w:sz w:val="28"/>
                <w:szCs w:val="28"/>
                <w:lang w:bidi="ar"/>
              </w:rPr>
              <w:t>月季、紫荆、金弹子、赤楠、映山红、黑松、铁树等；</w:t>
            </w:r>
            <w:r>
              <w:rPr>
                <w:rFonts w:hint="default" w:ascii="Times New Roman" w:hAnsi="Times New Roman" w:cs="Times New Roman"/>
                <w:color w:val="000000"/>
                <w:kern w:val="0"/>
                <w:sz w:val="28"/>
                <w:szCs w:val="28"/>
                <w:lang w:bidi="ar"/>
              </w:rPr>
              <w:t>地被植物类；凤尾竹、刚竹等竹类；爬山虎、紫藤等攀缘类；荷花、睡莲等水生类；营养杯种植类。</w:t>
            </w:r>
          </w:p>
        </w:tc>
        <w:tc>
          <w:tcPr>
            <w:tcW w:w="915"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亩</w:t>
            </w:r>
          </w:p>
        </w:tc>
        <w:tc>
          <w:tcPr>
            <w:tcW w:w="960"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2200</w:t>
            </w:r>
          </w:p>
        </w:tc>
        <w:tc>
          <w:tcPr>
            <w:tcW w:w="1390" w:type="dxa"/>
            <w:vAlign w:val="center"/>
          </w:tcPr>
          <w:p>
            <w:pPr>
              <w:snapToGrid w:val="0"/>
              <w:jc w:val="center"/>
              <w:textAlignment w:val="center"/>
              <w:rPr>
                <w:rFonts w:hint="default" w:ascii="Times New Roman" w:hAnsi="Times New Roman"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jc w:val="center"/>
        </w:trPr>
        <w:tc>
          <w:tcPr>
            <w:tcW w:w="1145" w:type="dxa"/>
            <w:vMerge w:val="continue"/>
            <w:vAlign w:val="center"/>
          </w:tcPr>
          <w:p>
            <w:pPr>
              <w:snapToGrid w:val="0"/>
              <w:jc w:val="center"/>
              <w:rPr>
                <w:rFonts w:hint="default" w:ascii="Times New Roman" w:hAnsi="Times New Roman" w:cs="Times New Roman"/>
                <w:color w:val="000000"/>
                <w:sz w:val="28"/>
                <w:szCs w:val="28"/>
              </w:rPr>
            </w:pPr>
          </w:p>
        </w:tc>
        <w:tc>
          <w:tcPr>
            <w:tcW w:w="4757" w:type="dxa"/>
            <w:vAlign w:val="center"/>
          </w:tcPr>
          <w:p>
            <w:pPr>
              <w:snapToGrid w:val="0"/>
              <w:jc w:val="left"/>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林木种子生产经营的各类种植。</w:t>
            </w:r>
          </w:p>
        </w:tc>
        <w:tc>
          <w:tcPr>
            <w:tcW w:w="915"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亩</w:t>
            </w:r>
          </w:p>
        </w:tc>
        <w:tc>
          <w:tcPr>
            <w:tcW w:w="960"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12000</w:t>
            </w:r>
          </w:p>
        </w:tc>
        <w:tc>
          <w:tcPr>
            <w:tcW w:w="1390"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需经行政许可</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jc w:val="center"/>
        </w:trPr>
        <w:tc>
          <w:tcPr>
            <w:tcW w:w="1145" w:type="dxa"/>
            <w:vAlign w:val="center"/>
          </w:tcPr>
          <w:p>
            <w:pPr>
              <w:snapToGrid w:val="0"/>
              <w:jc w:val="center"/>
              <w:textAlignment w:val="center"/>
              <w:rPr>
                <w:rFonts w:hint="default" w:ascii="Times New Roman" w:hAnsi="Times New Roman" w:cs="Times New Roman"/>
                <w:color w:val="000000"/>
                <w:kern w:val="0"/>
                <w:sz w:val="28"/>
                <w:szCs w:val="28"/>
                <w:lang w:bidi="ar"/>
              </w:rPr>
            </w:pPr>
            <w:r>
              <w:rPr>
                <w:rFonts w:hint="default" w:ascii="Times New Roman" w:hAnsi="Times New Roman" w:cs="Times New Roman"/>
                <w:color w:val="000000"/>
                <w:sz w:val="28"/>
                <w:szCs w:val="28"/>
              </w:rPr>
              <w:t>特色产业类</w:t>
            </w:r>
          </w:p>
        </w:tc>
        <w:tc>
          <w:tcPr>
            <w:tcW w:w="4757" w:type="dxa"/>
            <w:vAlign w:val="center"/>
          </w:tcPr>
          <w:p>
            <w:pPr>
              <w:snapToGrid w:val="0"/>
              <w:jc w:val="left"/>
              <w:textAlignment w:val="center"/>
              <w:rPr>
                <w:rFonts w:hint="default" w:ascii="Times New Roman" w:hAnsi="Times New Roman" w:cs="Times New Roman"/>
                <w:color w:val="000000"/>
                <w:kern w:val="0"/>
                <w:sz w:val="28"/>
                <w:szCs w:val="28"/>
                <w:lang w:bidi="ar"/>
              </w:rPr>
            </w:pPr>
            <w:r>
              <w:rPr>
                <w:rFonts w:hint="default" w:ascii="Times New Roman" w:hAnsi="Times New Roman" w:cs="Times New Roman"/>
                <w:color w:val="000000"/>
                <w:kern w:val="0"/>
                <w:sz w:val="28"/>
                <w:szCs w:val="28"/>
                <w:lang w:bidi="ar"/>
              </w:rPr>
              <w:t>茶叶、油茶等。</w:t>
            </w:r>
          </w:p>
        </w:tc>
        <w:tc>
          <w:tcPr>
            <w:tcW w:w="915" w:type="dxa"/>
            <w:vAlign w:val="center"/>
          </w:tcPr>
          <w:p>
            <w:pPr>
              <w:snapToGrid w:val="0"/>
              <w:jc w:val="center"/>
              <w:textAlignment w:val="center"/>
              <w:rPr>
                <w:rFonts w:hint="default" w:ascii="Times New Roman" w:hAnsi="Times New Roman" w:cs="Times New Roman"/>
                <w:color w:val="000000"/>
                <w:kern w:val="0"/>
                <w:sz w:val="28"/>
                <w:szCs w:val="28"/>
                <w:lang w:bidi="ar"/>
              </w:rPr>
            </w:pPr>
            <w:r>
              <w:rPr>
                <w:rFonts w:hint="default" w:ascii="Times New Roman" w:hAnsi="Times New Roman" w:cs="Times New Roman"/>
                <w:color w:val="000000"/>
                <w:kern w:val="0"/>
                <w:sz w:val="28"/>
                <w:szCs w:val="28"/>
                <w:lang w:bidi="ar"/>
              </w:rPr>
              <w:t>亩</w:t>
            </w:r>
          </w:p>
        </w:tc>
        <w:tc>
          <w:tcPr>
            <w:tcW w:w="960" w:type="dxa"/>
            <w:vAlign w:val="center"/>
          </w:tcPr>
          <w:p>
            <w:pPr>
              <w:snapToGrid w:val="0"/>
              <w:jc w:val="center"/>
              <w:textAlignment w:val="center"/>
              <w:rPr>
                <w:rFonts w:hint="default" w:ascii="Times New Roman" w:hAnsi="Times New Roman" w:cs="Times New Roman"/>
                <w:color w:val="000000"/>
                <w:kern w:val="0"/>
                <w:sz w:val="28"/>
                <w:szCs w:val="28"/>
                <w:lang w:bidi="ar"/>
              </w:rPr>
            </w:pPr>
            <w:r>
              <w:rPr>
                <w:rFonts w:hint="default" w:ascii="Times New Roman" w:hAnsi="Times New Roman" w:cs="Times New Roman"/>
                <w:color w:val="000000"/>
                <w:kern w:val="0"/>
                <w:sz w:val="28"/>
                <w:szCs w:val="28"/>
                <w:lang w:bidi="ar"/>
              </w:rPr>
              <w:t>4000</w:t>
            </w:r>
          </w:p>
        </w:tc>
        <w:tc>
          <w:tcPr>
            <w:tcW w:w="1390"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投入期2200元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jc w:val="center"/>
        </w:trPr>
        <w:tc>
          <w:tcPr>
            <w:tcW w:w="1145" w:type="dxa"/>
            <w:vMerge w:val="restart"/>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专业水产养殖类</w:t>
            </w:r>
          </w:p>
        </w:tc>
        <w:tc>
          <w:tcPr>
            <w:tcW w:w="4757" w:type="dxa"/>
            <w:vAlign w:val="center"/>
          </w:tcPr>
          <w:p>
            <w:pPr>
              <w:snapToGrid w:val="0"/>
              <w:jc w:val="left"/>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鲫鱼、鲤鱼、草鱼、龟鳖、黄鳝、泥鳅、蜗牛、娃娃鱼、中华鲟等。</w:t>
            </w:r>
          </w:p>
        </w:tc>
        <w:tc>
          <w:tcPr>
            <w:tcW w:w="915"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亩</w:t>
            </w:r>
          </w:p>
        </w:tc>
        <w:tc>
          <w:tcPr>
            <w:tcW w:w="960"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6000</w:t>
            </w:r>
          </w:p>
        </w:tc>
        <w:tc>
          <w:tcPr>
            <w:tcW w:w="1390" w:type="dxa"/>
            <w:vAlign w:val="center"/>
          </w:tcPr>
          <w:p>
            <w:pPr>
              <w:snapToGrid w:val="0"/>
              <w:jc w:val="center"/>
              <w:textAlignment w:val="center"/>
              <w:rPr>
                <w:rFonts w:hint="default" w:ascii="Times New Roman" w:hAnsi="Times New Roman"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jc w:val="center"/>
        </w:trPr>
        <w:tc>
          <w:tcPr>
            <w:tcW w:w="1145" w:type="dxa"/>
            <w:vMerge w:val="continue"/>
            <w:vAlign w:val="center"/>
          </w:tcPr>
          <w:p>
            <w:pPr>
              <w:snapToGrid w:val="0"/>
              <w:jc w:val="center"/>
              <w:rPr>
                <w:rFonts w:hint="default" w:ascii="Times New Roman" w:hAnsi="Times New Roman" w:cs="Times New Roman"/>
                <w:color w:val="000000"/>
                <w:sz w:val="28"/>
                <w:szCs w:val="28"/>
              </w:rPr>
            </w:pPr>
          </w:p>
        </w:tc>
        <w:tc>
          <w:tcPr>
            <w:tcW w:w="4757" w:type="dxa"/>
            <w:vAlign w:val="center"/>
          </w:tcPr>
          <w:p>
            <w:pPr>
              <w:snapToGrid w:val="0"/>
              <w:jc w:val="left"/>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水产养殖相关设施：渔网、潜水泵、增氧器、网箱、电箱、气泵、保温设施、防逃设备、鱼塘自动投料机等。</w:t>
            </w:r>
          </w:p>
        </w:tc>
        <w:tc>
          <w:tcPr>
            <w:tcW w:w="915" w:type="dxa"/>
            <w:vAlign w:val="center"/>
          </w:tcPr>
          <w:p>
            <w:pPr>
              <w:snapToGrid w:val="0"/>
              <w:jc w:val="center"/>
              <w:rPr>
                <w:rFonts w:hint="default" w:ascii="Times New Roman" w:hAnsi="Times New Roman" w:cs="Times New Roman"/>
                <w:color w:val="000000"/>
                <w:sz w:val="28"/>
                <w:szCs w:val="28"/>
              </w:rPr>
            </w:pPr>
          </w:p>
        </w:tc>
        <w:tc>
          <w:tcPr>
            <w:tcW w:w="960"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按购买时市场价格的20%</w:t>
            </w:r>
          </w:p>
        </w:tc>
        <w:tc>
          <w:tcPr>
            <w:tcW w:w="1390" w:type="dxa"/>
            <w:vAlign w:val="center"/>
          </w:tcPr>
          <w:p>
            <w:pPr>
              <w:snapToGrid w:val="0"/>
              <w:jc w:val="center"/>
              <w:textAlignment w:val="center"/>
              <w:rPr>
                <w:rFonts w:hint="default" w:ascii="Times New Roman" w:hAnsi="Times New Roman" w:cs="Times New Roman"/>
                <w:color w:val="000000"/>
                <w:sz w:val="28"/>
                <w:szCs w:val="28"/>
              </w:rPr>
            </w:pPr>
          </w:p>
        </w:tc>
      </w:tr>
    </w:tbl>
    <w:p>
      <w:pPr>
        <w:widowControl w:val="0"/>
        <w:snapToGrid w:val="0"/>
        <w:jc w:val="center"/>
        <w:rPr>
          <w:rFonts w:hint="default" w:ascii="Times New Roman" w:hAnsi="Times New Roman" w:eastAsia="黑体" w:cs="Times New Roman"/>
          <w:szCs w:val="32"/>
          <w:lang w:bidi="ar"/>
        </w:rPr>
      </w:pPr>
    </w:p>
    <w:p>
      <w:pPr>
        <w:widowControl w:val="0"/>
        <w:snapToGrid w:val="0"/>
        <w:jc w:val="center"/>
        <w:rPr>
          <w:rFonts w:hint="default" w:ascii="Times New Roman" w:hAnsi="Times New Roman" w:eastAsia="黑体" w:cs="Times New Roman"/>
          <w:sz w:val="32"/>
          <w:szCs w:val="32"/>
          <w:lang w:bidi="ar"/>
        </w:rPr>
      </w:pPr>
      <w:r>
        <w:rPr>
          <w:rFonts w:hint="default" w:ascii="Times New Roman" w:hAnsi="Times New Roman" w:eastAsia="黑体" w:cs="Times New Roman"/>
          <w:szCs w:val="32"/>
          <w:lang w:bidi="ar"/>
        </w:rPr>
        <w:br w:type="page"/>
      </w:r>
      <w:r>
        <w:rPr>
          <w:rFonts w:hint="default" w:ascii="Times New Roman" w:hAnsi="Times New Roman" w:eastAsia="黑体" w:cs="Times New Roman"/>
          <w:sz w:val="32"/>
          <w:szCs w:val="32"/>
          <w:lang w:bidi="ar"/>
        </w:rPr>
        <w:t>（二）规模化专业畜禽养殖类</w:t>
      </w:r>
      <w:bookmarkStart w:id="0" w:name="_GoBack"/>
      <w:bookmarkEnd w:id="0"/>
    </w:p>
    <w:tbl>
      <w:tblPr>
        <w:tblStyle w:val="12"/>
        <w:tblW w:w="8957" w:type="dxa"/>
        <w:jc w:val="center"/>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895"/>
        <w:gridCol w:w="2842"/>
        <w:gridCol w:w="1245"/>
        <w:gridCol w:w="1530"/>
        <w:gridCol w:w="244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548" w:hRule="atLeast"/>
          <w:jc w:val="center"/>
        </w:trPr>
        <w:tc>
          <w:tcPr>
            <w:tcW w:w="895" w:type="dxa"/>
            <w:shd w:val="clear" w:color="auto" w:fill="auto"/>
            <w:vAlign w:val="center"/>
          </w:tcPr>
          <w:p>
            <w:pPr>
              <w:snapToGrid w:val="0"/>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类别</w:t>
            </w:r>
          </w:p>
        </w:tc>
        <w:tc>
          <w:tcPr>
            <w:tcW w:w="2842" w:type="dxa"/>
            <w:shd w:val="clear" w:color="auto" w:fill="FFFFFF"/>
            <w:vAlign w:val="center"/>
          </w:tcPr>
          <w:p>
            <w:pPr>
              <w:snapToGrid w:val="0"/>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名称</w:t>
            </w:r>
          </w:p>
        </w:tc>
        <w:tc>
          <w:tcPr>
            <w:tcW w:w="1245" w:type="dxa"/>
            <w:shd w:val="clear" w:color="auto" w:fill="FFFFFF"/>
            <w:vAlign w:val="center"/>
          </w:tcPr>
          <w:p>
            <w:pPr>
              <w:snapToGrid w:val="0"/>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单位</w:t>
            </w:r>
          </w:p>
        </w:tc>
        <w:tc>
          <w:tcPr>
            <w:tcW w:w="1530" w:type="dxa"/>
            <w:shd w:val="clear" w:color="auto" w:fill="FFFFFF"/>
            <w:vAlign w:val="center"/>
          </w:tcPr>
          <w:p>
            <w:pPr>
              <w:snapToGrid w:val="0"/>
              <w:jc w:val="center"/>
              <w:textAlignment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color w:val="000000"/>
                <w:kern w:val="0"/>
                <w:sz w:val="28"/>
                <w:szCs w:val="28"/>
                <w:lang w:bidi="ar"/>
              </w:rPr>
              <w:t>标准</w:t>
            </w:r>
          </w:p>
          <w:p>
            <w:pPr>
              <w:snapToGrid w:val="0"/>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（元）</w:t>
            </w:r>
          </w:p>
        </w:tc>
        <w:tc>
          <w:tcPr>
            <w:tcW w:w="2445" w:type="dxa"/>
            <w:vAlign w:val="center"/>
          </w:tcPr>
          <w:p>
            <w:pPr>
              <w:snapToGrid w:val="0"/>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备注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660" w:hRule="atLeast"/>
          <w:jc w:val="center"/>
        </w:trPr>
        <w:tc>
          <w:tcPr>
            <w:tcW w:w="895" w:type="dxa"/>
            <w:vMerge w:val="restart"/>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畜禽类</w:t>
            </w:r>
          </w:p>
        </w:tc>
        <w:tc>
          <w:tcPr>
            <w:tcW w:w="2842" w:type="dxa"/>
            <w:vAlign w:val="center"/>
          </w:tcPr>
          <w:p>
            <w:pPr>
              <w:snapToGrid w:val="0"/>
              <w:jc w:val="left"/>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马、牛等。</w:t>
            </w:r>
          </w:p>
        </w:tc>
        <w:tc>
          <w:tcPr>
            <w:tcW w:w="1245"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头</w:t>
            </w:r>
          </w:p>
        </w:tc>
        <w:tc>
          <w:tcPr>
            <w:tcW w:w="1530"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400</w:t>
            </w:r>
          </w:p>
        </w:tc>
        <w:tc>
          <w:tcPr>
            <w:tcW w:w="2445"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100公斤以下按50%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660" w:hRule="atLeast"/>
          <w:jc w:val="center"/>
        </w:trPr>
        <w:tc>
          <w:tcPr>
            <w:tcW w:w="895" w:type="dxa"/>
            <w:vMerge w:val="continue"/>
            <w:vAlign w:val="center"/>
          </w:tcPr>
          <w:p>
            <w:pPr>
              <w:snapToGrid w:val="0"/>
              <w:jc w:val="center"/>
              <w:rPr>
                <w:rFonts w:hint="default" w:ascii="Times New Roman" w:hAnsi="Times New Roman" w:cs="Times New Roman"/>
                <w:color w:val="000000"/>
                <w:sz w:val="28"/>
                <w:szCs w:val="28"/>
              </w:rPr>
            </w:pPr>
          </w:p>
        </w:tc>
        <w:tc>
          <w:tcPr>
            <w:tcW w:w="2842" w:type="dxa"/>
            <w:vAlign w:val="center"/>
          </w:tcPr>
          <w:p>
            <w:pPr>
              <w:snapToGrid w:val="0"/>
              <w:jc w:val="left"/>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猪等。</w:t>
            </w:r>
          </w:p>
        </w:tc>
        <w:tc>
          <w:tcPr>
            <w:tcW w:w="1245"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头</w:t>
            </w:r>
          </w:p>
        </w:tc>
        <w:tc>
          <w:tcPr>
            <w:tcW w:w="1530"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120</w:t>
            </w:r>
          </w:p>
        </w:tc>
        <w:tc>
          <w:tcPr>
            <w:tcW w:w="2445"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30公斤以下按50%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660" w:hRule="atLeast"/>
          <w:jc w:val="center"/>
        </w:trPr>
        <w:tc>
          <w:tcPr>
            <w:tcW w:w="895" w:type="dxa"/>
            <w:vMerge w:val="continue"/>
            <w:vAlign w:val="center"/>
          </w:tcPr>
          <w:p>
            <w:pPr>
              <w:snapToGrid w:val="0"/>
              <w:jc w:val="center"/>
              <w:rPr>
                <w:rFonts w:hint="default" w:ascii="Times New Roman" w:hAnsi="Times New Roman" w:cs="Times New Roman"/>
                <w:color w:val="000000"/>
                <w:sz w:val="28"/>
                <w:szCs w:val="28"/>
              </w:rPr>
            </w:pPr>
          </w:p>
        </w:tc>
        <w:tc>
          <w:tcPr>
            <w:tcW w:w="2842" w:type="dxa"/>
            <w:vAlign w:val="center"/>
          </w:tcPr>
          <w:p>
            <w:pPr>
              <w:snapToGrid w:val="0"/>
              <w:jc w:val="left"/>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羊、狗等。</w:t>
            </w:r>
          </w:p>
        </w:tc>
        <w:tc>
          <w:tcPr>
            <w:tcW w:w="1245"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只</w:t>
            </w:r>
          </w:p>
        </w:tc>
        <w:tc>
          <w:tcPr>
            <w:tcW w:w="1530"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60</w:t>
            </w:r>
          </w:p>
        </w:tc>
        <w:tc>
          <w:tcPr>
            <w:tcW w:w="2445"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幼崽类按50%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jc w:val="center"/>
        </w:trPr>
        <w:tc>
          <w:tcPr>
            <w:tcW w:w="895" w:type="dxa"/>
            <w:vMerge w:val="continue"/>
            <w:vAlign w:val="center"/>
          </w:tcPr>
          <w:p>
            <w:pPr>
              <w:snapToGrid w:val="0"/>
              <w:jc w:val="center"/>
              <w:rPr>
                <w:rFonts w:hint="default" w:ascii="Times New Roman" w:hAnsi="Times New Roman" w:cs="Times New Roman"/>
                <w:color w:val="000000"/>
                <w:sz w:val="28"/>
                <w:szCs w:val="28"/>
              </w:rPr>
            </w:pPr>
          </w:p>
        </w:tc>
        <w:tc>
          <w:tcPr>
            <w:tcW w:w="2842" w:type="dxa"/>
            <w:vAlign w:val="center"/>
          </w:tcPr>
          <w:p>
            <w:pPr>
              <w:snapToGrid w:val="0"/>
              <w:jc w:val="left"/>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鸡、鸭、鹅、鸽子、兔、黑豚（金猪）</w:t>
            </w:r>
            <w:r>
              <w:rPr>
                <w:rStyle w:val="18"/>
                <w:rFonts w:hint="default" w:ascii="Times New Roman" w:hAnsi="Times New Roman" w:cs="Times New Roman"/>
                <w:sz w:val="28"/>
                <w:szCs w:val="28"/>
                <w:lang w:bidi="ar"/>
              </w:rPr>
              <w:t>、蛇等。</w:t>
            </w:r>
          </w:p>
        </w:tc>
        <w:tc>
          <w:tcPr>
            <w:tcW w:w="1245"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只（条）</w:t>
            </w:r>
          </w:p>
        </w:tc>
        <w:tc>
          <w:tcPr>
            <w:tcW w:w="1530"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10</w:t>
            </w:r>
          </w:p>
        </w:tc>
        <w:tc>
          <w:tcPr>
            <w:tcW w:w="2445"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幼崽类按3元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660" w:hRule="atLeast"/>
          <w:jc w:val="center"/>
        </w:trPr>
        <w:tc>
          <w:tcPr>
            <w:tcW w:w="895" w:type="dxa"/>
            <w:vMerge w:val="continue"/>
            <w:vAlign w:val="center"/>
          </w:tcPr>
          <w:p>
            <w:pPr>
              <w:snapToGrid w:val="0"/>
              <w:jc w:val="center"/>
              <w:rPr>
                <w:rFonts w:hint="default" w:ascii="Times New Roman" w:hAnsi="Times New Roman" w:cs="Times New Roman"/>
                <w:color w:val="000000"/>
                <w:sz w:val="28"/>
                <w:szCs w:val="28"/>
              </w:rPr>
            </w:pPr>
          </w:p>
        </w:tc>
        <w:tc>
          <w:tcPr>
            <w:tcW w:w="2842" w:type="dxa"/>
            <w:vAlign w:val="center"/>
          </w:tcPr>
          <w:p>
            <w:pPr>
              <w:snapToGrid w:val="0"/>
              <w:jc w:val="left"/>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蜂等。</w:t>
            </w:r>
          </w:p>
        </w:tc>
        <w:tc>
          <w:tcPr>
            <w:tcW w:w="1245"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标准箱</w:t>
            </w:r>
          </w:p>
        </w:tc>
        <w:tc>
          <w:tcPr>
            <w:tcW w:w="1530"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100</w:t>
            </w:r>
          </w:p>
        </w:tc>
        <w:tc>
          <w:tcPr>
            <w:tcW w:w="2445" w:type="dxa"/>
            <w:vAlign w:val="center"/>
          </w:tcPr>
          <w:p>
            <w:pPr>
              <w:snapToGrid w:val="0"/>
              <w:jc w:val="center"/>
              <w:rPr>
                <w:rFonts w:hint="default" w:ascii="Times New Roman" w:hAnsi="Times New Roman"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Ex>
        <w:trPr>
          <w:trHeight w:val="876" w:hRule="atLeast"/>
          <w:jc w:val="center"/>
        </w:trPr>
        <w:tc>
          <w:tcPr>
            <w:tcW w:w="895" w:type="dxa"/>
            <w:vMerge w:val="continue"/>
            <w:vAlign w:val="center"/>
          </w:tcPr>
          <w:p>
            <w:pPr>
              <w:snapToGrid w:val="0"/>
              <w:jc w:val="center"/>
              <w:rPr>
                <w:rFonts w:hint="default" w:ascii="Times New Roman" w:hAnsi="Times New Roman" w:cs="Times New Roman"/>
                <w:color w:val="000000"/>
                <w:sz w:val="28"/>
                <w:szCs w:val="28"/>
              </w:rPr>
            </w:pPr>
          </w:p>
        </w:tc>
        <w:tc>
          <w:tcPr>
            <w:tcW w:w="2842" w:type="dxa"/>
            <w:vAlign w:val="center"/>
          </w:tcPr>
          <w:p>
            <w:pPr>
              <w:snapToGrid w:val="0"/>
              <w:jc w:val="left"/>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养殖设施设备：产床、饲料加工设备、饲养笼、制冷机组、保温板、封冷辅助材料、粪尿处理设备、防疫设备等。</w:t>
            </w:r>
          </w:p>
        </w:tc>
        <w:tc>
          <w:tcPr>
            <w:tcW w:w="1245" w:type="dxa"/>
            <w:vAlign w:val="center"/>
          </w:tcPr>
          <w:p>
            <w:pPr>
              <w:snapToGrid w:val="0"/>
              <w:jc w:val="center"/>
              <w:rPr>
                <w:rFonts w:hint="default" w:ascii="Times New Roman" w:hAnsi="Times New Roman" w:cs="Times New Roman"/>
                <w:color w:val="000000"/>
                <w:sz w:val="28"/>
                <w:szCs w:val="28"/>
              </w:rPr>
            </w:pPr>
          </w:p>
        </w:tc>
        <w:tc>
          <w:tcPr>
            <w:tcW w:w="1530" w:type="dxa"/>
            <w:vAlign w:val="center"/>
          </w:tcPr>
          <w:p>
            <w:pPr>
              <w:snapToGrid w:val="0"/>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lang w:bidi="ar"/>
              </w:rPr>
              <w:t>按购买时市场价格的20</w:t>
            </w:r>
            <w:r>
              <w:rPr>
                <w:rStyle w:val="19"/>
                <w:rFonts w:hint="default" w:ascii="Times New Roman" w:hAnsi="Times New Roman" w:cs="Times New Roman"/>
                <w:sz w:val="28"/>
                <w:szCs w:val="28"/>
                <w:lang w:bidi="ar"/>
              </w:rPr>
              <w:t>%</w:t>
            </w:r>
          </w:p>
        </w:tc>
        <w:tc>
          <w:tcPr>
            <w:tcW w:w="2445" w:type="dxa"/>
            <w:vAlign w:val="center"/>
          </w:tcPr>
          <w:p>
            <w:pPr>
              <w:snapToGrid w:val="0"/>
              <w:jc w:val="center"/>
              <w:textAlignment w:val="center"/>
              <w:rPr>
                <w:rFonts w:hint="default" w:ascii="Times New Roman" w:hAnsi="Times New Roman" w:cs="Times New Roman"/>
                <w:color w:val="000000"/>
                <w:sz w:val="28"/>
                <w:szCs w:val="28"/>
              </w:rPr>
            </w:pPr>
          </w:p>
        </w:tc>
      </w:tr>
    </w:tbl>
    <w:p>
      <w:pPr>
        <w:pStyle w:val="20"/>
        <w:rPr>
          <w:rFonts w:hint="default" w:ascii="Times New Roman" w:hAnsi="Times New Roman" w:eastAsia="方正黑体_GBK" w:cs="Times New Roman"/>
          <w:sz w:val="32"/>
          <w:szCs w:val="32"/>
        </w:rPr>
      </w:pPr>
      <w:r>
        <w:rPr>
          <w:rFonts w:hint="default" w:ascii="Times New Roman" w:hAnsi="Times New Roman" w:eastAsia="方正仿宋_GBK" w:cs="Times New Roman"/>
          <w:sz w:val="28"/>
          <w:szCs w:val="28"/>
        </w:rPr>
        <w:t>说明：未明确标准的类别可参照相同或相近类别标准执行。</w:t>
      </w:r>
    </w:p>
    <w:p>
      <w:pPr>
        <w:spacing w:line="570" w:lineRule="exact"/>
        <w:rPr>
          <w:rFonts w:hint="default" w:ascii="Times New Roman" w:hAnsi="Times New Roman" w:eastAsia="方正小标宋_GBK" w:cs="Times New Roman"/>
          <w:color w:val="000000"/>
          <w:sz w:val="44"/>
          <w:szCs w:val="44"/>
        </w:rPr>
      </w:pPr>
      <w:r>
        <w:rPr>
          <w:rFonts w:hint="default" w:ascii="Times New Roman" w:hAnsi="Times New Roman" w:eastAsia="方正黑体_GBK" w:cs="Times New Roman"/>
          <w:color w:val="000000"/>
          <w:szCs w:val="32"/>
        </w:rPr>
        <w:br w:type="page"/>
      </w:r>
      <w:r>
        <w:rPr>
          <w:rFonts w:hint="default" w:ascii="Times New Roman" w:hAnsi="Times New Roman" w:eastAsia="黑体" w:cs="Times New Roman"/>
          <w:color w:val="000000"/>
          <w:sz w:val="32"/>
          <w:szCs w:val="32"/>
        </w:rPr>
        <w:t>附件6</w:t>
      </w:r>
    </w:p>
    <w:p>
      <w:pPr>
        <w:widowControl w:val="0"/>
        <w:snapToGrid w:val="0"/>
        <w:jc w:val="center"/>
        <w:rPr>
          <w:rFonts w:hint="default" w:ascii="Times New Roman" w:hAnsi="Times New Roman" w:eastAsia="方正小标宋_GBK" w:cs="Times New Roman"/>
          <w:sz w:val="44"/>
          <w:szCs w:val="44"/>
        </w:rPr>
      </w:pPr>
    </w:p>
    <w:p>
      <w:pPr>
        <w:widowControl w:val="0"/>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秀山县农村住房货币安置价格标准</w:t>
      </w:r>
    </w:p>
    <w:p>
      <w:pPr>
        <w:widowControl w:val="0"/>
        <w:snapToGrid w:val="0"/>
        <w:jc w:val="center"/>
        <w:rPr>
          <w:rFonts w:hint="default" w:ascii="Times New Roman" w:hAnsi="Times New Roman" w:eastAsia="方正小标宋_GBK" w:cs="Times New Roman"/>
          <w:sz w:val="44"/>
          <w:szCs w:val="44"/>
        </w:rPr>
      </w:pPr>
    </w:p>
    <w:tbl>
      <w:tblPr>
        <w:tblStyle w:val="12"/>
        <w:tblW w:w="904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543"/>
        <w:gridCol w:w="2127"/>
        <w:gridCol w:w="22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101" w:type="dxa"/>
            <w:vAlign w:val="center"/>
          </w:tcPr>
          <w:p>
            <w:pPr>
              <w:snapToGrid w:val="0"/>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区片</w:t>
            </w:r>
          </w:p>
        </w:tc>
        <w:tc>
          <w:tcPr>
            <w:tcW w:w="3543" w:type="dxa"/>
            <w:vAlign w:val="center"/>
          </w:tcPr>
          <w:p>
            <w:pPr>
              <w:snapToGrid w:val="0"/>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具体范围</w:t>
            </w:r>
          </w:p>
        </w:tc>
        <w:tc>
          <w:tcPr>
            <w:tcW w:w="2127" w:type="dxa"/>
            <w:vAlign w:val="center"/>
          </w:tcPr>
          <w:p>
            <w:pPr>
              <w:snapToGrid w:val="0"/>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标准</w:t>
            </w:r>
          </w:p>
          <w:p>
            <w:pPr>
              <w:snapToGrid w:val="0"/>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（元／平方米）</w:t>
            </w:r>
          </w:p>
        </w:tc>
        <w:tc>
          <w:tcPr>
            <w:tcW w:w="2274" w:type="dxa"/>
            <w:vAlign w:val="center"/>
          </w:tcPr>
          <w:p>
            <w:pPr>
              <w:snapToGrid w:val="0"/>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1101"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Ⅰ</w:t>
            </w:r>
          </w:p>
        </w:tc>
        <w:tc>
          <w:tcPr>
            <w:tcW w:w="3543"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县城外环线内</w:t>
            </w:r>
          </w:p>
        </w:tc>
        <w:tc>
          <w:tcPr>
            <w:tcW w:w="2127"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4380</w:t>
            </w:r>
          </w:p>
        </w:tc>
        <w:tc>
          <w:tcPr>
            <w:tcW w:w="2274"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东段及东北角以《秀山县城乡总体规划（2015—2030）》城市开发边界为界线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101"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Ⅰ</w:t>
            </w:r>
          </w:p>
        </w:tc>
        <w:tc>
          <w:tcPr>
            <w:tcW w:w="3543"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县城外环线外的Ⅰ区片</w:t>
            </w:r>
          </w:p>
        </w:tc>
        <w:tc>
          <w:tcPr>
            <w:tcW w:w="2127"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2550</w:t>
            </w:r>
          </w:p>
        </w:tc>
        <w:tc>
          <w:tcPr>
            <w:tcW w:w="2274" w:type="dxa"/>
            <w:vAlign w:val="center"/>
          </w:tcPr>
          <w:p>
            <w:pPr>
              <w:snapToGrid w:val="0"/>
              <w:jc w:val="center"/>
              <w:rPr>
                <w:rFonts w:hint="default" w:ascii="Times New Roman" w:hAnsi="Times New Roman"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101"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Ⅱ</w:t>
            </w:r>
          </w:p>
        </w:tc>
        <w:tc>
          <w:tcPr>
            <w:tcW w:w="3543"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清溪场镇</w:t>
            </w:r>
          </w:p>
        </w:tc>
        <w:tc>
          <w:tcPr>
            <w:tcW w:w="2127"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2550</w:t>
            </w:r>
          </w:p>
        </w:tc>
        <w:tc>
          <w:tcPr>
            <w:tcW w:w="2274" w:type="dxa"/>
            <w:vAlign w:val="center"/>
          </w:tcPr>
          <w:p>
            <w:pPr>
              <w:snapToGrid w:val="0"/>
              <w:jc w:val="center"/>
              <w:rPr>
                <w:rFonts w:hint="default" w:ascii="Times New Roman" w:hAnsi="Times New Roman"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101"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Ⅱ、Ⅲ</w:t>
            </w:r>
          </w:p>
        </w:tc>
        <w:tc>
          <w:tcPr>
            <w:tcW w:w="3543" w:type="dxa"/>
            <w:vAlign w:val="center"/>
          </w:tcPr>
          <w:p>
            <w:pPr>
              <w:snapToGrid w:val="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洪安镇、龙池镇、梅江镇、石耶镇、雅江镇、溶溪镇、石堤镇、隘口镇、峨溶镇、兰桥镇、膏田镇、里仁镇、妙泉镇、宋农镇、钟灵镇、岑溪乡、大溪乡、海洋乡、溪口镇、孝溪乡、涌洞乡、中平乡</w:t>
            </w:r>
          </w:p>
        </w:tc>
        <w:tc>
          <w:tcPr>
            <w:tcW w:w="2127" w:type="dxa"/>
            <w:vAlign w:val="center"/>
          </w:tcPr>
          <w:p>
            <w:pPr>
              <w:snapToGrid w:val="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1290</w:t>
            </w:r>
          </w:p>
        </w:tc>
        <w:tc>
          <w:tcPr>
            <w:tcW w:w="2274" w:type="dxa"/>
            <w:vAlign w:val="center"/>
          </w:tcPr>
          <w:p>
            <w:pPr>
              <w:snapToGrid w:val="0"/>
              <w:jc w:val="center"/>
              <w:rPr>
                <w:rFonts w:hint="default" w:ascii="Times New Roman" w:hAnsi="Times New Roman" w:cs="Times New Roman"/>
                <w:color w:val="000000"/>
                <w:sz w:val="28"/>
                <w:szCs w:val="28"/>
              </w:rPr>
            </w:pPr>
          </w:p>
        </w:tc>
      </w:tr>
    </w:tbl>
    <w:p>
      <w:pPr>
        <w:pStyle w:val="4"/>
        <w:snapToGrid w:val="0"/>
        <w:spacing w:after="0" w:line="240" w:lineRule="auto"/>
        <w:ind w:firstLine="0" w:firstLineChars="0"/>
        <w:jc w:val="both"/>
        <w:rPr>
          <w:rFonts w:hint="default" w:ascii="Times New Roman" w:hAnsi="Times New Roman" w:eastAsia="方正小标宋_GBK" w:cs="Times New Roman"/>
          <w:sz w:val="6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361" w:leftChars="0" w:firstLine="782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秀山县人民政府办公室发布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秀山县</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19E71BD"/>
    <w:rsid w:val="039C5442"/>
    <w:rsid w:val="03D63BD5"/>
    <w:rsid w:val="041C42DA"/>
    <w:rsid w:val="04B679C3"/>
    <w:rsid w:val="05F07036"/>
    <w:rsid w:val="064279DD"/>
    <w:rsid w:val="06E00104"/>
    <w:rsid w:val="07DA1DB8"/>
    <w:rsid w:val="080F63D8"/>
    <w:rsid w:val="09341458"/>
    <w:rsid w:val="098254C2"/>
    <w:rsid w:val="099D38B1"/>
    <w:rsid w:val="0A766EDE"/>
    <w:rsid w:val="0AD64BE8"/>
    <w:rsid w:val="0B0912D7"/>
    <w:rsid w:val="0E025194"/>
    <w:rsid w:val="152D2DCA"/>
    <w:rsid w:val="16D713A2"/>
    <w:rsid w:val="187168EA"/>
    <w:rsid w:val="196673CA"/>
    <w:rsid w:val="1B2F4AEE"/>
    <w:rsid w:val="1CF734C9"/>
    <w:rsid w:val="1DEC284C"/>
    <w:rsid w:val="1E6523AC"/>
    <w:rsid w:val="1F9F21E3"/>
    <w:rsid w:val="22440422"/>
    <w:rsid w:val="22BB4BBB"/>
    <w:rsid w:val="22F7273E"/>
    <w:rsid w:val="29A854ED"/>
    <w:rsid w:val="2A4C34E2"/>
    <w:rsid w:val="2AEB3417"/>
    <w:rsid w:val="31A15F24"/>
    <w:rsid w:val="324A1681"/>
    <w:rsid w:val="361B6EFE"/>
    <w:rsid w:val="367D6C5C"/>
    <w:rsid w:val="36FB1DF0"/>
    <w:rsid w:val="395347B5"/>
    <w:rsid w:val="39A232A0"/>
    <w:rsid w:val="39E745AA"/>
    <w:rsid w:val="3B5A6BBB"/>
    <w:rsid w:val="3CEF59DB"/>
    <w:rsid w:val="3EDA13A6"/>
    <w:rsid w:val="417B75E9"/>
    <w:rsid w:val="42F058B7"/>
    <w:rsid w:val="436109F6"/>
    <w:rsid w:val="441A38D4"/>
    <w:rsid w:val="4504239D"/>
    <w:rsid w:val="465A4714"/>
    <w:rsid w:val="4BC77339"/>
    <w:rsid w:val="4C9236C5"/>
    <w:rsid w:val="4E250A85"/>
    <w:rsid w:val="4FFD4925"/>
    <w:rsid w:val="502115A4"/>
    <w:rsid w:val="505C172E"/>
    <w:rsid w:val="506405EA"/>
    <w:rsid w:val="51F46A7D"/>
    <w:rsid w:val="52A77CC2"/>
    <w:rsid w:val="52F46F0B"/>
    <w:rsid w:val="532B6A10"/>
    <w:rsid w:val="53D8014D"/>
    <w:rsid w:val="55E064E0"/>
    <w:rsid w:val="56A32317"/>
    <w:rsid w:val="572C6D10"/>
    <w:rsid w:val="59F92B34"/>
    <w:rsid w:val="5DC34279"/>
    <w:rsid w:val="5FCD688E"/>
    <w:rsid w:val="5FF9BDAA"/>
    <w:rsid w:val="5FFE5333"/>
    <w:rsid w:val="608816D1"/>
    <w:rsid w:val="60EF4E7F"/>
    <w:rsid w:val="648B0A32"/>
    <w:rsid w:val="665233C1"/>
    <w:rsid w:val="68FB4E2B"/>
    <w:rsid w:val="69AA35B4"/>
    <w:rsid w:val="69AC0D42"/>
    <w:rsid w:val="6A5675B7"/>
    <w:rsid w:val="6AD9688B"/>
    <w:rsid w:val="6CC644E8"/>
    <w:rsid w:val="6D0E3F22"/>
    <w:rsid w:val="72851D44"/>
    <w:rsid w:val="73951FD7"/>
    <w:rsid w:val="74104F99"/>
    <w:rsid w:val="744E4660"/>
    <w:rsid w:val="74B150C3"/>
    <w:rsid w:val="753355A2"/>
    <w:rsid w:val="759F1C61"/>
    <w:rsid w:val="769F2DE8"/>
    <w:rsid w:val="76FDEB7C"/>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Date"/>
    <w:basedOn w:val="1"/>
    <w:next w:val="1"/>
    <w:unhideWhenUsed/>
    <w:qFormat/>
    <w:uiPriority w:val="99"/>
    <w:pPr>
      <w:widowControl w:val="0"/>
      <w:ind w:left="100" w:leftChars="2500"/>
    </w:pPr>
    <w:rPr>
      <w:rFonts w:ascii="Calibri" w:hAnsi="Calibri" w:eastAsia="宋体"/>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正文首行缩进1"/>
    <w:basedOn w:val="4"/>
    <w:next w:val="16"/>
    <w:qFormat/>
    <w:uiPriority w:val="0"/>
    <w:pPr>
      <w:adjustRightInd w:val="0"/>
      <w:spacing w:line="275" w:lineRule="atLeast"/>
      <w:ind w:firstLine="420"/>
      <w:textAlignment w:val="baseline"/>
    </w:pPr>
    <w:rPr>
      <w:rFonts w:hAnsi="宋体" w:eastAsia="楷体_GB2312"/>
      <w:sz w:val="24"/>
      <w:szCs w:val="20"/>
    </w:rPr>
  </w:style>
  <w:style w:type="paragraph" w:customStyle="1" w:styleId="16">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character" w:customStyle="1" w:styleId="17">
    <w:name w:val="font81"/>
    <w:qFormat/>
    <w:uiPriority w:val="0"/>
    <w:rPr>
      <w:rFonts w:hint="eastAsia" w:ascii="方正仿宋_GBK" w:hAnsi="方正仿宋_GBK" w:eastAsia="方正仿宋_GBK" w:cs="方正仿宋_GBK"/>
      <w:color w:val="000000"/>
      <w:sz w:val="24"/>
      <w:szCs w:val="24"/>
      <w:u w:val="none"/>
    </w:rPr>
  </w:style>
  <w:style w:type="character" w:customStyle="1" w:styleId="18">
    <w:name w:val="font01"/>
    <w:qFormat/>
    <w:uiPriority w:val="0"/>
    <w:rPr>
      <w:rFonts w:hint="eastAsia" w:ascii="方正仿宋_GBK" w:hAnsi="方正仿宋_GBK" w:eastAsia="方正仿宋_GBK" w:cs="方正仿宋_GBK"/>
      <w:color w:val="000000"/>
      <w:sz w:val="24"/>
      <w:szCs w:val="24"/>
      <w:u w:val="none"/>
    </w:rPr>
  </w:style>
  <w:style w:type="character" w:customStyle="1" w:styleId="19">
    <w:name w:val="font21"/>
    <w:qFormat/>
    <w:uiPriority w:val="0"/>
    <w:rPr>
      <w:rFonts w:hint="eastAsia" w:ascii="方正仿宋_GBK" w:hAnsi="方正仿宋_GBK" w:eastAsia="方正仿宋_GBK" w:cs="方正仿宋_GBK"/>
      <w:color w:val="000000"/>
      <w:sz w:val="24"/>
      <w:szCs w:val="24"/>
      <w:u w:val="none"/>
    </w:rPr>
  </w:style>
  <w:style w:type="paragraph" w:customStyle="1" w:styleId="20">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745</Words>
  <Characters>794</Characters>
  <Lines>1</Lines>
  <Paragraphs>1</Paragraphs>
  <TotalTime>26</TotalTime>
  <ScaleCrop>false</ScaleCrop>
  <LinksUpToDate>false</LinksUpToDate>
  <CharactersWithSpaces>967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w2</cp:lastModifiedBy>
  <cp:lastPrinted>2022-05-12T00:46:00Z</cp:lastPrinted>
  <dcterms:modified xsi:type="dcterms:W3CDTF">2022-06-14T09:21:31Z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0756C2608EE840B487E4661386CFEFEF</vt:lpwstr>
  </property>
</Properties>
</file>