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秀山土家族苗族自治县妙泉镇</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aps w:val="0"/>
          <w:color w:val="333333"/>
          <w:spacing w:val="0"/>
          <w:sz w:val="44"/>
          <w:szCs w:val="44"/>
          <w:shd w:val="clear" w:fill="FFFFFF"/>
        </w:rPr>
        <w:t>新时代文明实践中心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文化</w:t>
      </w:r>
      <w:r>
        <w:rPr>
          <w:rFonts w:hint="default" w:ascii="Times New Roman" w:hAnsi="Times New Roman" w:eastAsia="方正仿宋_GBK" w:cs="Times New Roman"/>
          <w:i w:val="0"/>
          <w:iCs w:val="0"/>
          <w:caps w:val="0"/>
          <w:color w:val="333333"/>
          <w:spacing w:val="0"/>
          <w:sz w:val="32"/>
          <w:szCs w:val="32"/>
          <w:shd w:val="clear" w:fill="FFFFFF"/>
        </w:rPr>
        <w:t>方面相关的公共事务</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承担辖区内文化体育阵地建设，组织开展文化体育、文化交流、全民健身活动，组织辖区内文艺培训等；规范农家乐和文娱活动等旅游场所、旅游设施、旅游项目的经营服务；统筹旅游市场秩序，协调旅游执法管理</w:t>
      </w:r>
      <w:bookmarkStart w:id="0" w:name="_GoBack"/>
      <w:r>
        <w:rPr>
          <w:rFonts w:hint="default" w:ascii="Times New Roman" w:hAnsi="Times New Roman" w:eastAsia="方正仿宋_GBK" w:cs="Times New Roman"/>
          <w:i w:val="0"/>
          <w:iCs w:val="0"/>
          <w:caps w:val="0"/>
          <w:color w:val="333333"/>
          <w:spacing w:val="0"/>
          <w:sz w:val="32"/>
          <w:szCs w:val="32"/>
          <w:shd w:val="clear" w:fill="FFFFFF"/>
        </w:rPr>
        <w:t>，</w:t>
      </w:r>
      <w:bookmarkEnd w:id="0"/>
      <w:r>
        <w:rPr>
          <w:rFonts w:hint="default" w:ascii="Times New Roman" w:hAnsi="Times New Roman" w:eastAsia="方正仿宋_GBK" w:cs="Times New Roman"/>
          <w:i w:val="0"/>
          <w:iCs w:val="0"/>
          <w:caps w:val="0"/>
          <w:color w:val="333333"/>
          <w:spacing w:val="0"/>
          <w:sz w:val="32"/>
          <w:szCs w:val="32"/>
          <w:shd w:val="clear" w:fill="FFFFFF"/>
        </w:rPr>
        <w:t>调处涉旅投诉纠纷，营造诚信经营、文明有序的旅游市场环境；指导旅游项目、旅游产品开发等工作</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承办镇党委、镇政府交办的其他工作。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单位构成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镇文化服务中心为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镇人民政府下属二级单位。本单位有事业编制人员</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w:t>
      </w:r>
      <w:r>
        <w:rPr>
          <w:rFonts w:hint="eastAsia" w:ascii="Times New Roman" w:hAnsi="Times New Roman" w:eastAsia="方正黑体_GBK" w:cs="Times New Roman"/>
          <w:i w:val="0"/>
          <w:iCs w:val="0"/>
          <w:caps w:val="0"/>
          <w:color w:val="333333"/>
          <w:spacing w:val="0"/>
          <w:sz w:val="32"/>
          <w:szCs w:val="32"/>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shd w:val="clear" w:fill="FFFFFF"/>
        </w:rPr>
        <w:t>收支总体情况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FF0000"/>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万元。收入较去年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增加5.6</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主要原因是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事业人员存在社保标准调高，导致社会保障和就业支出预算增加</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万元，其中：文化旅游体育与传媒支出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28.96万元，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5.27</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1.98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万元。支出较</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增加5.6</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主要原因</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事业人员存在社保标准调高，导致社会保障和就业支出预算增加</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highlight w:val="none"/>
          <w:u w:val="none"/>
          <w:shd w:val="clear" w:fill="FFFFFF"/>
        </w:rPr>
      </w:pPr>
      <w:r>
        <w:rPr>
          <w:rFonts w:hint="default" w:ascii="Times New Roman" w:hAnsi="Times New Roman" w:eastAsia="方正黑体_GBK" w:cs="Times New Roman"/>
          <w:i w:val="0"/>
          <w:iCs w:val="0"/>
          <w:caps w:val="0"/>
          <w:color w:val="333333"/>
          <w:spacing w:val="0"/>
          <w:sz w:val="32"/>
          <w:szCs w:val="32"/>
          <w:highlight w:val="none"/>
          <w:u w:val="none"/>
          <w:shd w:val="clear" w:fill="FFFFFF"/>
        </w:rPr>
        <w:t>三、</w:t>
      </w:r>
      <w:r>
        <w:rPr>
          <w:rFonts w:hint="eastAsia" w:ascii="Times New Roman" w:hAnsi="Times New Roman" w:eastAsia="方正黑体_GBK" w:cs="Times New Roman"/>
          <w:i w:val="0"/>
          <w:iCs w:val="0"/>
          <w:caps w:val="0"/>
          <w:color w:val="333333"/>
          <w:spacing w:val="0"/>
          <w:sz w:val="32"/>
          <w:szCs w:val="32"/>
          <w:highlight w:val="none"/>
          <w:u w:val="none"/>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highlight w:val="none"/>
          <w:u w:val="none"/>
          <w:shd w:val="clear" w:fill="FFFFFF"/>
        </w:rPr>
        <w:t>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2025年一般公共预算财政拨款收入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增加5.6万元；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增加5.6</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增加5.6</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要原因是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事业人员存在社保标准调高，导致社会保障和就业支出预算增加。</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主要用于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事业人员社保保障方面支出。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无项目支出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年政府性基金预算收入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w:t>
      </w:r>
      <w:r>
        <w:rPr>
          <w:rFonts w:hint="default" w:ascii="Times New Roman" w:hAnsi="Times New Roman" w:eastAsia="方正仿宋_GBK" w:cs="Times New Roman"/>
          <w:i w:val="0"/>
          <w:iCs w:val="0"/>
          <w:caps w:val="0"/>
          <w:color w:val="333333"/>
          <w:spacing w:val="0"/>
          <w:sz w:val="32"/>
          <w:szCs w:val="32"/>
          <w:shd w:val="clear" w:fill="FFFFFF"/>
          <w:lang w:val="en-US" w:eastAsia="zh-CN"/>
        </w:rPr>
        <w:t>政府性基金预算收入。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w:t>
      </w:r>
      <w:r>
        <w:rPr>
          <w:rFonts w:hint="default" w:ascii="Times New Roman" w:hAnsi="Times New Roman" w:eastAsia="方正黑体_GBK" w:cs="Times New Roman"/>
          <w:i w:val="0"/>
          <w:iCs w:val="0"/>
          <w:caps w:val="0"/>
          <w:color w:val="333333"/>
          <w:spacing w:val="0"/>
          <w:sz w:val="32"/>
          <w:szCs w:val="32"/>
          <w:u w:val="none"/>
          <w:shd w:val="clear" w:fill="FFFFFF"/>
        </w:rPr>
        <w:t>费情况说明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“三公”</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万元。其中：公务接待费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万元，主要原因是公务接待减少，认真贯彻落实中央八项规定精神，严格控制</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“三公”</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经费；公务用车运行维护费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本单位无“三公”经费。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万元，主要原因是本单位为事业单位，不在机关运行经费统计范围之内。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2025年项目支出均实行了绩效目标管理，涉及一般公共预算当年财政拨款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所属各预算单位政府采购预算总额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万元；其中一般公共预算拨款政府采购</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截至202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年12月，所属各预算单位共有车辆</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辆，其中一般公务用车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辆、执勤执法用车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年一般公共预算未安排购置车辆。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w:t>
      </w:r>
      <w:r>
        <w:rPr>
          <w:rFonts w:hint="default" w:ascii="Times New Roman" w:hAnsi="Times New Roman" w:eastAsia="方正仿宋_GBK" w:cs="Times New Roman"/>
          <w:i w:val="0"/>
          <w:iCs w:val="0"/>
          <w:caps w:val="0"/>
          <w:color w:val="333333"/>
          <w:spacing w:val="0"/>
          <w:sz w:val="32"/>
          <w:szCs w:val="32"/>
          <w:shd w:val="clear" w:fill="FFFFFF"/>
          <w:lang w:val="en-US" w:eastAsia="zh-CN"/>
        </w:rPr>
        <w:t>单位从同级财政部门</w:t>
      </w:r>
      <w:r>
        <w:rPr>
          <w:rFonts w:hint="default" w:ascii="Times New Roman" w:hAnsi="Times New Roman" w:eastAsia="方正仿宋_GBK" w:cs="Times New Roman"/>
          <w:i w:val="0"/>
          <w:iCs w:val="0"/>
          <w:caps w:val="0"/>
          <w:color w:val="333333"/>
          <w:spacing w:val="0"/>
          <w:sz w:val="32"/>
          <w:szCs w:val="32"/>
          <w:shd w:val="clear" w:fill="FFFFFF"/>
        </w:rPr>
        <w:t>取得的</w:t>
      </w:r>
      <w:r>
        <w:rPr>
          <w:rFonts w:hint="default" w:ascii="Times New Roman" w:hAnsi="Times New Roman" w:eastAsia="方正仿宋_GBK" w:cs="Times New Roman"/>
          <w:i w:val="0"/>
          <w:iCs w:val="0"/>
          <w:caps w:val="0"/>
          <w:color w:val="333333"/>
          <w:spacing w:val="0"/>
          <w:sz w:val="32"/>
          <w:szCs w:val="32"/>
          <w:shd w:val="clear" w:fill="FFFFFF"/>
          <w:lang w:val="en-US" w:eastAsia="zh-CN"/>
        </w:rPr>
        <w:t>各类</w:t>
      </w:r>
      <w:r>
        <w:rPr>
          <w:rFonts w:hint="default" w:ascii="Times New Roman" w:hAnsi="Times New Roman" w:eastAsia="方正仿宋_GBK" w:cs="Times New Roman"/>
          <w:i w:val="0"/>
          <w:iCs w:val="0"/>
          <w:caps w:val="0"/>
          <w:color w:val="333333"/>
          <w:spacing w:val="0"/>
          <w:sz w:val="32"/>
          <w:szCs w:val="32"/>
          <w:shd w:val="clear" w:fill="FFFFFF"/>
        </w:rPr>
        <w:t>财政拨款，包括一般公共预算拨款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政府性基金预算拨款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国有资本经营预算拨款</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指指各部门、各单位为保障其机构正常运转、完成日常工作任务所发生的支出，包括人员经费和公用经费。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指各部门</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各单位为完成其特定的工作任务和事业发展目标所发生的支出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w:t>
      </w:r>
      <w:r>
        <w:rPr>
          <w:rFonts w:hint="eastAsia" w:ascii="方正楷体_GBK" w:hAnsi="方正楷体_GBK" w:eastAsia="方正楷体_GBK" w:cs="方正楷体_GBK"/>
          <w:i w:val="0"/>
          <w:iCs w:val="0"/>
          <w:caps w:val="0"/>
          <w:color w:val="333333"/>
          <w:spacing w:val="0"/>
          <w:sz w:val="32"/>
          <w:szCs w:val="32"/>
          <w:shd w:val="clear" w:fill="FFFFFF"/>
        </w:rPr>
        <w:t>“三公”</w:t>
      </w:r>
      <w:r>
        <w:rPr>
          <w:rFonts w:hint="default" w:ascii="Times New Roman" w:hAnsi="Times New Roman" w:eastAsia="方正楷体_GBK" w:cs="Times New Roman"/>
          <w:i w:val="0"/>
          <w:iCs w:val="0"/>
          <w:caps w:val="0"/>
          <w:color w:val="333333"/>
          <w:spacing w:val="0"/>
          <w:sz w:val="32"/>
          <w:szCs w:val="32"/>
          <w:shd w:val="clear" w:fill="FFFFFF"/>
        </w:rPr>
        <w:t>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指各部门的公用经费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反映非发展改革部门安排的用于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建筑物购建、设备购置、基础设施建设、无形资产购置、</w:t>
      </w:r>
      <w:r>
        <w:rPr>
          <w:rFonts w:hint="default" w:ascii="Times New Roman" w:hAnsi="Times New Roman" w:eastAsia="方正仿宋_GBK" w:cs="Times New Roman"/>
          <w:i w:val="0"/>
          <w:iCs w:val="0"/>
          <w:caps w:val="0"/>
          <w:color w:val="333333"/>
          <w:spacing w:val="0"/>
          <w:sz w:val="32"/>
          <w:szCs w:val="32"/>
          <w:shd w:val="clear" w:fill="FFFFFF"/>
        </w:rPr>
        <w:t>大型修缮</w:t>
      </w:r>
      <w:r>
        <w:rPr>
          <w:rFonts w:hint="default" w:ascii="Times New Roman" w:hAnsi="Times New Roman" w:eastAsia="方正仿宋_GBK" w:cs="Times New Roman"/>
          <w:i w:val="0"/>
          <w:iCs w:val="0"/>
          <w:caps w:val="0"/>
          <w:color w:val="333333"/>
          <w:spacing w:val="0"/>
          <w:sz w:val="32"/>
          <w:szCs w:val="32"/>
          <w:shd w:val="clear" w:fill="FFFFFF"/>
          <w:lang w:val="en-US" w:eastAsia="zh-CN"/>
        </w:rPr>
        <w:t>等资本性支出以外的其他资本性支出</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eastAsia="zh-CN"/>
        </w:rPr>
        <w:t>联系人：</w:t>
      </w:r>
      <w:r>
        <w:rPr>
          <w:rFonts w:hint="eastAsia" w:ascii="Times New Roman" w:hAnsi="Times New Roman" w:eastAsia="方正仿宋_GBK" w:cs="Times New Roman"/>
          <w:sz w:val="32"/>
          <w:szCs w:val="32"/>
          <w:lang w:val="en-US" w:eastAsia="zh-CN"/>
        </w:rPr>
        <w:t>杨光昱</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023-76643180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451E93"/>
    <w:rsid w:val="07AA6545"/>
    <w:rsid w:val="0A7A40A1"/>
    <w:rsid w:val="0C0D480A"/>
    <w:rsid w:val="0D47753A"/>
    <w:rsid w:val="107A0A3F"/>
    <w:rsid w:val="10EA445F"/>
    <w:rsid w:val="11232632"/>
    <w:rsid w:val="12077BB7"/>
    <w:rsid w:val="12E569CF"/>
    <w:rsid w:val="14D1325F"/>
    <w:rsid w:val="14E11CFF"/>
    <w:rsid w:val="17E329E9"/>
    <w:rsid w:val="17EC19CE"/>
    <w:rsid w:val="192D3D7C"/>
    <w:rsid w:val="19393E1F"/>
    <w:rsid w:val="198F6E75"/>
    <w:rsid w:val="1B1625F6"/>
    <w:rsid w:val="1C365209"/>
    <w:rsid w:val="1CD25317"/>
    <w:rsid w:val="1D87091B"/>
    <w:rsid w:val="207D0775"/>
    <w:rsid w:val="208E49FF"/>
    <w:rsid w:val="22DF6799"/>
    <w:rsid w:val="2340333C"/>
    <w:rsid w:val="245E4DCA"/>
    <w:rsid w:val="24662263"/>
    <w:rsid w:val="24BF0A1E"/>
    <w:rsid w:val="26051D1B"/>
    <w:rsid w:val="26123CBA"/>
    <w:rsid w:val="2639264C"/>
    <w:rsid w:val="27B23C7E"/>
    <w:rsid w:val="2A514C73"/>
    <w:rsid w:val="2D417DB8"/>
    <w:rsid w:val="2FBF36F3"/>
    <w:rsid w:val="3059345B"/>
    <w:rsid w:val="347456E8"/>
    <w:rsid w:val="365365ED"/>
    <w:rsid w:val="37BE217A"/>
    <w:rsid w:val="3A0854E6"/>
    <w:rsid w:val="3C014CCB"/>
    <w:rsid w:val="3D77205A"/>
    <w:rsid w:val="41150A6D"/>
    <w:rsid w:val="44012753"/>
    <w:rsid w:val="44AC4783"/>
    <w:rsid w:val="464E210E"/>
    <w:rsid w:val="46862073"/>
    <w:rsid w:val="47B02348"/>
    <w:rsid w:val="47E12F43"/>
    <w:rsid w:val="48B21A00"/>
    <w:rsid w:val="490E5B0E"/>
    <w:rsid w:val="496E00A0"/>
    <w:rsid w:val="4B404861"/>
    <w:rsid w:val="4E0D644A"/>
    <w:rsid w:val="4EF7214A"/>
    <w:rsid w:val="581544CB"/>
    <w:rsid w:val="5BB170CB"/>
    <w:rsid w:val="5F424B60"/>
    <w:rsid w:val="61627C5D"/>
    <w:rsid w:val="61C51A90"/>
    <w:rsid w:val="63BF518E"/>
    <w:rsid w:val="640A4469"/>
    <w:rsid w:val="67C47E6E"/>
    <w:rsid w:val="68480129"/>
    <w:rsid w:val="710C264C"/>
    <w:rsid w:val="710F3952"/>
    <w:rsid w:val="713F1749"/>
    <w:rsid w:val="71774FB6"/>
    <w:rsid w:val="723837E8"/>
    <w:rsid w:val="72DA59FA"/>
    <w:rsid w:val="731D5B8B"/>
    <w:rsid w:val="74C82D36"/>
    <w:rsid w:val="7BAF3E73"/>
    <w:rsid w:val="7EB45835"/>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2025-03-03T02:22:19Z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