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妙泉</w:t>
      </w:r>
      <w:r>
        <w:rPr>
          <w:rFonts w:hint="eastAsia" w:ascii="方正小标宋_GBK" w:hAnsi="方正小标宋_GBK" w:eastAsia="方正小标宋_GBK" w:cs="方正小标宋_GBK"/>
          <w:i w:val="0"/>
          <w:iCs w:val="0"/>
          <w:caps w:val="0"/>
          <w:color w:val="333333"/>
          <w:spacing w:val="0"/>
          <w:sz w:val="44"/>
          <w:szCs w:val="44"/>
          <w:shd w:val="clear" w:fill="FFFFFF"/>
        </w:rPr>
        <w:t>镇</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 xml:space="preserve">              </w:t>
      </w:r>
      <w:r>
        <w:rPr>
          <w:rFonts w:hint="eastAsia" w:ascii="方正小标宋_GBK" w:hAnsi="方正小标宋_GBK" w:eastAsia="方正小标宋_GBK" w:cs="方正小标宋_GBK"/>
          <w:i w:val="0"/>
          <w:iCs w:val="0"/>
          <w:caps w:val="0"/>
          <w:color w:val="333333"/>
          <w:spacing w:val="0"/>
          <w:sz w:val="44"/>
          <w:szCs w:val="44"/>
          <w:shd w:val="clear" w:fill="FFFFFF"/>
        </w:rPr>
        <w:t>财政室202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一、单位基本情况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职能职责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贯彻执行法律、法规、规章和镇人民政府的决策部署、依法管理本辖区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财政</w:t>
      </w:r>
      <w:r>
        <w:rPr>
          <w:rFonts w:hint="default" w:ascii="Times New Roman" w:hAnsi="Times New Roman" w:eastAsia="方正仿宋_GBK" w:cs="Times New Roman"/>
          <w:i w:val="0"/>
          <w:iCs w:val="0"/>
          <w:caps w:val="0"/>
          <w:color w:val="333333"/>
          <w:spacing w:val="0"/>
          <w:sz w:val="32"/>
          <w:szCs w:val="32"/>
          <w:shd w:val="clear" w:fill="FFFFFF"/>
        </w:rPr>
        <w:t>方面相关的事务</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2.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部门组织财政收入；承担其他财政财务管理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创新经济社会发展环境，为经济社会发展提供良好发展空间和便捷服务，重点履行社会管理和公共服务职能，促进辖区物质文明、精神文明和政治文明建设协调发展。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承办镇党委、镇政府交办的其他工作。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单位构成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秀山土家族苗族自治县</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镇财政办公室为</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镇人民政府下属二级单位。本单位有</w:t>
      </w:r>
      <w:r>
        <w:rPr>
          <w:rFonts w:hint="eastAsia" w:ascii="Times New Roman" w:hAnsi="Times New Roman" w:eastAsia="方正仿宋_GBK" w:cs="Times New Roman"/>
          <w:i w:val="0"/>
          <w:iCs w:val="0"/>
          <w:caps w:val="0"/>
          <w:color w:val="333333"/>
          <w:spacing w:val="0"/>
          <w:sz w:val="32"/>
          <w:szCs w:val="32"/>
          <w:shd w:val="clear" w:fill="FFFFFF"/>
          <w:lang w:val="en-US" w:eastAsia="zh-CN"/>
        </w:rPr>
        <w:t>参公</w:t>
      </w:r>
      <w:r>
        <w:rPr>
          <w:rFonts w:hint="default" w:ascii="Times New Roman" w:hAnsi="Times New Roman" w:eastAsia="方正仿宋_GBK" w:cs="Times New Roman"/>
          <w:i w:val="0"/>
          <w:iCs w:val="0"/>
          <w:caps w:val="0"/>
          <w:color w:val="333333"/>
          <w:spacing w:val="0"/>
          <w:sz w:val="32"/>
          <w:szCs w:val="32"/>
          <w:shd w:val="clear" w:fill="FFFFFF"/>
        </w:rPr>
        <w:t>事业编制</w:t>
      </w:r>
      <w:r>
        <w:rPr>
          <w:rFonts w:hint="default" w:ascii="Times New Roman" w:hAnsi="Times New Roman" w:eastAsia="方正仿宋_GBK" w:cs="Times New Roman"/>
          <w:i w:val="0"/>
          <w:iCs w:val="0"/>
          <w:caps w:val="0"/>
          <w:color w:val="333333"/>
          <w:spacing w:val="0"/>
          <w:sz w:val="32"/>
          <w:szCs w:val="32"/>
          <w:highlight w:val="none"/>
          <w:shd w:val="clear" w:fill="FFFFFF"/>
        </w:rPr>
        <w:t>人员</w:t>
      </w:r>
      <w:bookmarkStart w:id="0" w:name="_GoBack"/>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2</w:t>
      </w:r>
      <w:bookmarkEnd w:id="0"/>
      <w:r>
        <w:rPr>
          <w:rFonts w:hint="default" w:ascii="Times New Roman" w:hAnsi="Times New Roman" w:eastAsia="方正仿宋_GBK" w:cs="Times New Roman"/>
          <w:i w:val="0"/>
          <w:iCs w:val="0"/>
          <w:caps w:val="0"/>
          <w:color w:val="333333"/>
          <w:spacing w:val="0"/>
          <w:sz w:val="32"/>
          <w:szCs w:val="32"/>
          <w:highlight w:val="none"/>
          <w:shd w:val="clear" w:fill="FFFFFF"/>
        </w:rPr>
        <w:t>名</w:t>
      </w:r>
      <w:r>
        <w:rPr>
          <w:rFonts w:ascii="方正仿宋_GBK" w:hAnsi="方正仿宋_GBK" w:eastAsia="方正仿宋_GBK" w:cs="方正仿宋_GBK"/>
          <w:i w:val="0"/>
          <w:iCs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w:t>
      </w:r>
      <w:r>
        <w:rPr>
          <w:rFonts w:hint="eastAsia" w:ascii="Times New Roman" w:hAnsi="Times New Roman" w:eastAsia="方正黑体_GBK" w:cs="Times New Roman"/>
          <w:i w:val="0"/>
          <w:iCs w:val="0"/>
          <w:caps w:val="0"/>
          <w:color w:val="333333"/>
          <w:spacing w:val="0"/>
          <w:sz w:val="32"/>
          <w:szCs w:val="32"/>
          <w:shd w:val="clear" w:fill="FFFFFF"/>
          <w:lang w:val="en-US" w:eastAsia="zh-CN"/>
        </w:rPr>
        <w:t>单位</w:t>
      </w:r>
      <w:r>
        <w:rPr>
          <w:rFonts w:hint="default" w:ascii="Times New Roman" w:hAnsi="Times New Roman" w:eastAsia="方正黑体_GBK" w:cs="Times New Roman"/>
          <w:i w:val="0"/>
          <w:iCs w:val="0"/>
          <w:caps w:val="0"/>
          <w:color w:val="333333"/>
          <w:spacing w:val="0"/>
          <w:sz w:val="32"/>
          <w:szCs w:val="32"/>
          <w:shd w:val="clear" w:fill="FFFFFF"/>
        </w:rPr>
        <w:t>收支总体情况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FF0000"/>
          <w:spacing w:val="0"/>
          <w:sz w:val="32"/>
          <w:szCs w:val="32"/>
          <w:highlight w:val="none"/>
          <w:shd w:val="clear" w:fill="FFFFFF"/>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rPr>
        <w:t>（一）收入预算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年年初预算数</w:t>
      </w:r>
      <w:r>
        <w:rPr>
          <w:rFonts w:hint="eastAsia" w:ascii="Times New Roman" w:hAnsi="Times New Roman" w:eastAsia="方正仿宋_GBK" w:cs="Times New Roman"/>
          <w:i w:val="0"/>
          <w:iCs w:val="0"/>
          <w:caps w:val="0"/>
          <w:color w:val="333333"/>
          <w:spacing w:val="0"/>
          <w:sz w:val="32"/>
          <w:szCs w:val="32"/>
          <w:shd w:val="clear" w:fill="FFFFFF"/>
          <w:lang w:val="en-US" w:eastAsia="zh-CN"/>
        </w:rPr>
        <w:t>62.94</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万元，其中：一般公共预算拨款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62.94</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万元，政府性基金预算拨款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万元。收入较去年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减少2.73</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原因是</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其中一名人员存在退休，导致社会保障和就业支出预算减少</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pPr>
      <w:r>
        <w:rPr>
          <w:rFonts w:hint="default" w:ascii="Times New Roman" w:hAnsi="Times New Roman" w:eastAsia="方正楷体_GBK" w:cs="Times New Roman"/>
          <w:i w:val="0"/>
          <w:iCs w:val="0"/>
          <w:caps w:val="0"/>
          <w:color w:val="333333"/>
          <w:spacing w:val="0"/>
          <w:sz w:val="32"/>
          <w:szCs w:val="32"/>
          <w:highlight w:val="none"/>
          <w:u w:val="none"/>
          <w:shd w:val="clear" w:fill="FFFFFF"/>
        </w:rPr>
        <w:t>（二）支出预算：</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年年初预算数</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62.94</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万元，其中：一般公共服务支出</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46.36万元，</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社会保障和就业支出</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8</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万元，卫生健康支出</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4.05</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万元，住房保障支出</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4.53</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万元。支出较</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减少2.73</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其中一名人员存在退休，导致社会保障和就业支出预算减少。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highlight w:val="none"/>
          <w:u w:val="none"/>
          <w:shd w:val="clear" w:fill="FFFFFF"/>
        </w:rPr>
      </w:pPr>
      <w:r>
        <w:rPr>
          <w:rFonts w:hint="default" w:ascii="Times New Roman" w:hAnsi="Times New Roman" w:eastAsia="方正黑体_GBK" w:cs="Times New Roman"/>
          <w:i w:val="0"/>
          <w:iCs w:val="0"/>
          <w:caps w:val="0"/>
          <w:color w:val="333333"/>
          <w:spacing w:val="0"/>
          <w:sz w:val="32"/>
          <w:szCs w:val="32"/>
          <w:highlight w:val="none"/>
          <w:u w:val="none"/>
          <w:shd w:val="clear" w:fill="FFFFFF"/>
        </w:rPr>
        <w:t>三、</w:t>
      </w:r>
      <w:r>
        <w:rPr>
          <w:rFonts w:hint="eastAsia" w:ascii="Times New Roman" w:hAnsi="Times New Roman" w:eastAsia="方正黑体_GBK" w:cs="Times New Roman"/>
          <w:i w:val="0"/>
          <w:iCs w:val="0"/>
          <w:caps w:val="0"/>
          <w:color w:val="333333"/>
          <w:spacing w:val="0"/>
          <w:sz w:val="32"/>
          <w:szCs w:val="32"/>
          <w:highlight w:val="none"/>
          <w:u w:val="none"/>
          <w:shd w:val="clear" w:fill="FFFFFF"/>
          <w:lang w:val="en-US" w:eastAsia="zh-CN"/>
        </w:rPr>
        <w:t>单位</w:t>
      </w:r>
      <w:r>
        <w:rPr>
          <w:rFonts w:hint="default" w:ascii="Times New Roman" w:hAnsi="Times New Roman" w:eastAsia="方正黑体_GBK" w:cs="Times New Roman"/>
          <w:i w:val="0"/>
          <w:iCs w:val="0"/>
          <w:caps w:val="0"/>
          <w:color w:val="333333"/>
          <w:spacing w:val="0"/>
          <w:sz w:val="32"/>
          <w:szCs w:val="32"/>
          <w:highlight w:val="none"/>
          <w:u w:val="none"/>
          <w:shd w:val="clear" w:fill="FFFFFF"/>
        </w:rPr>
        <w:t>预算情况说明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2025年一般公共预算财政拨款收入</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62.94</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4</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减少2.73万元；</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一般公共预算财政拨款支出</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62.94</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4</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减少2.73</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万元。其中：基本支出</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62.94</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4</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减少2.73万元</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，主要原因是</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其中一名人员存在退休，导致社会保障和就业支出预算减少。</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项目支出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无项目支出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年政府性基金预算收入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万元，政府性基金预算支出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万元。其中：项目支出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无</w:t>
      </w:r>
      <w:r>
        <w:rPr>
          <w:rFonts w:hint="default" w:ascii="Times New Roman" w:hAnsi="Times New Roman" w:eastAsia="方正仿宋_GBK" w:cs="Times New Roman"/>
          <w:i w:val="0"/>
          <w:iCs w:val="0"/>
          <w:caps w:val="0"/>
          <w:color w:val="333333"/>
          <w:spacing w:val="0"/>
          <w:sz w:val="32"/>
          <w:szCs w:val="32"/>
          <w:shd w:val="clear" w:fill="FFFFFF"/>
          <w:lang w:val="en-US" w:eastAsia="zh-CN"/>
        </w:rPr>
        <w:t>政府性基金预算收入。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default" w:ascii="Times New Roman" w:hAnsi="Times New Roman" w:eastAsia="方正黑体_GBK" w:cs="Times New Roman"/>
          <w:i w:val="0"/>
          <w:iCs w:val="0"/>
          <w:caps w:val="0"/>
          <w:color w:val="333333"/>
          <w:spacing w:val="0"/>
          <w:sz w:val="32"/>
          <w:szCs w:val="32"/>
          <w:u w:val="none"/>
          <w:shd w:val="clear" w:fill="FFFFFF"/>
        </w:rPr>
        <w:t>三公</w:t>
      </w:r>
      <w:r>
        <w:rPr>
          <w:rFonts w:hint="eastAsia" w:ascii="方正黑体_GBK" w:hAnsi="方正黑体_GBK" w:eastAsia="方正黑体_GBK" w:cs="方正黑体_GBK"/>
          <w:i w:val="0"/>
          <w:iCs w:val="0"/>
          <w:caps w:val="0"/>
          <w:color w:val="333333"/>
          <w:spacing w:val="0"/>
          <w:sz w:val="32"/>
          <w:szCs w:val="32"/>
          <w:u w:val="none"/>
          <w:shd w:val="clear" w:fill="FFFFFF"/>
        </w:rPr>
        <w:t>”</w:t>
      </w:r>
      <w:r>
        <w:rPr>
          <w:rFonts w:hint="default" w:ascii="Times New Roman" w:hAnsi="Times New Roman" w:eastAsia="方正黑体_GBK" w:cs="Times New Roman"/>
          <w:i w:val="0"/>
          <w:iCs w:val="0"/>
          <w:caps w:val="0"/>
          <w:color w:val="333333"/>
          <w:spacing w:val="0"/>
          <w:sz w:val="32"/>
          <w:szCs w:val="32"/>
          <w:u w:val="none"/>
          <w:shd w:val="clear" w:fill="FFFFFF"/>
        </w:rPr>
        <w:t>经费情况说明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三公</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经费预算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万元。其中：公务接待费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年减少</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万元，主要原因是公务接待减少，认真贯彻落实中央八项规定精神，严格控制</w:t>
      </w:r>
      <w:r>
        <w:rPr>
          <w:rFonts w:hint="default" w:ascii="方正仿宋_GBK" w:hAnsi="方正仿宋_GBK" w:eastAsia="方正仿宋_GBK" w:cs="方正仿宋_GBK"/>
          <w:i w:val="0"/>
          <w:iCs w:val="0"/>
          <w:caps w:val="0"/>
          <w:color w:val="333333"/>
          <w:spacing w:val="0"/>
          <w:sz w:val="32"/>
          <w:szCs w:val="32"/>
          <w:shd w:val="clear" w:fill="FFFFFF"/>
          <w:lang w:val="en-US" w:eastAsia="zh-CN"/>
        </w:rPr>
        <w:t>“三公”</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经费；公务用车运行维护费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本单位无</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iCs w:val="0"/>
          <w:caps w:val="0"/>
          <w:color w:val="333333"/>
          <w:spacing w:val="0"/>
          <w:sz w:val="32"/>
          <w:szCs w:val="32"/>
          <w:shd w:val="clear" w:fill="FFFFFF"/>
          <w:lang w:val="en-US" w:eastAsia="zh-CN"/>
        </w:rPr>
        <w:t>经费。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五、其他重要事项的情况说明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万元，主要原因是本单位为事业单位，不在机关运行经费统计范围之内。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2025年项目支出均实行了绩效目标管理，涉及一般公共预算当年财政拨款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三</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所属各预算单位政府采购预算总额</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万元：政府采购货物预算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万元；其中一般公共预算拨款政府采购</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万元：政府采购货物预算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四</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截至202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年12月，所属各预算单位共有车辆</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辆，其中一般公务用车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辆、执勤执法用车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年一般公共预算未安排购置车辆。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六、专业名词解释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（一）财政拨款收入</w:t>
      </w:r>
      <w:r>
        <w:rPr>
          <w:rFonts w:hint="default" w:ascii="Times New Roman" w:hAnsi="Times New Roman" w:eastAsia="方正仿宋_GBK" w:cs="Times New Roman"/>
          <w:i w:val="0"/>
          <w:iCs w:val="0"/>
          <w:caps w:val="0"/>
          <w:color w:val="333333"/>
          <w:spacing w:val="0"/>
          <w:sz w:val="32"/>
          <w:szCs w:val="32"/>
          <w:shd w:val="clear" w:fill="FFFFFF"/>
        </w:rPr>
        <w:t>：指</w:t>
      </w:r>
      <w:r>
        <w:rPr>
          <w:rFonts w:hint="default" w:ascii="Times New Roman" w:hAnsi="Times New Roman" w:eastAsia="方正仿宋_GBK" w:cs="Times New Roman"/>
          <w:i w:val="0"/>
          <w:iCs w:val="0"/>
          <w:caps w:val="0"/>
          <w:color w:val="333333"/>
          <w:spacing w:val="0"/>
          <w:sz w:val="32"/>
          <w:szCs w:val="32"/>
          <w:shd w:val="clear" w:fill="FFFFFF"/>
          <w:lang w:val="en-US" w:eastAsia="zh-CN"/>
        </w:rPr>
        <w:t>单位从同级财政部门</w:t>
      </w:r>
      <w:r>
        <w:rPr>
          <w:rFonts w:hint="default" w:ascii="Times New Roman" w:hAnsi="Times New Roman" w:eastAsia="方正仿宋_GBK" w:cs="Times New Roman"/>
          <w:i w:val="0"/>
          <w:iCs w:val="0"/>
          <w:caps w:val="0"/>
          <w:color w:val="333333"/>
          <w:spacing w:val="0"/>
          <w:sz w:val="32"/>
          <w:szCs w:val="32"/>
          <w:shd w:val="clear" w:fill="FFFFFF"/>
        </w:rPr>
        <w:t>取得的</w:t>
      </w:r>
      <w:r>
        <w:rPr>
          <w:rFonts w:hint="default" w:ascii="Times New Roman" w:hAnsi="Times New Roman" w:eastAsia="方正仿宋_GBK" w:cs="Times New Roman"/>
          <w:i w:val="0"/>
          <w:iCs w:val="0"/>
          <w:caps w:val="0"/>
          <w:color w:val="333333"/>
          <w:spacing w:val="0"/>
          <w:sz w:val="32"/>
          <w:szCs w:val="32"/>
          <w:shd w:val="clear" w:fill="FFFFFF"/>
          <w:lang w:val="en-US" w:eastAsia="zh-CN"/>
        </w:rPr>
        <w:t>各类</w:t>
      </w:r>
      <w:r>
        <w:rPr>
          <w:rFonts w:hint="default" w:ascii="Times New Roman" w:hAnsi="Times New Roman" w:eastAsia="方正仿宋_GBK" w:cs="Times New Roman"/>
          <w:i w:val="0"/>
          <w:iCs w:val="0"/>
          <w:caps w:val="0"/>
          <w:color w:val="333333"/>
          <w:spacing w:val="0"/>
          <w:sz w:val="32"/>
          <w:szCs w:val="32"/>
          <w:shd w:val="clear" w:fill="FFFFFF"/>
        </w:rPr>
        <w:t>财政拨款，包括一般公共预算拨款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政府性基金预算拨款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国有资本经营预算拨款</w:t>
      </w:r>
      <w:r>
        <w:rPr>
          <w:rFonts w:hint="default" w:ascii="Times New Roman" w:hAnsi="Times New Roman" w:eastAsia="方正仿宋_GBK" w:cs="Times New Roman"/>
          <w:i w:val="0"/>
          <w:iCs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（二）其他收入：</w:t>
      </w:r>
      <w:r>
        <w:rPr>
          <w:rFonts w:hint="default" w:ascii="Times New Roman" w:hAnsi="Times New Roman" w:eastAsia="方正仿宋_GBK" w:cs="Times New Roman"/>
          <w:i w:val="0"/>
          <w:iCs w:val="0"/>
          <w:caps w:val="0"/>
          <w:color w:val="333333"/>
          <w:spacing w:val="0"/>
          <w:sz w:val="32"/>
          <w:szCs w:val="32"/>
          <w:shd w:val="clear" w:fill="FFFFFF"/>
          <w:lang w:val="en-US" w:eastAsia="zh-CN"/>
        </w:rPr>
        <w:t>主要包括债务收入（不含政府债券、政府向外国组织贷款和国际组织贷款）、投资收益、接受捐赠等收入</w:t>
      </w:r>
      <w:r>
        <w:rPr>
          <w:rFonts w:hint="default" w:ascii="Times New Roman" w:hAnsi="Times New Roman" w:eastAsia="方正仿宋_GBK" w:cs="Times New Roman"/>
          <w:i w:val="0"/>
          <w:iCs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（三）基本支出：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指指各部门、各单位为保障其机构正常运转、完成日常工作任务所发生的支出，包括人员经费和公用经费。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楷体_GBK" w:cs="Times New Roman"/>
          <w:i w:val="0"/>
          <w:iCs w:val="0"/>
          <w:caps w:val="0"/>
          <w:color w:val="333333"/>
          <w:spacing w:val="0"/>
          <w:sz w:val="32"/>
          <w:szCs w:val="32"/>
          <w:shd w:val="clear" w:fill="FFFFFF"/>
        </w:rPr>
        <w:t>（四）项目支出：</w:t>
      </w:r>
      <w:r>
        <w:rPr>
          <w:rFonts w:hint="default" w:ascii="Times New Roman" w:hAnsi="Times New Roman" w:eastAsia="方正仿宋_GBK" w:cs="Times New Roman"/>
          <w:i w:val="0"/>
          <w:iCs w:val="0"/>
          <w:caps w:val="0"/>
          <w:color w:val="333333"/>
          <w:spacing w:val="0"/>
          <w:sz w:val="32"/>
          <w:szCs w:val="32"/>
          <w:shd w:val="clear" w:fill="FFFFFF"/>
        </w:rPr>
        <w:t>指各部门</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各单位为完成其特定的工作任务和事业发展目标所发生的支出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（五）经营支出：</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指事业单位在专业业务活动及其辅助活动之外开展非独立核算经营活动发生的支出。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（六）</w:t>
      </w:r>
      <w:r>
        <w:rPr>
          <w:rFonts w:hint="eastAsia" w:ascii="方正楷体_GBK" w:hAnsi="方正楷体_GBK" w:eastAsia="方正楷体_GBK" w:cs="方正楷体_GBK"/>
          <w:i w:val="0"/>
          <w:iCs w:val="0"/>
          <w:caps w:val="0"/>
          <w:color w:val="333333"/>
          <w:spacing w:val="0"/>
          <w:sz w:val="32"/>
          <w:szCs w:val="32"/>
          <w:shd w:val="clear" w:fill="FFFFFF"/>
        </w:rPr>
        <w:t>“三公”经</w:t>
      </w:r>
      <w:r>
        <w:rPr>
          <w:rFonts w:hint="default" w:ascii="Times New Roman" w:hAnsi="Times New Roman" w:eastAsia="方正楷体_GBK" w:cs="Times New Roman"/>
          <w:i w:val="0"/>
          <w:iCs w:val="0"/>
          <w:caps w:val="0"/>
          <w:color w:val="333333"/>
          <w:spacing w:val="0"/>
          <w:sz w:val="32"/>
          <w:szCs w:val="32"/>
          <w:shd w:val="clear" w:fill="FFFFFF"/>
        </w:rPr>
        <w:t>费：</w:t>
      </w:r>
      <w:r>
        <w:rPr>
          <w:rFonts w:hint="default"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（七）机关运行经费：</w:t>
      </w:r>
      <w:r>
        <w:rPr>
          <w:rFonts w:hint="default" w:ascii="Times New Roman" w:hAnsi="Times New Roman" w:eastAsia="方正仿宋_GBK" w:cs="Times New Roman"/>
          <w:i w:val="0"/>
          <w:iCs w:val="0"/>
          <w:caps w:val="0"/>
          <w:color w:val="333333"/>
          <w:spacing w:val="0"/>
          <w:sz w:val="32"/>
          <w:szCs w:val="32"/>
          <w:shd w:val="clear" w:fill="FFFFFF"/>
        </w:rPr>
        <w:t>指各部门的公用经费</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包括办公及印刷费、邮电费、差旅费、会议费、福利费、日常维修费、专用材料及一般设备购置费、办公用房水电费、办公用房取暖费、办公用房物业管理费、公务用车运行维护费以及其他费用。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（八）工资福利支出（支出经济分类科目类级）：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（九）商品和服务支出（支出经济分类科目类级）：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反映单位购买商品和服务的支出（不包括用于购置固定资产的支出、战略性和应急储备支出）。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（十）对个人和家庭的补助（支出经济分类科目类级）：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反映用于对个人和家庭的补助支出。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i w:val="0"/>
          <w:iCs w:val="0"/>
          <w:caps w:val="0"/>
          <w:color w:val="333333"/>
          <w:spacing w:val="0"/>
          <w:sz w:val="32"/>
          <w:szCs w:val="32"/>
          <w:shd w:val="clear" w:fill="FFFFFF"/>
        </w:rPr>
        <w:t>（十一）其他资本性支出（支出经济分类科目类级）：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反映非发展改革部门安排的用于</w:t>
      </w:r>
      <w:r>
        <w:rPr>
          <w:rFonts w:hint="default" w:ascii="Times New Roman" w:hAnsi="Times New Roman" w:eastAsia="方正仿宋_GBK" w:cs="Times New Roman"/>
          <w:i w:val="0"/>
          <w:iCs w:val="0"/>
          <w:caps w:val="0"/>
          <w:color w:val="333333"/>
          <w:spacing w:val="0"/>
          <w:sz w:val="32"/>
          <w:szCs w:val="32"/>
          <w:shd w:val="clear" w:fill="FFFFFF"/>
          <w:lang w:val="en-US" w:eastAsia="zh-CN"/>
        </w:rPr>
        <w:t>建筑物购建、设备购置、基础设施建设、无形资产购置、</w:t>
      </w:r>
      <w:r>
        <w:rPr>
          <w:rFonts w:hint="default" w:ascii="Times New Roman" w:hAnsi="Times New Roman" w:eastAsia="方正仿宋_GBK" w:cs="Times New Roman"/>
          <w:i w:val="0"/>
          <w:iCs w:val="0"/>
          <w:caps w:val="0"/>
          <w:color w:val="333333"/>
          <w:spacing w:val="0"/>
          <w:sz w:val="32"/>
          <w:szCs w:val="32"/>
          <w:shd w:val="clear" w:fill="FFFFFF"/>
        </w:rPr>
        <w:t>大型修缮</w:t>
      </w:r>
      <w:r>
        <w:rPr>
          <w:rFonts w:hint="default" w:ascii="Times New Roman" w:hAnsi="Times New Roman" w:eastAsia="方正仿宋_GBK" w:cs="Times New Roman"/>
          <w:i w:val="0"/>
          <w:iCs w:val="0"/>
          <w:caps w:val="0"/>
          <w:color w:val="333333"/>
          <w:spacing w:val="0"/>
          <w:sz w:val="32"/>
          <w:szCs w:val="32"/>
          <w:shd w:val="clear" w:fill="FFFFFF"/>
          <w:lang w:val="en-US" w:eastAsia="zh-CN"/>
        </w:rPr>
        <w:t>等资本性支出以外的其他资本性支出</w:t>
      </w:r>
      <w:r>
        <w:rPr>
          <w:rFonts w:hint="default" w:ascii="Times New Roman" w:hAnsi="Times New Roman" w:eastAsia="方正仿宋_GBK" w:cs="Times New Roman"/>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eastAsia="zh-CN"/>
        </w:rPr>
        <w:t>联系人：</w:t>
      </w:r>
      <w:r>
        <w:rPr>
          <w:rFonts w:hint="eastAsia" w:ascii="Times New Roman" w:hAnsi="Times New Roman" w:eastAsia="方正仿宋_GBK" w:cs="Times New Roman"/>
          <w:sz w:val="32"/>
          <w:szCs w:val="32"/>
          <w:lang w:val="en-US" w:eastAsia="zh-CN"/>
        </w:rPr>
        <w:t>杨光昱</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联系方式：</w:t>
      </w:r>
      <w:r>
        <w:rPr>
          <w:rFonts w:hint="default" w:ascii="Times New Roman" w:hAnsi="Times New Roman" w:eastAsia="方正仿宋_GBK" w:cs="Times New Roman"/>
          <w:sz w:val="32"/>
          <w:szCs w:val="32"/>
          <w:lang w:val="en-US" w:eastAsia="zh-CN"/>
        </w:rPr>
        <w:t>023-76643180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E108A6"/>
    <w:rsid w:val="04B444C7"/>
    <w:rsid w:val="05B4202B"/>
    <w:rsid w:val="07295976"/>
    <w:rsid w:val="07451E93"/>
    <w:rsid w:val="07AA6545"/>
    <w:rsid w:val="0A7A40A1"/>
    <w:rsid w:val="0C0D480A"/>
    <w:rsid w:val="0D47753A"/>
    <w:rsid w:val="107A0A3F"/>
    <w:rsid w:val="10EA445F"/>
    <w:rsid w:val="11232632"/>
    <w:rsid w:val="12077BB7"/>
    <w:rsid w:val="14D1325F"/>
    <w:rsid w:val="14E11CFF"/>
    <w:rsid w:val="17E329E9"/>
    <w:rsid w:val="17EC19CE"/>
    <w:rsid w:val="192D3D7C"/>
    <w:rsid w:val="19393E1F"/>
    <w:rsid w:val="198F6E75"/>
    <w:rsid w:val="1B1625F6"/>
    <w:rsid w:val="1C365209"/>
    <w:rsid w:val="1CD25317"/>
    <w:rsid w:val="1D87091B"/>
    <w:rsid w:val="207D0775"/>
    <w:rsid w:val="208E49FF"/>
    <w:rsid w:val="22DF6799"/>
    <w:rsid w:val="2340333C"/>
    <w:rsid w:val="245E4DCA"/>
    <w:rsid w:val="24662263"/>
    <w:rsid w:val="24BF0A1E"/>
    <w:rsid w:val="26051D1B"/>
    <w:rsid w:val="26123CBA"/>
    <w:rsid w:val="2639264C"/>
    <w:rsid w:val="272A25D5"/>
    <w:rsid w:val="27B23C7E"/>
    <w:rsid w:val="2A514C73"/>
    <w:rsid w:val="2D417DB8"/>
    <w:rsid w:val="2FBF36F3"/>
    <w:rsid w:val="3059345B"/>
    <w:rsid w:val="33885A89"/>
    <w:rsid w:val="347456E8"/>
    <w:rsid w:val="365365ED"/>
    <w:rsid w:val="36D57830"/>
    <w:rsid w:val="37BE217A"/>
    <w:rsid w:val="3A0854E6"/>
    <w:rsid w:val="3C014CCB"/>
    <w:rsid w:val="3D77205A"/>
    <w:rsid w:val="41150A6D"/>
    <w:rsid w:val="44012753"/>
    <w:rsid w:val="44AC4783"/>
    <w:rsid w:val="46862073"/>
    <w:rsid w:val="47B02348"/>
    <w:rsid w:val="47E12F43"/>
    <w:rsid w:val="48B21A00"/>
    <w:rsid w:val="490E5B0E"/>
    <w:rsid w:val="496E00A0"/>
    <w:rsid w:val="4B404861"/>
    <w:rsid w:val="4E0D644A"/>
    <w:rsid w:val="4EF7214A"/>
    <w:rsid w:val="4FA70EF2"/>
    <w:rsid w:val="516828F7"/>
    <w:rsid w:val="581544CB"/>
    <w:rsid w:val="5BB170CB"/>
    <w:rsid w:val="5F424B60"/>
    <w:rsid w:val="61627C5D"/>
    <w:rsid w:val="61C51A90"/>
    <w:rsid w:val="640A4469"/>
    <w:rsid w:val="67C47E6E"/>
    <w:rsid w:val="68480129"/>
    <w:rsid w:val="710C264C"/>
    <w:rsid w:val="710F3952"/>
    <w:rsid w:val="7135084A"/>
    <w:rsid w:val="71774FB6"/>
    <w:rsid w:val="723837E8"/>
    <w:rsid w:val="72DA59FA"/>
    <w:rsid w:val="731D5B8B"/>
    <w:rsid w:val="74C82D36"/>
    <w:rsid w:val="7BAF3E73"/>
    <w:rsid w:val="7EB45835"/>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秀山土家族苗族自治县妙泉乡人民政府</cp:lastModifiedBy>
  <dcterms:modified xsi:type="dcterms:W3CDTF">2025-03-03T02:12:01Z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F44D2AF8A2C742C2BD20A5082B04F5CC</vt:lpwstr>
  </property>
</Properties>
</file>