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妙泉镇人民政府（本级）</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部门</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贯彻执行法律、法规、规章和县人民政府的决策部署、依法管理本辖区内公共事务，创新经济社会发展环境，为经济社会发展提供良好发展空间和便捷服务，重点履行社会管理和公共服务职能，促进辖区物质文明、精神文明和政治文明建设协调发展。承办县委、县政府交办的其他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秀山土家族苗族自治县</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镇人民政府（本级）为</w:t>
      </w:r>
      <w:r>
        <w:rPr>
          <w:rFonts w:hint="eastAsia" w:ascii="Times New Roman" w:hAnsi="Times New Roman" w:eastAsia="方正仿宋_GBK" w:cs="Times New Roman"/>
          <w:i w:val="0"/>
          <w:iCs w:val="0"/>
          <w:caps w:val="0"/>
          <w:color w:val="333333"/>
          <w:spacing w:val="0"/>
          <w:sz w:val="32"/>
          <w:szCs w:val="32"/>
          <w:shd w:val="clear" w:fill="FFFFFF"/>
          <w:lang w:eastAsia="zh-CN"/>
        </w:rPr>
        <w:t>妙泉</w:t>
      </w:r>
      <w:r>
        <w:rPr>
          <w:rFonts w:hint="default" w:ascii="Times New Roman" w:hAnsi="Times New Roman" w:eastAsia="方正仿宋_GBK" w:cs="Times New Roman"/>
          <w:i w:val="0"/>
          <w:iCs w:val="0"/>
          <w:caps w:val="0"/>
          <w:color w:val="333333"/>
          <w:spacing w:val="0"/>
          <w:sz w:val="32"/>
          <w:szCs w:val="32"/>
          <w:shd w:val="clear" w:fill="FFFFFF"/>
        </w:rPr>
        <w:t>镇人民政府下属二级单位，内设10个职能科室，分别是：党政办公室、党建工作办公室、经济发展办公室（挂统计办公室牌子）、民政和社会事务办公室（挂卫生健康办公室）、平安建设办公室、规划建设管理环保办公室、应急管理办公室、社区事务服务中心、社区文化服务中心。</w:t>
      </w:r>
      <w:r>
        <w:rPr>
          <w:rFonts w:hint="eastAsia" w:ascii="Times New Roman" w:hAnsi="Times New Roman" w:eastAsia="方正仿宋_GBK" w:cs="Times New Roman"/>
          <w:i w:val="0"/>
          <w:iCs w:val="0"/>
          <w:caps w:val="0"/>
          <w:color w:val="333333"/>
          <w:spacing w:val="0"/>
          <w:sz w:val="32"/>
          <w:szCs w:val="32"/>
          <w:shd w:val="clear" w:fill="FFFFFF"/>
          <w:lang w:val="en-US" w:eastAsia="zh-CN"/>
        </w:rPr>
        <w:t>本单位有</w:t>
      </w:r>
      <w:r>
        <w:rPr>
          <w:rFonts w:hint="default" w:ascii="Times New Roman" w:hAnsi="Times New Roman" w:eastAsia="方正仿宋_GBK" w:cs="Times New Roman"/>
          <w:i w:val="0"/>
          <w:iCs w:val="0"/>
          <w:caps w:val="0"/>
          <w:color w:val="333333"/>
          <w:spacing w:val="0"/>
          <w:sz w:val="32"/>
          <w:szCs w:val="32"/>
          <w:shd w:val="clear" w:fill="FFFFFF"/>
        </w:rPr>
        <w:t>机关行政编制人员</w:t>
      </w:r>
      <w:r>
        <w:rPr>
          <w:rFonts w:hint="eastAsia" w:ascii="Times New Roman" w:hAnsi="Times New Roman" w:eastAsia="方正仿宋_GBK" w:cs="Times New Roman"/>
          <w:i w:val="0"/>
          <w:iCs w:val="0"/>
          <w:caps w:val="0"/>
          <w:color w:val="333333"/>
          <w:spacing w:val="0"/>
          <w:sz w:val="32"/>
          <w:szCs w:val="32"/>
          <w:shd w:val="clear" w:fill="FFFFFF"/>
          <w:lang w:val="en-US" w:eastAsia="zh-CN"/>
        </w:rPr>
        <w:t>21</w:t>
      </w:r>
      <w:r>
        <w:rPr>
          <w:rFonts w:hint="default" w:ascii="Times New Roman" w:hAnsi="Times New Roman" w:eastAsia="方正仿宋_GBK" w:cs="Times New Roman"/>
          <w:i w:val="0"/>
          <w:iCs w:val="0"/>
          <w:caps w:val="0"/>
          <w:color w:val="333333"/>
          <w:spacing w:val="0"/>
          <w:sz w:val="32"/>
          <w:szCs w:val="32"/>
          <w:shd w:val="clear" w:fill="FFFFFF"/>
        </w:rPr>
        <w:t>名</w:t>
      </w:r>
      <w:r>
        <w:rPr>
          <w:rFonts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30.78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30.78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646.08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按照政府过紧日子要求，各项运转经费减少，且因人员退休，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相应</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人员支出减少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830.78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支出4</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21.87</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万元，公共安全支出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2.98万元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文化旅游体育与传媒支出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2.10万元，</w:t>
      </w:r>
      <w:r>
        <w:rPr>
          <w:rFonts w:hint="default" w:ascii="Times New Roman" w:hAnsi="Times New Roman" w:eastAsia="方正仿宋_GBK" w:cs="Times New Roman"/>
          <w:i w:val="0"/>
          <w:iCs w:val="0"/>
          <w:caps w:val="0"/>
          <w:color w:val="333333"/>
          <w:spacing w:val="0"/>
          <w:sz w:val="32"/>
          <w:szCs w:val="32"/>
          <w:u w:val="none"/>
          <w:shd w:val="clear" w:fill="FFFFFF"/>
        </w:rPr>
        <w:t>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82.19</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32.84</w:t>
      </w:r>
      <w:r>
        <w:rPr>
          <w:rFonts w:hint="default" w:ascii="Times New Roman" w:hAnsi="Times New Roman" w:eastAsia="方正仿宋_GBK" w:cs="Times New Roman"/>
          <w:i w:val="0"/>
          <w:iCs w:val="0"/>
          <w:caps w:val="0"/>
          <w:color w:val="333333"/>
          <w:spacing w:val="0"/>
          <w:sz w:val="32"/>
          <w:szCs w:val="32"/>
          <w:u w:val="none"/>
          <w:shd w:val="clear" w:fill="FFFFFF"/>
        </w:rPr>
        <w:t>万元，节能环保支出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1.05万元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，农林水支出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205.37万元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，自然资源海洋气象等支出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29.00万元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37.65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，灾害防治及应急管理支出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15.74万元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44.38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79.38</w:t>
      </w:r>
      <w:r>
        <w:rPr>
          <w:rFonts w:hint="default" w:ascii="Times New Roman" w:hAnsi="Times New Roman" w:eastAsia="方正仿宋_GBK" w:cs="Times New Roman"/>
          <w:i w:val="0"/>
          <w:iCs w:val="0"/>
          <w:caps w:val="0"/>
          <w:color w:val="333333"/>
          <w:spacing w:val="0"/>
          <w:sz w:val="32"/>
          <w:szCs w:val="32"/>
          <w:u w:val="none"/>
          <w:shd w:val="clear" w:fill="FFFFFF"/>
        </w:rPr>
        <w:t>万元，项目支出增加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34.99</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830.78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830.78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633.74</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564.75</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86.59</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是人员经费及公用经费减少等，主要用于保障在职人员工资福利及社会保险缴费，离休人员离休费，退休人员补助等，保障部门正常运转的各项商品服务支出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266.03</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574.14</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度自然生态保护安排支出项目</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451.60</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未由我单位支出，且敬老院公改民营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特困人员经费支出减少</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妙泉</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镇人民政府（本级）</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持平</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84.95</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33.25</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是基本公用经费和公用经费（临时调度）减少</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56.60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2.00</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曾怡       </w:t>
      </w:r>
      <w:r>
        <w:rPr>
          <w:rFonts w:hint="eastAsia" w:ascii="方正仿宋_GBK" w:hAnsi="方正仿宋_GBK" w:eastAsia="方正仿宋_GBK" w:cs="方正仿宋_GBK"/>
          <w:sz w:val="32"/>
          <w:szCs w:val="32"/>
          <w:lang w:eastAsia="zh-CN"/>
        </w:rPr>
        <w:t>联系方式：</w:t>
      </w:r>
      <w:r>
        <w:rPr>
          <w:rFonts w:hint="default" w:ascii="Times New Roman" w:hAnsi="Times New Roman" w:eastAsia="方正仿宋_GBK" w:cs="Times New Roman"/>
          <w:sz w:val="32"/>
          <w:szCs w:val="32"/>
          <w:lang w:val="en-US" w:eastAsia="zh-CN"/>
        </w:rPr>
        <w:t>023766</w:t>
      </w:r>
      <w:r>
        <w:rPr>
          <w:rFonts w:hint="eastAsia" w:ascii="Times New Roman" w:hAnsi="Times New Roman" w:eastAsia="方正仿宋_GBK" w:cs="Times New Roman"/>
          <w:sz w:val="32"/>
          <w:szCs w:val="32"/>
          <w:lang w:val="en-US" w:eastAsia="zh-CN"/>
        </w:rPr>
        <w:t>43180</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3592AB6"/>
    <w:rsid w:val="05B4202B"/>
    <w:rsid w:val="07295976"/>
    <w:rsid w:val="0D47753A"/>
    <w:rsid w:val="10EA445F"/>
    <w:rsid w:val="14D1325F"/>
    <w:rsid w:val="198F6E75"/>
    <w:rsid w:val="1B1625F6"/>
    <w:rsid w:val="1C365209"/>
    <w:rsid w:val="1D87091B"/>
    <w:rsid w:val="2340333C"/>
    <w:rsid w:val="308835BC"/>
    <w:rsid w:val="3F3E48CF"/>
    <w:rsid w:val="44AC4783"/>
    <w:rsid w:val="47E12F43"/>
    <w:rsid w:val="490E5B0E"/>
    <w:rsid w:val="4E0D644A"/>
    <w:rsid w:val="5BB170CB"/>
    <w:rsid w:val="5F424B60"/>
    <w:rsid w:val="63BD3CAD"/>
    <w:rsid w:val="67C47E6E"/>
    <w:rsid w:val="68480129"/>
    <w:rsid w:val="710F3952"/>
    <w:rsid w:val="71774FB6"/>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秀山土家族苗族自治县妙泉乡人民政府</cp:lastModifiedBy>
  <dcterms:modified xsi:type="dcterms:W3CDTF">2024-04-07T06:36:59Z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2E5CAE9667EC43D8BC339B3CC22CD122</vt:lpwstr>
  </property>
</Properties>
</file>