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秀山土家族苗族自治县</w:t>
      </w:r>
      <w:r>
        <w:rPr>
          <w:rFonts w:hint="default" w:ascii="Times New Roman" w:hAnsi="Times New Roman" w:eastAsia="方正小标宋_GBK" w:cs="Times New Roman"/>
          <w:sz w:val="44"/>
          <w:szCs w:val="44"/>
          <w:lang w:val="en" w:eastAsia="zh-CN"/>
        </w:rPr>
        <w:t>洪安镇</w:t>
      </w:r>
      <w:r>
        <w:rPr>
          <w:rFonts w:hint="default" w:ascii="Times New Roman" w:hAnsi="Times New Roman" w:eastAsia="方正小标宋_GBK" w:cs="Times New Roman"/>
          <w:sz w:val="44"/>
          <w:szCs w:val="44"/>
          <w:lang w:eastAsia="zh-CN"/>
        </w:rPr>
        <w:t>人民政府</w:t>
      </w:r>
    </w:p>
    <w:p>
      <w:pPr>
        <w:pStyle w:val="7"/>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44"/>
          <w:szCs w:val="44"/>
          <w:lang w:eastAsia="zh-CN"/>
        </w:rPr>
        <w:t>2023年度决算公开说明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一、</w:t>
      </w:r>
      <w:r>
        <w:rPr>
          <w:rStyle w:val="11"/>
          <w:rFonts w:hint="eastAsia" w:ascii="Times New Roman" w:hAnsi="Times New Roman" w:eastAsia="方正黑体_GBK" w:cs="Times New Roman"/>
          <w:b w:val="0"/>
          <w:bCs/>
          <w:sz w:val="32"/>
          <w:szCs w:val="32"/>
          <w:shd w:val="clear" w:color="auto" w:fill="FFFFFF"/>
          <w:lang w:eastAsia="zh-CN"/>
        </w:rPr>
        <w:t>部门</w:t>
      </w:r>
      <w:r>
        <w:rPr>
          <w:rStyle w:val="11"/>
          <w:rFonts w:hint="default" w:ascii="Times New Roman" w:hAnsi="Times New Roman" w:eastAsia="方正黑体_GBK" w:cs="Times New Roman"/>
          <w:b w:val="0"/>
          <w:bCs/>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 w:hAnsi="方正仿宋" w:eastAsia="方正仿宋" w:cs="方正仿宋"/>
          <w:i w:val="0"/>
          <w:caps w:val="0"/>
          <w:color w:val="333333"/>
          <w:spacing w:val="0"/>
          <w:sz w:val="32"/>
          <w:szCs w:val="32"/>
          <w:shd w:val="clear" w:fill="FFFFFF"/>
          <w:lang w:val="en-US" w:eastAsia="zh-CN"/>
        </w:rPr>
      </w:pPr>
      <w:r>
        <w:rPr>
          <w:rFonts w:hint="eastAsia" w:ascii="方正仿宋_GBK" w:hAnsi="方正仿宋_GBK" w:eastAsia="方正仿宋_GBK" w:cs="方正仿宋_GBK"/>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r>
        <w:rPr>
          <w:rFonts w:hint="eastAsia" w:ascii="方正仿宋" w:hAnsi="方正仿宋" w:eastAsia="方正仿宋" w:cs="方正仿宋"/>
          <w:i w:val="0"/>
          <w:caps w:val="0"/>
          <w:color w:val="333333"/>
          <w:spacing w:val="0"/>
          <w:sz w:val="32"/>
          <w:szCs w:val="32"/>
          <w:shd w:val="clear"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commentRangeStart w:id="0"/>
      <w:r>
        <w:rPr>
          <w:rFonts w:hint="default" w:ascii="Times New Roman" w:hAnsi="Times New Roman" w:eastAsia="方正仿宋_GBK" w:cs="Times New Roman"/>
          <w:b/>
          <w:bCs/>
          <w:sz w:val="32"/>
          <w:szCs w:val="32"/>
          <w:shd w:val="clear" w:color="auto" w:fill="FFFFFF"/>
          <w:lang w:val="en-US" w:eastAsia="zh-CN"/>
        </w:rPr>
        <w:t>1.</w:t>
      </w:r>
      <w:commentRangeEnd w:id="0"/>
      <w:r>
        <w:rPr>
          <w:rFonts w:hint="default" w:ascii="Times New Roman" w:hAnsi="Times New Roman" w:eastAsia="方正仿宋_GBK" w:cs="Times New Roman"/>
          <w:b/>
          <w:bCs/>
          <w:sz w:val="32"/>
          <w:szCs w:val="32"/>
          <w:shd w:val="clear" w:color="auto" w:fill="FFFFFF"/>
          <w:lang w:val="en-US" w:eastAsia="zh-CN"/>
        </w:rPr>
        <w:commentReference w:id="0"/>
      </w:r>
      <w:r>
        <w:rPr>
          <w:rFonts w:hint="default" w:ascii="方正仿宋_GBK" w:hAnsi="方正仿宋_GBK" w:eastAsia="方正仿宋_GBK" w:cs="方正仿宋_GBK"/>
          <w:b/>
          <w:bCs/>
          <w:sz w:val="32"/>
          <w:szCs w:val="32"/>
          <w:shd w:val="clear" w:color="auto" w:fill="FFFFFF"/>
          <w:lang w:val="en-US" w:eastAsia="zh-CN"/>
        </w:rPr>
        <w:t>党政办公室</w:t>
      </w:r>
      <w:r>
        <w:rPr>
          <w:rFonts w:hint="default" w:ascii="方正仿宋_GBK" w:hAnsi="方正仿宋_GBK" w:eastAsia="方正仿宋_GBK" w:cs="方正仿宋_GBK"/>
          <w:sz w:val="32"/>
          <w:szCs w:val="32"/>
          <w:shd w:val="clear" w:color="auto" w:fill="FFFFFF"/>
          <w:lang w:val="en-US" w:eastAsia="zh-CN"/>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w:t>
      </w:r>
      <w:r>
        <w:rPr>
          <w:rFonts w:hint="default" w:ascii="方正仿宋_GBK" w:hAnsi="方正仿宋_GBK" w:eastAsia="方正仿宋_GBK" w:cs="方正仿宋_GBK"/>
          <w:b/>
          <w:bCs/>
          <w:sz w:val="32"/>
          <w:szCs w:val="32"/>
          <w:shd w:val="clear" w:color="auto" w:fill="FFFFFF"/>
          <w:lang w:val="en-US" w:eastAsia="zh-CN"/>
        </w:rPr>
        <w:t>经济发展办公室</w:t>
      </w:r>
      <w:r>
        <w:rPr>
          <w:rFonts w:hint="default" w:ascii="方正仿宋_GBK" w:hAnsi="方正仿宋_GBK" w:eastAsia="方正仿宋_GBK" w:cs="方正仿宋_GBK"/>
          <w:sz w:val="32"/>
          <w:szCs w:val="32"/>
          <w:shd w:val="clear" w:color="auto" w:fill="FFFFFF"/>
          <w:lang w:val="en-US" w:eastAsia="zh-CN"/>
        </w:rPr>
        <w:t>（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w:t>
      </w:r>
      <w:r>
        <w:rPr>
          <w:rFonts w:hint="default" w:ascii="方正仿宋_GBK" w:hAnsi="方正仿宋_GBK" w:eastAsia="方正仿宋_GBK" w:cs="方正仿宋_GBK"/>
          <w:b/>
          <w:bCs/>
          <w:sz w:val="32"/>
          <w:szCs w:val="32"/>
          <w:shd w:val="clear" w:color="auto" w:fill="FFFFFF"/>
          <w:lang w:val="en-US" w:eastAsia="zh-CN"/>
        </w:rPr>
        <w:t>民政和社会事务办公室</w:t>
      </w:r>
      <w:r>
        <w:rPr>
          <w:rFonts w:hint="default" w:ascii="方正仿宋_GBK" w:hAnsi="方正仿宋_GBK" w:eastAsia="方正仿宋_GBK" w:cs="方正仿宋_GBK"/>
          <w:sz w:val="32"/>
          <w:szCs w:val="32"/>
          <w:shd w:val="clear" w:color="auto" w:fill="FFFFFF"/>
          <w:lang w:val="en-US" w:eastAsia="zh-CN"/>
        </w:rPr>
        <w:t>（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w:t>
      </w:r>
      <w:r>
        <w:rPr>
          <w:rFonts w:hint="default" w:ascii="方正仿宋_GBK" w:hAnsi="方正仿宋_GBK" w:eastAsia="方正仿宋_GBK" w:cs="方正仿宋_GBK"/>
          <w:b/>
          <w:bCs/>
          <w:sz w:val="32"/>
          <w:szCs w:val="32"/>
          <w:shd w:val="clear" w:color="auto" w:fill="FFFFFF"/>
          <w:lang w:val="en-US" w:eastAsia="zh-CN"/>
        </w:rPr>
        <w:t>平安建设办公室</w:t>
      </w:r>
      <w:r>
        <w:rPr>
          <w:rFonts w:hint="default" w:ascii="方正仿宋_GBK" w:hAnsi="方正仿宋_GBK" w:eastAsia="方正仿宋_GBK" w:cs="方正仿宋_GBK"/>
          <w:sz w:val="32"/>
          <w:szCs w:val="32"/>
          <w:shd w:val="clear" w:color="auto" w:fill="FFFFFF"/>
          <w:lang w:val="en-US" w:eastAsia="zh-CN"/>
        </w:rPr>
        <w:t>。主要职责：宣传贯彻平安建设、防范和处理邪教、信访稳定等方针政策；负责社会平安创建、法治创建，指导村居开展社会平安群防群治工作；负责流动人口服务管理、群众来信来访和反邪教工作；负责协调相关</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开展禁毒、扫黑除恶和法治教育等工作；负责组织协调有关</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共同解决辖区内突发治安问题，及时化解矛盾，维护社会稳定。</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5.</w:t>
      </w:r>
      <w:r>
        <w:rPr>
          <w:rFonts w:hint="default" w:ascii="方正仿宋_GBK" w:hAnsi="方正仿宋_GBK" w:eastAsia="方正仿宋_GBK" w:cs="方正仿宋_GBK"/>
          <w:b/>
          <w:bCs/>
          <w:sz w:val="32"/>
          <w:szCs w:val="32"/>
          <w:shd w:val="clear" w:color="auto" w:fill="FFFFFF"/>
          <w:lang w:val="en-US" w:eastAsia="zh-CN"/>
        </w:rPr>
        <w:t>规划建设管理环保办公室</w:t>
      </w:r>
      <w:r>
        <w:rPr>
          <w:rFonts w:hint="default" w:ascii="方正仿宋_GBK" w:hAnsi="方正仿宋_GBK" w:eastAsia="方正仿宋_GBK" w:cs="方正仿宋_GBK"/>
          <w:sz w:val="32"/>
          <w:szCs w:val="32"/>
          <w:shd w:val="clear" w:color="auto" w:fill="FFFFFF"/>
          <w:lang w:val="en-US" w:eastAsia="zh-CN"/>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开展人防、土地征用、房屋征收、土地和矿产资源管理工作；承担其他规划自然资源生态环保管理职责。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6.</w:t>
      </w:r>
      <w:r>
        <w:rPr>
          <w:rFonts w:hint="default" w:ascii="方正仿宋_GBK" w:hAnsi="方正仿宋_GBK" w:eastAsia="方正仿宋_GBK" w:cs="方正仿宋_GBK"/>
          <w:b/>
          <w:bCs/>
          <w:sz w:val="32"/>
          <w:szCs w:val="32"/>
          <w:shd w:val="clear" w:color="auto" w:fill="FFFFFF"/>
          <w:lang w:val="en-US" w:eastAsia="zh-CN"/>
        </w:rPr>
        <w:t>财政办公室</w:t>
      </w:r>
      <w:r>
        <w:rPr>
          <w:rFonts w:hint="default" w:ascii="方正仿宋_GBK" w:hAnsi="方正仿宋_GBK" w:eastAsia="方正仿宋_GBK" w:cs="方正仿宋_GBK"/>
          <w:sz w:val="32"/>
          <w:szCs w:val="32"/>
          <w:shd w:val="clear" w:color="auto" w:fill="FFFFFF"/>
          <w:lang w:val="en-US" w:eastAsia="zh-CN"/>
        </w:rPr>
        <w:t>。主要负责：贯彻财经方针政策，执行财政法规、财经制度，指导监督辖区内</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财务活动；负责本级财政收支、预决算、总会计、惠农资金兑付、财政资金监督检查、绩效评价、债权债务、村级财务管理等工作；负责国有资产的购置、登记、处置、保值增值、政府采购等工作；协调税务等</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组织财政收入；承担其他财政财务管理职责。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7.</w:t>
      </w:r>
      <w:r>
        <w:rPr>
          <w:rFonts w:hint="default" w:ascii="方正仿宋_GBK" w:hAnsi="方正仿宋_GBK" w:eastAsia="方正仿宋_GBK" w:cs="方正仿宋_GBK"/>
          <w:b/>
          <w:bCs/>
          <w:sz w:val="32"/>
          <w:szCs w:val="32"/>
          <w:shd w:val="clear" w:color="auto" w:fill="FFFFFF"/>
          <w:lang w:val="en-US" w:eastAsia="zh-CN"/>
        </w:rPr>
        <w:t>应急管理办公室</w:t>
      </w:r>
      <w:r>
        <w:rPr>
          <w:rFonts w:hint="default" w:ascii="方正仿宋_GBK" w:hAnsi="方正仿宋_GBK" w:eastAsia="方正仿宋_GBK" w:cs="方正仿宋_GBK"/>
          <w:sz w:val="32"/>
          <w:szCs w:val="32"/>
          <w:shd w:val="clear" w:color="auto" w:fill="FFFFFF"/>
          <w:lang w:val="en-US" w:eastAsia="zh-CN"/>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8.</w:t>
      </w:r>
      <w:r>
        <w:rPr>
          <w:rFonts w:hint="default" w:ascii="方正仿宋_GBK" w:hAnsi="方正仿宋_GBK" w:eastAsia="方正仿宋_GBK" w:cs="方正仿宋_GBK"/>
          <w:b/>
          <w:bCs/>
          <w:sz w:val="32"/>
          <w:szCs w:val="32"/>
          <w:shd w:val="clear" w:color="auto" w:fill="FFFFFF"/>
          <w:lang w:val="en-US" w:eastAsia="zh-CN"/>
        </w:rPr>
        <w:t>综合行政执法办公室</w:t>
      </w:r>
      <w:r>
        <w:rPr>
          <w:rFonts w:hint="default" w:ascii="方正仿宋_GBK" w:hAnsi="方正仿宋_GBK" w:eastAsia="方正仿宋_GBK" w:cs="方正仿宋_GBK"/>
          <w:b w:val="0"/>
          <w:bCs w:val="0"/>
          <w:sz w:val="32"/>
          <w:szCs w:val="32"/>
          <w:shd w:val="clear" w:color="auto" w:fill="FFFFFF"/>
          <w:lang w:val="en-US" w:eastAsia="zh-CN"/>
        </w:rPr>
        <w:t>。集中行使依法授权或委托乡镇政府承担的各项行政执法权；协调、配合县级有关</w:t>
      </w:r>
      <w:r>
        <w:rPr>
          <w:rFonts w:hint="eastAsia" w:ascii="方正仿宋_GBK" w:hAnsi="方正仿宋_GBK" w:eastAsia="方正仿宋_GBK" w:cs="方正仿宋_GBK"/>
          <w:b w:val="0"/>
          <w:bCs w:val="0"/>
          <w:sz w:val="32"/>
          <w:szCs w:val="32"/>
          <w:shd w:val="clear" w:color="auto" w:fill="FFFFFF"/>
          <w:lang w:val="en-US" w:eastAsia="zh-CN"/>
        </w:rPr>
        <w:t>部门</w:t>
      </w:r>
      <w:r>
        <w:rPr>
          <w:rFonts w:hint="default" w:ascii="方正仿宋_GBK" w:hAnsi="方正仿宋_GBK" w:eastAsia="方正仿宋_GBK" w:cs="方正仿宋_GBK"/>
          <w:b w:val="0"/>
          <w:bCs w:val="0"/>
          <w:sz w:val="32"/>
          <w:szCs w:val="32"/>
          <w:shd w:val="clear" w:color="auto" w:fill="FFFFFF"/>
          <w:lang w:val="en-US" w:eastAsia="zh-CN"/>
        </w:rPr>
        <w:t>及派驻机构开展其他领域的联合执法。</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val="0"/>
          <w:bCs w:val="0"/>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9.</w:t>
      </w:r>
      <w:r>
        <w:rPr>
          <w:rFonts w:hint="default" w:ascii="方正仿宋_GBK" w:hAnsi="方正仿宋_GBK" w:eastAsia="方正仿宋_GBK" w:cs="方正仿宋_GBK"/>
          <w:b/>
          <w:bCs/>
          <w:sz w:val="32"/>
          <w:szCs w:val="32"/>
          <w:shd w:val="clear" w:color="auto" w:fill="FFFFFF"/>
          <w:lang w:val="en-US" w:eastAsia="zh-CN"/>
        </w:rPr>
        <w:t>党建工作办公室</w:t>
      </w:r>
      <w:r>
        <w:rPr>
          <w:rFonts w:hint="default" w:ascii="方正仿宋_GBK" w:hAnsi="方正仿宋_GBK" w:eastAsia="方正仿宋_GBK" w:cs="方正仿宋_GBK"/>
          <w:b w:val="0"/>
          <w:bCs w:val="0"/>
          <w:sz w:val="32"/>
          <w:szCs w:val="32"/>
          <w:shd w:val="clear" w:color="auto" w:fill="FFFFFF"/>
          <w:lang w:val="en-US" w:eastAsia="zh-CN"/>
        </w:rPr>
        <w:t>。统筹负责基层党建、群团等工作。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10.</w:t>
      </w:r>
      <w:r>
        <w:rPr>
          <w:rFonts w:hint="default" w:ascii="方正仿宋_GBK" w:hAnsi="方正仿宋_GBK" w:eastAsia="方正仿宋_GBK" w:cs="方正仿宋_GBK"/>
          <w:b/>
          <w:bCs/>
          <w:sz w:val="32"/>
          <w:szCs w:val="32"/>
          <w:shd w:val="clear" w:color="auto" w:fill="FFFFFF"/>
          <w:lang w:val="en-US" w:eastAsia="zh-CN"/>
        </w:rPr>
        <w:t>人大办公室</w:t>
      </w:r>
      <w:r>
        <w:rPr>
          <w:rFonts w:hint="default" w:ascii="方正仿宋_GBK" w:hAnsi="方正仿宋_GBK" w:eastAsia="方正仿宋_GBK" w:cs="方正仿宋_GBK"/>
          <w:sz w:val="32"/>
          <w:szCs w:val="32"/>
          <w:shd w:val="clear" w:color="auto" w:fill="FFFFFF"/>
          <w:lang w:val="en-US" w:eastAsia="zh-CN"/>
        </w:rPr>
        <w:t>。主要负责在人大主席团的领导下处理人大日常事务，起草编写主席团文件、材料，会议准备、人代会筹备，资料立卷归档和保密工作。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11.</w:t>
      </w:r>
      <w:r>
        <w:rPr>
          <w:rFonts w:hint="default" w:ascii="方正仿宋_GBK" w:hAnsi="方正仿宋_GBK" w:eastAsia="方正仿宋_GBK" w:cs="方正仿宋_GBK"/>
          <w:b/>
          <w:bCs/>
          <w:sz w:val="32"/>
          <w:szCs w:val="32"/>
          <w:shd w:val="clear" w:color="auto" w:fill="FFFFFF"/>
          <w:lang w:val="en-US" w:eastAsia="zh-CN"/>
        </w:rPr>
        <w:t>纪委办公室</w:t>
      </w:r>
      <w:r>
        <w:rPr>
          <w:rFonts w:hint="default" w:ascii="方正仿宋_GBK" w:hAnsi="方正仿宋_GBK" w:eastAsia="方正仿宋_GBK" w:cs="方正仿宋_GBK"/>
          <w:sz w:val="32"/>
          <w:szCs w:val="32"/>
          <w:shd w:val="clear" w:color="auto" w:fill="FFFFFF"/>
          <w:lang w:val="en-US" w:eastAsia="zh-CN"/>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12.</w:t>
      </w:r>
      <w:r>
        <w:rPr>
          <w:rFonts w:hint="default" w:ascii="方正仿宋_GBK" w:hAnsi="方正仿宋_GBK" w:eastAsia="方正仿宋_GBK" w:cs="方正仿宋_GBK"/>
          <w:b/>
          <w:bCs/>
          <w:sz w:val="32"/>
          <w:szCs w:val="32"/>
          <w:shd w:val="clear" w:color="auto" w:fill="FFFFFF"/>
          <w:lang w:val="en-US" w:eastAsia="zh-CN"/>
        </w:rPr>
        <w:t>武装办公室</w:t>
      </w:r>
      <w:r>
        <w:rPr>
          <w:rFonts w:hint="default" w:ascii="方正仿宋_GBK" w:hAnsi="方正仿宋_GBK" w:eastAsia="方正仿宋_GBK" w:cs="方正仿宋_GBK"/>
          <w:sz w:val="32"/>
          <w:szCs w:val="32"/>
          <w:shd w:val="clear" w:color="auto" w:fill="FFFFFF"/>
          <w:lang w:val="en-US" w:eastAsia="zh-CN"/>
        </w:rPr>
        <w:t>。主要负责做好军、烈属、荣军和复、转退役军人的登记和优抚工作；负责学校集中军事技能训练和分散军事理论教学，积极开展教学总结和研究，不断提高教学质量；完成上级交办的其他工作事务。</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13.</w:t>
      </w:r>
      <w:r>
        <w:rPr>
          <w:rFonts w:hint="default" w:ascii="方正仿宋_GBK" w:hAnsi="方正仿宋_GBK" w:eastAsia="方正仿宋_GBK" w:cs="方正仿宋_GBK"/>
          <w:b/>
          <w:bCs/>
          <w:sz w:val="32"/>
          <w:szCs w:val="32"/>
          <w:shd w:val="clear" w:color="auto" w:fill="FFFFFF"/>
          <w:lang w:val="en-US" w:eastAsia="zh-CN"/>
        </w:rPr>
        <w:t>工会</w:t>
      </w:r>
      <w:r>
        <w:rPr>
          <w:rFonts w:hint="default" w:ascii="方正仿宋_GBK" w:hAnsi="方正仿宋_GBK" w:eastAsia="方正仿宋_GBK" w:cs="方正仿宋_GBK"/>
          <w:sz w:val="32"/>
          <w:szCs w:val="32"/>
          <w:shd w:val="clear" w:color="auto" w:fill="FFFFFF"/>
          <w:lang w:val="en-US" w:eastAsia="zh-CN"/>
        </w:rPr>
        <w:t>。主要职能是维护职工合法权益；参与职能、维护职能、建设职能和教育职能。</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14.</w:t>
      </w:r>
      <w:r>
        <w:rPr>
          <w:rFonts w:hint="default" w:ascii="方正仿宋_GBK" w:hAnsi="方正仿宋_GBK" w:eastAsia="方正仿宋_GBK" w:cs="方正仿宋_GBK"/>
          <w:b/>
          <w:bCs/>
          <w:sz w:val="32"/>
          <w:szCs w:val="32"/>
          <w:shd w:val="clear" w:color="auto" w:fill="FFFFFF"/>
          <w:lang w:val="en-US" w:eastAsia="zh-CN"/>
        </w:rPr>
        <w:t>团委</w:t>
      </w:r>
      <w:r>
        <w:rPr>
          <w:rFonts w:hint="default" w:ascii="方正仿宋_GBK" w:hAnsi="方正仿宋_GBK" w:eastAsia="方正仿宋_GBK" w:cs="方正仿宋_GBK"/>
          <w:sz w:val="32"/>
          <w:szCs w:val="32"/>
          <w:shd w:val="clear" w:color="auto" w:fill="FFFFFF"/>
          <w:lang w:val="en-US" w:eastAsia="zh-CN"/>
        </w:rPr>
        <w:t>。主要职责是领导镇共青团工作，对镇上的青少年组织进行指导和管理；调查青少年思想动态和青少年工作情况；组织和带领青少年在改革开放和现代化建设中发挥生力军和突击队作用。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15.妇联</w:t>
      </w:r>
      <w:r>
        <w:rPr>
          <w:rFonts w:hint="default" w:ascii="Times New Roman" w:hAnsi="Times New Roman" w:eastAsia="方正仿宋_GBK" w:cs="Times New Roman"/>
          <w:sz w:val="32"/>
          <w:szCs w:val="32"/>
          <w:shd w:val="clear" w:color="auto" w:fill="FFFFFF"/>
          <w:lang w:val="en-US" w:eastAsia="zh-CN"/>
        </w:rPr>
        <w:t>。主要职责是代表和维护妇女利益，促进男女和平。</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16.农业服务中心</w:t>
      </w:r>
      <w:r>
        <w:rPr>
          <w:rFonts w:hint="default" w:ascii="Times New Roman" w:hAnsi="Times New Roman" w:eastAsia="方正仿宋_GBK" w:cs="Times New Roman"/>
          <w:sz w:val="32"/>
          <w:szCs w:val="32"/>
          <w:shd w:val="clear" w:color="auto" w:fill="FFFFFF"/>
          <w:lang w:val="en-US" w:eastAsia="zh-CN"/>
        </w:rPr>
        <w:t>。主要职责：承担农技、农机、畜牧、水利水产等方面的技术推广、信息服务、水土保持、灾害防治、土地规模经营管理、农产品质量安全监管，农业综合服务等工作。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17.文化服务中心</w:t>
      </w:r>
      <w:r>
        <w:rPr>
          <w:rFonts w:hint="default" w:ascii="Times New Roman" w:hAnsi="Times New Roman" w:eastAsia="方正仿宋_GBK" w:cs="Times New Roman"/>
          <w:sz w:val="32"/>
          <w:szCs w:val="32"/>
          <w:shd w:val="clear" w:color="auto" w:fill="FFFFFF"/>
          <w:lang w:val="en-US" w:eastAsia="zh-CN"/>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18.劳动就业和社会保障服务所</w:t>
      </w:r>
      <w:r>
        <w:rPr>
          <w:rFonts w:hint="default" w:ascii="Times New Roman" w:hAnsi="Times New Roman" w:eastAsia="方正仿宋_GBK" w:cs="Times New Roman"/>
          <w:sz w:val="32"/>
          <w:szCs w:val="32"/>
          <w:shd w:val="clear" w:color="auto" w:fill="FFFFFF"/>
          <w:lang w:val="en-US" w:eastAsia="zh-CN"/>
        </w:rPr>
        <w:t>。主要职责：承担就业、再就业、农村富余劳动力转移，劳动和社会保障、城镇居民最低生活保障、社保救济、医疗保障服务等社会保障相关具体工作。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19.退役军人服务站</w:t>
      </w:r>
      <w:r>
        <w:rPr>
          <w:rFonts w:hint="default" w:ascii="Times New Roman" w:hAnsi="Times New Roman" w:eastAsia="方正仿宋_GBK" w:cs="Times New Roman"/>
          <w:sz w:val="32"/>
          <w:szCs w:val="32"/>
          <w:shd w:val="clear" w:color="auto" w:fill="FFFFFF"/>
          <w:lang w:val="en-US" w:eastAsia="zh-CN"/>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20.综合行政执法大队</w:t>
      </w:r>
      <w:r>
        <w:rPr>
          <w:rFonts w:hint="default" w:ascii="Times New Roman" w:hAnsi="Times New Roman" w:eastAsia="方正仿宋_GBK" w:cs="Times New Roman"/>
          <w:sz w:val="32"/>
          <w:szCs w:val="32"/>
          <w:shd w:val="clear" w:color="auto" w:fill="FFFFFF"/>
          <w:lang w:val="en-US" w:eastAsia="zh-CN"/>
        </w:rPr>
        <w:t>。主要职责：集中行使乡镇依法承担和部门授权或委托的各项行政执法权，制止、打击各类行政违法行为，协助、配合县级有关部门及其派驻机构开展联合执法。</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21.特色产业发展中心</w:t>
      </w:r>
      <w:r>
        <w:rPr>
          <w:rFonts w:hint="default" w:ascii="Times New Roman" w:hAnsi="Times New Roman" w:eastAsia="方正仿宋_GBK" w:cs="Times New Roman"/>
          <w:sz w:val="32"/>
          <w:szCs w:val="32"/>
          <w:shd w:val="clear" w:color="auto" w:fill="FFFFFF"/>
          <w:lang w:val="en-US" w:eastAsia="zh-CN"/>
        </w:rPr>
        <w:t>。主要职责：承担本乡镇特色产业项目的发展规划拟订并组织实施等服务职能</w:t>
      </w:r>
      <w:r>
        <w:rPr>
          <w:rFonts w:hint="default" w:ascii="方正仿宋_GBK" w:hAnsi="方正仿宋_GBK" w:eastAsia="方正仿宋_GBK" w:cs="方正仿宋_GBK"/>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二、</w:t>
      </w:r>
      <w:r>
        <w:rPr>
          <w:rStyle w:val="11"/>
          <w:rFonts w:hint="eastAsia" w:ascii="Times New Roman" w:hAnsi="Times New Roman" w:eastAsia="方正黑体_GBK" w:cs="Times New Roman"/>
          <w:b w:val="0"/>
          <w:bCs/>
          <w:sz w:val="32"/>
          <w:szCs w:val="32"/>
          <w:shd w:val="clear" w:color="auto" w:fill="FFFFFF"/>
          <w:lang w:eastAsia="zh-CN"/>
        </w:rPr>
        <w:t>部门</w:t>
      </w:r>
      <w:r>
        <w:rPr>
          <w:rStyle w:val="11"/>
          <w:rFonts w:hint="default" w:ascii="Times New Roman" w:hAnsi="Times New Roman" w:eastAsia="方正黑体_GBK" w:cs="Times New Roman"/>
          <w:b w:val="0"/>
          <w:bCs/>
          <w:sz w:val="32"/>
          <w:szCs w:val="32"/>
          <w:shd w:val="clear" w:color="auto" w:fill="FFFFFF"/>
        </w:rPr>
        <w:t>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w:t>
      </w:r>
      <w:commentRangeStart w:id="1"/>
      <w:r>
        <w:rPr>
          <w:rFonts w:hint="default" w:ascii="Times New Roman" w:hAnsi="Times New Roman" w:eastAsia="方正仿宋_GBK" w:cs="Times New Roman"/>
          <w:b/>
          <w:bCs/>
          <w:sz w:val="32"/>
          <w:szCs w:val="32"/>
          <w:shd w:val="clear" w:color="auto" w:fill="FFFFFF"/>
          <w:lang w:val="en-US" w:eastAsia="zh-CN"/>
        </w:rPr>
        <w:t>总体情况</w:t>
      </w:r>
      <w:commentRangeEnd w:id="1"/>
      <w:r>
        <w:commentReference w:id="1"/>
      </w:r>
      <w:r>
        <w:rPr>
          <w:rFonts w:hint="default" w:ascii="Times New Roman" w:hAnsi="Times New Roman" w:eastAsia="方正仿宋_GBK" w:cs="Times New Roman"/>
          <w:sz w:val="32"/>
          <w:szCs w:val="32"/>
          <w:shd w:val="clear" w:color="auto" w:fill="FFFFFF"/>
          <w:lang w:val="en-US" w:eastAsia="zh-CN"/>
        </w:rPr>
        <w:t>。2023年度收入总计</w:t>
      </w:r>
      <w:r>
        <w:rPr>
          <w:rFonts w:hint="default" w:ascii="Times New Roman" w:hAnsi="Times New Roman" w:eastAsia="方正仿宋_GBK" w:cs="Times New Roman"/>
          <w:sz w:val="32"/>
          <w:szCs w:val="32"/>
          <w:shd w:val="clear" w:color="auto" w:fill="FFFFFF"/>
          <w:lang w:val="en" w:eastAsia="zh-CN"/>
        </w:rPr>
        <w:t>7259.27</w:t>
      </w:r>
      <w:r>
        <w:rPr>
          <w:rFonts w:hint="default" w:ascii="Times New Roman" w:hAnsi="Times New Roman" w:eastAsia="方正仿宋_GBK" w:cs="Times New Roman"/>
          <w:sz w:val="32"/>
          <w:szCs w:val="32"/>
          <w:shd w:val="clear" w:color="auto" w:fill="FFFFFF"/>
          <w:lang w:val="en-US" w:eastAsia="zh-CN"/>
        </w:rPr>
        <w:t>万元，支出总计</w:t>
      </w:r>
      <w:r>
        <w:rPr>
          <w:rFonts w:hint="default" w:ascii="Times New Roman" w:hAnsi="Times New Roman" w:eastAsia="方正仿宋_GBK" w:cs="Times New Roman"/>
          <w:sz w:val="32"/>
          <w:szCs w:val="32"/>
          <w:shd w:val="clear" w:color="auto" w:fill="FFFFFF"/>
          <w:lang w:val="en" w:eastAsia="zh-CN"/>
        </w:rPr>
        <w:t>7259.27</w:t>
      </w:r>
      <w:r>
        <w:rPr>
          <w:rFonts w:hint="default" w:ascii="Times New Roman" w:hAnsi="Times New Roman" w:eastAsia="方正仿宋_GBK" w:cs="Times New Roman"/>
          <w:sz w:val="32"/>
          <w:szCs w:val="32"/>
          <w:shd w:val="clear" w:color="auto" w:fill="FFFFFF"/>
          <w:lang w:val="en-US" w:eastAsia="zh-CN"/>
        </w:rPr>
        <w:t>万元。收支较上年决算数</w:t>
      </w:r>
      <w:r>
        <w:rPr>
          <w:rFonts w:hint="default" w:ascii="Times New Roman" w:hAnsi="Times New Roman" w:eastAsia="方正仿宋_GBK" w:cs="Times New Roman"/>
          <w:sz w:val="32"/>
          <w:szCs w:val="32"/>
          <w:shd w:val="clear" w:color="auto" w:fill="FFFFFF"/>
          <w:lang w:val="en" w:eastAsia="zh-CN"/>
        </w:rPr>
        <w:t>增加517.31</w:t>
      </w:r>
      <w:r>
        <w:rPr>
          <w:rFonts w:hint="default"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 w:eastAsia="zh-CN"/>
        </w:rPr>
        <w:t>增长7.67</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 w:eastAsia="zh-CN"/>
        </w:rPr>
        <w:t>政府性基金</w:t>
      </w:r>
      <w:r>
        <w:rPr>
          <w:rFonts w:hint="eastAsia"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val="en" w:eastAsia="zh-CN"/>
        </w:rPr>
        <w:t>增加，资金增加</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2.收入情况</w:t>
      </w:r>
      <w:r>
        <w:rPr>
          <w:rFonts w:hint="default" w:ascii="Times New Roman" w:hAnsi="Times New Roman" w:eastAsia="方正仿宋_GBK" w:cs="Times New Roman"/>
          <w:sz w:val="32"/>
          <w:szCs w:val="32"/>
          <w:shd w:val="clear" w:color="auto" w:fill="FFFFFF"/>
          <w:lang w:val="en-US" w:eastAsia="zh-CN"/>
        </w:rPr>
        <w:t>。2023年度收入合计</w:t>
      </w:r>
      <w:r>
        <w:rPr>
          <w:rFonts w:hint="default" w:ascii="Times New Roman" w:hAnsi="Times New Roman" w:eastAsia="方正仿宋_GBK" w:cs="Times New Roman"/>
          <w:sz w:val="32"/>
          <w:szCs w:val="32"/>
          <w:shd w:val="clear" w:color="auto" w:fill="FFFFFF"/>
          <w:lang w:val="en" w:eastAsia="zh-CN"/>
        </w:rPr>
        <w:t>6937.53</w:t>
      </w:r>
      <w:r>
        <w:rPr>
          <w:rFonts w:hint="default" w:ascii="Times New Roman" w:hAnsi="Times New Roman" w:eastAsia="方正仿宋_GBK" w:cs="Times New Roman"/>
          <w:sz w:val="32"/>
          <w:szCs w:val="32"/>
          <w:shd w:val="clear" w:color="auto" w:fill="FFFFFF"/>
          <w:lang w:val="en-US" w:eastAsia="zh-CN"/>
        </w:rPr>
        <w:t>万元，较上年决算数</w:t>
      </w:r>
      <w:r>
        <w:rPr>
          <w:rFonts w:hint="default" w:ascii="Times New Roman" w:hAnsi="Times New Roman" w:eastAsia="方正仿宋_GBK" w:cs="Times New Roman"/>
          <w:sz w:val="32"/>
          <w:szCs w:val="32"/>
          <w:shd w:val="clear" w:color="auto" w:fill="FFFFFF"/>
          <w:lang w:val="en" w:eastAsia="zh-CN"/>
        </w:rPr>
        <w:t>增加899.31</w:t>
      </w:r>
      <w:r>
        <w:rPr>
          <w:rFonts w:hint="default"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 w:eastAsia="zh-CN"/>
        </w:rPr>
        <w:t>增长14.89</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 w:eastAsia="zh-CN"/>
        </w:rPr>
        <w:t>政府基金类项目增加</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其中：财政拨款收</w:t>
      </w:r>
      <w:r>
        <w:rPr>
          <w:rFonts w:hint="default" w:ascii="Times New Roman" w:hAnsi="Times New Roman" w:eastAsia="方正仿宋_GBK" w:cs="Times New Roman"/>
          <w:sz w:val="32"/>
          <w:szCs w:val="32"/>
          <w:shd w:val="clear" w:color="auto" w:fill="FFFFFF"/>
          <w:lang w:val="en" w:eastAsia="zh-CN"/>
        </w:rPr>
        <w:t>入6937.53万元，占100.00%；事业收入0.00万元，占0.00%；经营收入0.00万元，占0.00%；其他收入0.00万元，占0.00%。此外，使用非财政拨款结余和专用结余0.00万元，年初结转和结余321.74万元</w:t>
      </w:r>
      <w:r>
        <w:rPr>
          <w:rFonts w:hint="default" w:ascii="Times New Roman" w:hAnsi="Times New Roman" w:eastAsia="方正仿宋_GBK" w:cs="Times New Roman"/>
          <w:sz w:val="32"/>
          <w:szCs w:val="32"/>
          <w:shd w:val="clear" w:color="auto" w:fill="FFFFFF"/>
          <w:lang w:val="en-US" w:eastAsia="zh-CN"/>
        </w:rPr>
        <w:t>。</w:t>
      </w:r>
      <w:r>
        <w:commentReference w:id="2"/>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3.支出情况</w:t>
      </w:r>
      <w:r>
        <w:rPr>
          <w:rFonts w:hint="default" w:ascii="Times New Roman" w:hAnsi="Times New Roman" w:eastAsia="方正仿宋_GBK" w:cs="Times New Roman"/>
          <w:sz w:val="32"/>
          <w:szCs w:val="32"/>
          <w:shd w:val="clear" w:color="auto" w:fill="FFFFFF"/>
          <w:lang w:val="en-US" w:eastAsia="zh-CN"/>
        </w:rPr>
        <w:t>。2023年度支出合计7215.04万元，较上年决算数增加473.08万元，增长7.02%，主要原因是</w:t>
      </w:r>
      <w:r>
        <w:rPr>
          <w:rFonts w:hint="default" w:ascii="Times New Roman" w:hAnsi="Times New Roman" w:eastAsia="方正仿宋_GBK" w:cs="Times New Roman"/>
          <w:sz w:val="32"/>
          <w:szCs w:val="32"/>
          <w:shd w:val="clear" w:color="auto" w:fill="FFFFFF"/>
          <w:lang w:val="en" w:eastAsia="zh-CN"/>
        </w:rPr>
        <w:t>政府基金类项目增加</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w:t>
      </w:r>
      <w:r>
        <w:rPr>
          <w:rFonts w:hint="default" w:ascii="Times New Roman" w:hAnsi="Times New Roman" w:eastAsia="方正仿宋_GBK" w:cs="Times New Roman"/>
          <w:sz w:val="32"/>
          <w:szCs w:val="32"/>
          <w:shd w:val="clear" w:color="auto" w:fill="FFFFFF"/>
          <w:lang w:val="en-US" w:eastAsia="zh-CN"/>
        </w:rPr>
        <w:t>基本支出1497.54万元，占20.76%；项目支出5717.50万元，占79.24%；经营支出0.00万元，占0.00%。此外，结余分配0.00万元。</w:t>
      </w:r>
      <w:r>
        <w:commentReference w:id="3"/>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4.结转结余情况</w:t>
      </w:r>
      <w:r>
        <w:rPr>
          <w:rFonts w:hint="default" w:ascii="Times New Roman" w:hAnsi="Times New Roman" w:eastAsia="方正仿宋_GBK" w:cs="Times New Roman"/>
          <w:sz w:val="32"/>
          <w:szCs w:val="32"/>
          <w:shd w:val="clear" w:color="auto" w:fill="FFFFFF"/>
          <w:lang w:val="en-US" w:eastAsia="zh-CN"/>
        </w:rPr>
        <w:t>。2023年度年末结转和结余</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2023年预算内资金支付效率较低，造成结转结余。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sz w:val="32"/>
          <w:szCs w:val="32"/>
          <w:shd w:val="clear" w:color="auto" w:fill="FFFFFF"/>
          <w:lang w:val="en-US" w:eastAsia="zh-CN" w:bidi="ar-SA"/>
        </w:rPr>
      </w:pPr>
      <w:commentRangeStart w:id="4"/>
      <w:r>
        <w:rPr>
          <w:rStyle w:val="11"/>
          <w:rFonts w:hint="eastAsia" w:ascii="Times New Roman" w:hAnsi="Times New Roman" w:eastAsia="方正楷体_GBK" w:cs="Times New Roman"/>
          <w:b w:val="0"/>
          <w:bCs/>
          <w:sz w:val="32"/>
          <w:szCs w:val="32"/>
          <w:shd w:val="clear" w:color="auto" w:fill="FFFFFF"/>
          <w:lang w:val="en-US" w:eastAsia="zh-CN" w:bidi="ar-SA"/>
        </w:rPr>
        <w:t>（二）财政拨款收入支出决算总体情况说明</w:t>
      </w:r>
      <w:commentRangeEnd w:id="4"/>
      <w:r>
        <w:rPr>
          <w:rStyle w:val="11"/>
          <w:rFonts w:hint="eastAsia" w:ascii="Times New Roman" w:hAnsi="Times New Roman" w:eastAsia="方正楷体_GBK" w:cs="Times New Roman"/>
          <w:b w:val="0"/>
          <w:bCs/>
          <w:sz w:val="32"/>
          <w:szCs w:val="32"/>
          <w:shd w:val="clear" w:color="auto" w:fill="FFFFFF"/>
          <w:lang w:val="en-US" w:eastAsia="zh-CN" w:bidi="ar-SA"/>
        </w:rPr>
        <w:commentReference w:id="4"/>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2023年度财政拨款收、支总计7259.27万元。与2022年相比，财政拨款收、支总计各增加1221.05万元，增长20.22%。主要原因是</w:t>
      </w:r>
      <w:r>
        <w:rPr>
          <w:rFonts w:hint="default" w:ascii="Times New Roman" w:hAnsi="Times New Roman" w:eastAsia="方正仿宋_GBK" w:cs="Times New Roman"/>
          <w:sz w:val="32"/>
          <w:szCs w:val="32"/>
          <w:shd w:val="clear" w:color="auto" w:fill="FFFFFF"/>
          <w:lang w:val="en" w:eastAsia="zh-CN"/>
        </w:rPr>
        <w:t>政府性基金项目增加，相关项目收支增加</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。2023年度一般公共预算财政拨款收入4111.66万元，较上年决算数减少1666.65万元，下降28.84%。主要原因是</w:t>
      </w:r>
      <w:r>
        <w:rPr>
          <w:rFonts w:hint="eastAsia" w:ascii="Times New Roman" w:hAnsi="Times New Roman" w:eastAsia="方正仿宋_GBK" w:cs="Times New Roman"/>
          <w:sz w:val="32"/>
          <w:szCs w:val="32"/>
          <w:shd w:val="clear" w:color="auto" w:fill="FFFFFF"/>
          <w:lang w:val="en-US" w:eastAsia="zh-CN"/>
        </w:rPr>
        <w:t>人员减少，</w:t>
      </w:r>
      <w:r>
        <w:rPr>
          <w:rFonts w:hint="default" w:ascii="Times New Roman" w:hAnsi="Times New Roman" w:eastAsia="方正仿宋_GBK" w:cs="Times New Roman"/>
          <w:sz w:val="32"/>
          <w:szCs w:val="32"/>
          <w:shd w:val="clear" w:color="auto" w:fill="FFFFFF"/>
          <w:lang w:val="en" w:eastAsia="zh-CN"/>
        </w:rPr>
        <w:t>预算</w:t>
      </w:r>
      <w:r>
        <w:rPr>
          <w:rFonts w:hint="eastAsia" w:ascii="Times New Roman" w:hAnsi="Times New Roman" w:eastAsia="方正仿宋_GBK" w:cs="Times New Roman"/>
          <w:sz w:val="32"/>
          <w:szCs w:val="32"/>
          <w:shd w:val="clear" w:color="auto" w:fill="FFFFFF"/>
          <w:lang w:val="en-US" w:eastAsia="zh-CN"/>
        </w:rPr>
        <w:t>项目减少</w:t>
      </w:r>
      <w:r>
        <w:rPr>
          <w:rFonts w:hint="default" w:ascii="Times New Roman" w:hAnsi="Times New Roman" w:eastAsia="方正仿宋_GBK" w:cs="Times New Roman"/>
          <w:sz w:val="32"/>
          <w:szCs w:val="32"/>
          <w:shd w:val="clear" w:color="auto" w:fill="FFFFFF"/>
          <w:lang w:val="en-US" w:eastAsia="zh-CN"/>
        </w:rPr>
        <w:t>。较年初预算数增加2175.76万元，增长112.39%。主要原因是</w:t>
      </w:r>
      <w:r>
        <w:rPr>
          <w:rFonts w:hint="eastAsia" w:ascii="Times New Roman" w:hAnsi="Times New Roman" w:eastAsia="方正仿宋_GBK" w:cs="Times New Roman"/>
          <w:sz w:val="32"/>
          <w:szCs w:val="32"/>
          <w:shd w:val="clear" w:color="auto" w:fill="FFFFFF"/>
          <w:lang w:val="en-US" w:eastAsia="zh-CN"/>
        </w:rPr>
        <w:t>人员政策性增资</w:t>
      </w:r>
      <w:r>
        <w:rPr>
          <w:rFonts w:hint="default" w:ascii="Times New Roman" w:hAnsi="Times New Roman" w:eastAsia="方正仿宋_GBK" w:cs="Times New Roman"/>
          <w:sz w:val="32"/>
          <w:szCs w:val="32"/>
          <w:shd w:val="clear" w:color="auto" w:fill="FFFFFF"/>
          <w:lang w:val="en" w:eastAsia="zh-CN"/>
        </w:rPr>
        <w:t>，年中追加项目预算等</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。2023年度一般公共预算财政拨款支出4289.18万元，较上年决算数减少1489.13万元，下降25.77%。主要原因是</w:t>
      </w:r>
      <w:r>
        <w:rPr>
          <w:rFonts w:hint="eastAsia" w:ascii="Times New Roman" w:hAnsi="Times New Roman" w:eastAsia="方正仿宋_GBK" w:cs="Times New Roman"/>
          <w:sz w:val="32"/>
          <w:szCs w:val="32"/>
          <w:shd w:val="clear" w:color="auto" w:fill="FFFFFF"/>
          <w:lang w:val="en-US" w:eastAsia="zh-CN"/>
        </w:rPr>
        <w:t>人员减少，项目减少。</w:t>
      </w:r>
      <w:r>
        <w:rPr>
          <w:rFonts w:hint="default" w:ascii="Times New Roman" w:hAnsi="Times New Roman" w:eastAsia="方正仿宋_GBK" w:cs="Times New Roman"/>
          <w:sz w:val="32"/>
          <w:szCs w:val="32"/>
          <w:shd w:val="clear" w:color="auto" w:fill="FFFFFF"/>
          <w:lang w:val="en-US" w:eastAsia="zh-CN"/>
        </w:rPr>
        <w:t>较年初预算数增加1555.22万元，增长56.89%。主要原因是</w:t>
      </w:r>
      <w:r>
        <w:rPr>
          <w:rFonts w:hint="eastAsia" w:ascii="Times New Roman" w:hAnsi="Times New Roman" w:eastAsia="方正仿宋_GBK" w:cs="Times New Roman"/>
          <w:sz w:val="32"/>
          <w:szCs w:val="32"/>
          <w:shd w:val="clear" w:color="auto" w:fill="FFFFFF"/>
          <w:lang w:val="en-US" w:eastAsia="zh-CN"/>
        </w:rPr>
        <w:t>人员政策性增资</w:t>
      </w:r>
      <w:r>
        <w:rPr>
          <w:rFonts w:hint="default" w:ascii="Times New Roman" w:hAnsi="Times New Roman" w:eastAsia="方正仿宋_GBK" w:cs="Times New Roman"/>
          <w:sz w:val="32"/>
          <w:szCs w:val="32"/>
          <w:shd w:val="clear" w:color="auto" w:fill="FFFFFF"/>
          <w:lang w:val="en" w:eastAsia="zh-CN"/>
        </w:rPr>
        <w:t>，年中追加项目预算等</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2023年预算内资金支付效率较低，造成结转结余。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4.比较情况</w:t>
      </w:r>
      <w:r>
        <w:rPr>
          <w:rFonts w:hint="default" w:ascii="Times New Roman" w:hAnsi="Times New Roman" w:eastAsia="方正仿宋_GBK" w:cs="Times New Roman"/>
          <w:sz w:val="32"/>
          <w:szCs w:val="32"/>
          <w:shd w:val="clear" w:color="auto" w:fill="FFFFFF"/>
          <w:lang w:val="en-US" w:eastAsia="zh-CN"/>
        </w:rPr>
        <w:t>。本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（1）一般公共服务支出</w:t>
      </w:r>
      <w:r>
        <w:rPr>
          <w:rFonts w:hint="default" w:ascii="Times New Roman" w:hAnsi="Times New Roman" w:eastAsia="方正仿宋_GBK" w:cs="Times New Roman"/>
          <w:sz w:val="32"/>
          <w:szCs w:val="32"/>
          <w:shd w:val="clear" w:color="auto" w:fill="FFFFFF"/>
          <w:lang w:val="en" w:eastAsia="zh-CN"/>
        </w:rPr>
        <w:t>768.38</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17.91</w:t>
      </w:r>
      <w:r>
        <w:rPr>
          <w:rFonts w:hint="default" w:ascii="Times New Roman" w:hAnsi="Times New Roman" w:eastAsia="方正仿宋_GBK" w:cs="Times New Roman"/>
          <w:sz w:val="32"/>
          <w:szCs w:val="32"/>
          <w:shd w:val="clear" w:color="auto" w:fill="FFFFFF"/>
          <w:lang w:val="en-US" w:eastAsia="zh-CN"/>
        </w:rPr>
        <w:t>%，较年初预算数增加</w:t>
      </w:r>
      <w:r>
        <w:rPr>
          <w:rFonts w:hint="default" w:ascii="Times New Roman" w:hAnsi="Times New Roman" w:eastAsia="方正仿宋_GBK" w:cs="Times New Roman"/>
          <w:sz w:val="32"/>
          <w:szCs w:val="32"/>
          <w:shd w:val="clear" w:color="auto" w:fill="FFFFFF"/>
          <w:lang w:val="en" w:eastAsia="zh-CN"/>
        </w:rPr>
        <w:t>25.75</w:t>
      </w:r>
      <w:r>
        <w:rPr>
          <w:rFonts w:hint="default" w:ascii="Times New Roman" w:hAnsi="Times New Roman" w:eastAsia="方正仿宋_GBK" w:cs="Times New Roman"/>
          <w:sz w:val="32"/>
          <w:szCs w:val="32"/>
          <w:shd w:val="clear" w:color="auto" w:fill="FFFFFF"/>
          <w:lang w:val="en-US" w:eastAsia="zh-CN"/>
        </w:rPr>
        <w:t>万元，增长</w:t>
      </w:r>
      <w:r>
        <w:rPr>
          <w:rFonts w:hint="default" w:ascii="Times New Roman" w:hAnsi="Times New Roman" w:eastAsia="方正仿宋_GBK" w:cs="Times New Roman"/>
          <w:sz w:val="32"/>
          <w:szCs w:val="32"/>
          <w:shd w:val="clear" w:color="auto" w:fill="FFFFFF"/>
          <w:lang w:val="en" w:eastAsia="zh-CN"/>
        </w:rPr>
        <w:t>3.47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）国防支出3.00万元，占0.18%，较年初预算数增加3.00万元，增长100.00%，主要原因是</w:t>
      </w:r>
      <w:r>
        <w:rPr>
          <w:rFonts w:hint="eastAsia" w:ascii="Times New Roman" w:hAnsi="Times New Roman" w:eastAsia="方正仿宋_GBK" w:cs="Times New Roman"/>
          <w:sz w:val="32"/>
          <w:szCs w:val="32"/>
          <w:shd w:val="clear" w:color="auto" w:fill="FFFFFF"/>
          <w:lang w:val="en-US" w:eastAsia="zh-CN"/>
        </w:rPr>
        <w:t>年中大学生入伍奖励增加。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）公共安全支出</w:t>
      </w:r>
      <w:r>
        <w:rPr>
          <w:rFonts w:hint="default" w:ascii="Times New Roman" w:hAnsi="Times New Roman" w:eastAsia="方正仿宋_GBK" w:cs="Times New Roman"/>
          <w:sz w:val="32"/>
          <w:szCs w:val="32"/>
          <w:shd w:val="clear" w:color="auto" w:fill="FFFFFF"/>
          <w:lang w:val="en" w:eastAsia="zh-CN"/>
        </w:rPr>
        <w:t>62.45</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1.46</w:t>
      </w:r>
      <w:r>
        <w:rPr>
          <w:rFonts w:hint="default" w:ascii="Times New Roman" w:hAnsi="Times New Roman" w:eastAsia="方正仿宋_GBK" w:cs="Times New Roman"/>
          <w:sz w:val="32"/>
          <w:szCs w:val="32"/>
          <w:shd w:val="clear" w:color="auto" w:fill="FFFFFF"/>
          <w:lang w:val="en-US" w:eastAsia="zh-CN"/>
        </w:rPr>
        <w:t>%，较年初预算数增加</w:t>
      </w:r>
      <w:r>
        <w:rPr>
          <w:rFonts w:hint="default" w:ascii="Times New Roman" w:hAnsi="Times New Roman" w:eastAsia="方正仿宋_GBK" w:cs="Times New Roman"/>
          <w:sz w:val="32"/>
          <w:szCs w:val="32"/>
          <w:shd w:val="clear" w:color="auto" w:fill="FFFFFF"/>
          <w:lang w:val="en" w:eastAsia="zh-CN"/>
        </w:rPr>
        <w:t>38.89</w:t>
      </w:r>
      <w:r>
        <w:rPr>
          <w:rFonts w:hint="default" w:ascii="Times New Roman" w:hAnsi="Times New Roman" w:eastAsia="方正仿宋_GBK" w:cs="Times New Roman"/>
          <w:sz w:val="32"/>
          <w:szCs w:val="32"/>
          <w:shd w:val="clear" w:color="auto" w:fill="FFFFFF"/>
          <w:lang w:val="en-US" w:eastAsia="zh-CN"/>
        </w:rPr>
        <w:t>万元，增长</w:t>
      </w:r>
      <w:r>
        <w:rPr>
          <w:rFonts w:hint="default" w:ascii="Times New Roman" w:hAnsi="Times New Roman" w:eastAsia="方正仿宋_GBK" w:cs="Times New Roman"/>
          <w:sz w:val="32"/>
          <w:szCs w:val="32"/>
          <w:shd w:val="clear" w:color="auto" w:fill="FFFFFF"/>
          <w:lang w:val="en" w:eastAsia="zh-CN"/>
        </w:rPr>
        <w:t>165.07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年中追加安排平安建设经费。</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）文化旅游体育与传媒支出</w:t>
      </w:r>
      <w:r>
        <w:rPr>
          <w:rFonts w:hint="default" w:ascii="Times New Roman" w:hAnsi="Times New Roman" w:eastAsia="方正仿宋_GBK" w:cs="Times New Roman"/>
          <w:sz w:val="32"/>
          <w:szCs w:val="32"/>
          <w:shd w:val="clear" w:color="auto" w:fill="FFFFFF"/>
          <w:lang w:val="en" w:eastAsia="zh-CN"/>
        </w:rPr>
        <w:t>106.12</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2.47</w:t>
      </w:r>
      <w:r>
        <w:rPr>
          <w:rFonts w:hint="default" w:ascii="Times New Roman" w:hAnsi="Times New Roman" w:eastAsia="方正仿宋_GBK" w:cs="Times New Roman"/>
          <w:sz w:val="32"/>
          <w:szCs w:val="32"/>
          <w:shd w:val="clear" w:color="auto" w:fill="FFFFFF"/>
          <w:lang w:val="en-US" w:eastAsia="zh-CN"/>
        </w:rPr>
        <w:t>%，较年初预算数</w:t>
      </w:r>
      <w:r>
        <w:rPr>
          <w:rFonts w:hint="default" w:ascii="Times New Roman" w:hAnsi="Times New Roman" w:eastAsia="方正仿宋_GBK" w:cs="Times New Roman"/>
          <w:sz w:val="32"/>
          <w:szCs w:val="32"/>
          <w:shd w:val="clear" w:color="auto" w:fill="FFFFFF"/>
          <w:lang w:val="en" w:eastAsia="zh-CN"/>
        </w:rPr>
        <w:t>增加27.</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 w:eastAsia="zh-CN"/>
        </w:rPr>
        <w:t>7</w:t>
      </w:r>
      <w:r>
        <w:rPr>
          <w:rFonts w:hint="default"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 w:eastAsia="zh-CN"/>
        </w:rPr>
        <w:t>增长34.76</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 w:eastAsia="zh-CN"/>
        </w:rPr>
        <w:t>本年文旅活动增加，追加相关预算</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）社会保障与就业支出</w:t>
      </w:r>
      <w:r>
        <w:rPr>
          <w:rFonts w:hint="default" w:ascii="Times New Roman" w:hAnsi="Times New Roman" w:eastAsia="方正仿宋_GBK" w:cs="Times New Roman"/>
          <w:sz w:val="32"/>
          <w:szCs w:val="32"/>
          <w:shd w:val="clear" w:color="auto" w:fill="FFFFFF"/>
          <w:lang w:val="en" w:eastAsia="zh-CN"/>
        </w:rPr>
        <w:t>418.96</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9.77</w:t>
      </w:r>
      <w:r>
        <w:rPr>
          <w:rFonts w:hint="default" w:ascii="Times New Roman" w:hAnsi="Times New Roman" w:eastAsia="方正仿宋_GBK" w:cs="Times New Roman"/>
          <w:sz w:val="32"/>
          <w:szCs w:val="32"/>
          <w:shd w:val="clear" w:color="auto" w:fill="FFFFFF"/>
          <w:lang w:val="en-US" w:eastAsia="zh-CN"/>
        </w:rPr>
        <w:t>%，较年初预算数减少1</w:t>
      </w:r>
      <w:r>
        <w:rPr>
          <w:rFonts w:hint="default" w:ascii="Times New Roman" w:hAnsi="Times New Roman" w:eastAsia="方正仿宋_GBK" w:cs="Times New Roman"/>
          <w:sz w:val="32"/>
          <w:szCs w:val="32"/>
          <w:shd w:val="clear" w:color="auto" w:fill="FFFFFF"/>
          <w:lang w:val="en" w:eastAsia="zh-CN"/>
        </w:rPr>
        <w:t>7.95</w:t>
      </w:r>
      <w:r>
        <w:rPr>
          <w:rFonts w:hint="default" w:ascii="Times New Roman" w:hAnsi="Times New Roman" w:eastAsia="方正仿宋_GBK" w:cs="Times New Roman"/>
          <w:sz w:val="32"/>
          <w:szCs w:val="32"/>
          <w:shd w:val="clear" w:color="auto" w:fill="FFFFFF"/>
          <w:lang w:val="en-US" w:eastAsia="zh-CN"/>
        </w:rPr>
        <w:t>万元，下降</w:t>
      </w:r>
      <w:r>
        <w:rPr>
          <w:rFonts w:hint="default" w:ascii="Times New Roman" w:hAnsi="Times New Roman" w:eastAsia="方正仿宋_GBK" w:cs="Times New Roman"/>
          <w:sz w:val="32"/>
          <w:szCs w:val="32"/>
          <w:shd w:val="clear" w:color="auto" w:fill="FFFFFF"/>
          <w:lang w:val="en" w:eastAsia="zh-CN"/>
        </w:rPr>
        <w:t>4.11</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val="en-US" w:eastAsia="zh-CN"/>
        </w:rPr>
        <w:t>）卫生健康支出</w:t>
      </w:r>
      <w:r>
        <w:rPr>
          <w:rFonts w:hint="default" w:ascii="Times New Roman" w:hAnsi="Times New Roman" w:eastAsia="方正仿宋_GBK" w:cs="Times New Roman"/>
          <w:sz w:val="32"/>
          <w:szCs w:val="32"/>
          <w:shd w:val="clear" w:color="auto" w:fill="FFFFFF"/>
          <w:lang w:val="en" w:eastAsia="zh-CN"/>
        </w:rPr>
        <w:t>124.87</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2.91</w:t>
      </w:r>
      <w:r>
        <w:rPr>
          <w:rFonts w:hint="default" w:ascii="Times New Roman" w:hAnsi="Times New Roman" w:eastAsia="方正仿宋_GBK" w:cs="Times New Roman"/>
          <w:sz w:val="32"/>
          <w:szCs w:val="32"/>
          <w:shd w:val="clear" w:color="auto" w:fill="FFFFFF"/>
          <w:lang w:val="en-US" w:eastAsia="zh-CN"/>
        </w:rPr>
        <w:t>%，较年初预算数增加</w:t>
      </w:r>
      <w:r>
        <w:rPr>
          <w:rFonts w:hint="default" w:ascii="Times New Roman" w:hAnsi="Times New Roman" w:eastAsia="方正仿宋_GBK" w:cs="Times New Roman"/>
          <w:sz w:val="32"/>
          <w:szCs w:val="32"/>
          <w:shd w:val="clear" w:color="auto" w:fill="FFFFFF"/>
          <w:lang w:val="en" w:eastAsia="zh-CN"/>
        </w:rPr>
        <w:t>70.46</w:t>
      </w:r>
      <w:r>
        <w:rPr>
          <w:rFonts w:hint="default" w:ascii="Times New Roman" w:hAnsi="Times New Roman" w:eastAsia="方正仿宋_GBK" w:cs="Times New Roman"/>
          <w:sz w:val="32"/>
          <w:szCs w:val="32"/>
          <w:shd w:val="clear" w:color="auto" w:fill="FFFFFF"/>
          <w:lang w:val="en-US" w:eastAsia="zh-CN"/>
        </w:rPr>
        <w:t>万元，增长</w:t>
      </w:r>
      <w:r>
        <w:rPr>
          <w:rFonts w:hint="default" w:ascii="Times New Roman" w:hAnsi="Times New Roman" w:eastAsia="方正仿宋_GBK" w:cs="Times New Roman"/>
          <w:sz w:val="32"/>
          <w:szCs w:val="32"/>
          <w:shd w:val="clear" w:color="auto" w:fill="FFFFFF"/>
          <w:lang w:val="en" w:eastAsia="zh-CN"/>
        </w:rPr>
        <w:t>129.50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人员政策性增资</w:t>
      </w:r>
      <w:r>
        <w:rPr>
          <w:rFonts w:hint="default" w:ascii="Times New Roman" w:hAnsi="Times New Roman" w:eastAsia="方正仿宋_GBK" w:cs="Times New Roman"/>
          <w:sz w:val="32"/>
          <w:szCs w:val="32"/>
          <w:shd w:val="clear" w:color="auto" w:fill="FFFFFF"/>
          <w:lang w:val="en" w:eastAsia="zh-CN"/>
        </w:rPr>
        <w:t>及创建卫生乡镇相关支出</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lang w:val="en-US" w:eastAsia="zh-CN"/>
        </w:rPr>
        <w:t>）节能环保支出</w:t>
      </w:r>
      <w:r>
        <w:rPr>
          <w:rFonts w:hint="default" w:ascii="Times New Roman" w:hAnsi="Times New Roman" w:eastAsia="方正仿宋_GBK" w:cs="Times New Roman"/>
          <w:sz w:val="32"/>
          <w:szCs w:val="32"/>
          <w:shd w:val="clear" w:color="auto" w:fill="FFFFFF"/>
          <w:lang w:val="en" w:eastAsia="zh-CN"/>
        </w:rPr>
        <w:t>95.20</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2.22</w:t>
      </w:r>
      <w:r>
        <w:rPr>
          <w:rFonts w:hint="default" w:ascii="Times New Roman" w:hAnsi="Times New Roman" w:eastAsia="方正仿宋_GBK" w:cs="Times New Roman"/>
          <w:sz w:val="32"/>
          <w:szCs w:val="32"/>
          <w:shd w:val="clear" w:color="auto" w:fill="FFFFFF"/>
          <w:lang w:val="en-US" w:eastAsia="zh-CN"/>
        </w:rPr>
        <w:t>%，较年初预算数增加</w:t>
      </w:r>
      <w:r>
        <w:rPr>
          <w:rFonts w:hint="default" w:ascii="Times New Roman" w:hAnsi="Times New Roman" w:eastAsia="方正仿宋_GBK" w:cs="Times New Roman"/>
          <w:sz w:val="32"/>
          <w:szCs w:val="32"/>
          <w:shd w:val="clear" w:color="auto" w:fill="FFFFFF"/>
          <w:lang w:val="en" w:eastAsia="zh-CN"/>
        </w:rPr>
        <w:t>45.20</w:t>
      </w:r>
      <w:r>
        <w:rPr>
          <w:rFonts w:hint="default" w:ascii="Times New Roman" w:hAnsi="Times New Roman" w:eastAsia="方正仿宋_GBK" w:cs="Times New Roman"/>
          <w:sz w:val="32"/>
          <w:szCs w:val="32"/>
          <w:shd w:val="clear" w:color="auto" w:fill="FFFFFF"/>
          <w:lang w:val="en-US" w:eastAsia="zh-CN"/>
        </w:rPr>
        <w:t>万元，增长</w:t>
      </w:r>
      <w:r>
        <w:rPr>
          <w:rFonts w:hint="default" w:ascii="Times New Roman" w:hAnsi="Times New Roman" w:eastAsia="方正仿宋_GBK" w:cs="Times New Roman"/>
          <w:sz w:val="32"/>
          <w:szCs w:val="32"/>
          <w:shd w:val="clear" w:color="auto" w:fill="FFFFFF"/>
          <w:lang w:val="en" w:eastAsia="zh-CN"/>
        </w:rPr>
        <w:t>90.40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临时人员工资待遇调整。</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lang w:val="en-US" w:eastAsia="zh-CN"/>
        </w:rPr>
        <w:t>）城乡社区支出</w:t>
      </w:r>
      <w:r>
        <w:rPr>
          <w:rFonts w:hint="eastAsia" w:ascii="Times New Roman" w:hAnsi="Times New Roman" w:eastAsia="方正仿宋_GBK" w:cs="Times New Roman"/>
          <w:sz w:val="32"/>
          <w:szCs w:val="32"/>
          <w:shd w:val="clear" w:color="auto" w:fill="FFFFFF"/>
          <w:lang w:val="en-US" w:eastAsia="zh-CN"/>
        </w:rPr>
        <w:t>233.59</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5.45</w:t>
      </w:r>
      <w:r>
        <w:rPr>
          <w:rFonts w:hint="default" w:ascii="Times New Roman" w:hAnsi="Times New Roman" w:eastAsia="方正仿宋_GBK" w:cs="Times New Roman"/>
          <w:sz w:val="32"/>
          <w:szCs w:val="32"/>
          <w:shd w:val="clear" w:color="auto" w:fill="FFFFFF"/>
          <w:lang w:val="en-US" w:eastAsia="zh-CN"/>
        </w:rPr>
        <w:t>%，较年初预算数</w:t>
      </w:r>
      <w:r>
        <w:rPr>
          <w:rFonts w:hint="eastAsia" w:ascii="Times New Roman" w:hAnsi="Times New Roman" w:eastAsia="方正仿宋_GBK" w:cs="Times New Roman"/>
          <w:sz w:val="32"/>
          <w:szCs w:val="32"/>
          <w:shd w:val="clear" w:color="auto" w:fill="FFFFFF"/>
          <w:lang w:val="en-US" w:eastAsia="zh-CN"/>
        </w:rPr>
        <w:t>增加89.49</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增长62.10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上年结转资金较多以及有部分收回单位国库集中支付结余资金。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lang w:val="en-US" w:eastAsia="zh-CN"/>
        </w:rPr>
        <w:t>农林水支出</w:t>
      </w:r>
      <w:r>
        <w:rPr>
          <w:rFonts w:hint="eastAsia" w:ascii="Times New Roman" w:hAnsi="Times New Roman" w:eastAsia="方正仿宋_GBK" w:cs="Times New Roman"/>
          <w:sz w:val="32"/>
          <w:szCs w:val="32"/>
          <w:shd w:val="clear" w:color="auto" w:fill="FFFFFF"/>
          <w:lang w:val="en-US" w:eastAsia="zh-CN"/>
        </w:rPr>
        <w:t>2272.76</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52.99</w:t>
      </w:r>
      <w:r>
        <w:rPr>
          <w:rFonts w:hint="default" w:ascii="Times New Roman" w:hAnsi="Times New Roman" w:eastAsia="方正仿宋_GBK" w:cs="Times New Roman"/>
          <w:sz w:val="32"/>
          <w:szCs w:val="32"/>
          <w:shd w:val="clear" w:color="auto" w:fill="FFFFFF"/>
          <w:lang w:val="en-US" w:eastAsia="zh-CN"/>
        </w:rPr>
        <w:t>%，较年初预算数增加</w:t>
      </w:r>
      <w:r>
        <w:rPr>
          <w:rFonts w:hint="eastAsia" w:ascii="Times New Roman" w:hAnsi="Times New Roman" w:eastAsia="方正仿宋_GBK" w:cs="Times New Roman"/>
          <w:sz w:val="32"/>
          <w:szCs w:val="32"/>
          <w:shd w:val="clear" w:color="auto" w:fill="FFFFFF"/>
          <w:lang w:val="en-US" w:eastAsia="zh-CN"/>
        </w:rPr>
        <w:t>1195.18</w:t>
      </w:r>
      <w:r>
        <w:rPr>
          <w:rFonts w:hint="default" w:ascii="Times New Roman" w:hAnsi="Times New Roman" w:eastAsia="方正仿宋_GBK" w:cs="Times New Roman"/>
          <w:sz w:val="32"/>
          <w:szCs w:val="32"/>
          <w:shd w:val="clear" w:color="auto" w:fill="FFFFFF"/>
          <w:lang w:val="en-US" w:eastAsia="zh-CN"/>
        </w:rPr>
        <w:t>万元，增长</w:t>
      </w:r>
      <w:r>
        <w:rPr>
          <w:rFonts w:hint="eastAsia" w:ascii="Times New Roman" w:hAnsi="Times New Roman" w:eastAsia="方正仿宋_GBK" w:cs="Times New Roman"/>
          <w:sz w:val="32"/>
          <w:szCs w:val="32"/>
          <w:shd w:val="clear" w:color="auto" w:fill="FFFFFF"/>
          <w:lang w:val="en-US" w:eastAsia="zh-CN"/>
        </w:rPr>
        <w:t>110.91</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本年项目增加、调整年初预算数。</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lang w:val="en-US" w:eastAsia="zh-CN"/>
        </w:rPr>
        <w:t>交通运输支出</w:t>
      </w:r>
      <w:r>
        <w:rPr>
          <w:rFonts w:hint="eastAsia" w:ascii="Times New Roman" w:hAnsi="Times New Roman" w:eastAsia="方正仿宋_GBK" w:cs="Times New Roman"/>
          <w:sz w:val="32"/>
          <w:szCs w:val="32"/>
          <w:shd w:val="clear" w:color="auto" w:fill="FFFFFF"/>
          <w:lang w:val="en-US" w:eastAsia="zh-CN"/>
        </w:rPr>
        <w:t>7.88万元，占0.18%，较年初预算数增加7.88万元，增长100.00%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扩建村级道路</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）自然资源海洋气象等支出</w:t>
      </w:r>
      <w:r>
        <w:rPr>
          <w:rFonts w:hint="eastAsia" w:ascii="Times New Roman" w:hAnsi="Times New Roman" w:eastAsia="方正仿宋_GBK" w:cs="Times New Roman"/>
          <w:sz w:val="32"/>
          <w:szCs w:val="32"/>
          <w:shd w:val="clear" w:color="auto" w:fill="FFFFFF"/>
          <w:lang w:val="en-US" w:eastAsia="zh-CN"/>
        </w:rPr>
        <w:t>67.80</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1.58</w:t>
      </w:r>
      <w:r>
        <w:rPr>
          <w:rFonts w:hint="default" w:ascii="Times New Roman" w:hAnsi="Times New Roman" w:eastAsia="方正仿宋_GBK" w:cs="Times New Roman"/>
          <w:sz w:val="32"/>
          <w:szCs w:val="32"/>
          <w:shd w:val="clear" w:color="auto" w:fill="FFFFFF"/>
          <w:lang w:val="en-US" w:eastAsia="zh-CN"/>
        </w:rPr>
        <w:t>%，较年初预算数增加</w:t>
      </w:r>
      <w:r>
        <w:rPr>
          <w:rFonts w:hint="eastAsia" w:ascii="Times New Roman" w:hAnsi="Times New Roman" w:eastAsia="方正仿宋_GBK" w:cs="Times New Roman"/>
          <w:sz w:val="32"/>
          <w:szCs w:val="32"/>
          <w:shd w:val="clear" w:color="auto" w:fill="FFFFFF"/>
          <w:lang w:val="en-US" w:eastAsia="zh-CN"/>
        </w:rPr>
        <w:t>67.80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应对自然环境变化。</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lang w:val="en-US" w:eastAsia="zh-CN"/>
        </w:rPr>
        <w:t>）住房保障支出</w:t>
      </w:r>
      <w:r>
        <w:rPr>
          <w:rFonts w:hint="eastAsia" w:ascii="Times New Roman" w:hAnsi="Times New Roman" w:eastAsia="方正仿宋_GBK" w:cs="Times New Roman"/>
          <w:sz w:val="32"/>
          <w:szCs w:val="32"/>
          <w:shd w:val="clear" w:color="auto" w:fill="FFFFFF"/>
          <w:lang w:val="en-US" w:eastAsia="zh-CN"/>
        </w:rPr>
        <w:t>95.40</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2.22</w:t>
      </w:r>
      <w:r>
        <w:rPr>
          <w:rFonts w:hint="default" w:ascii="Times New Roman" w:hAnsi="Times New Roman" w:eastAsia="方正仿宋_GBK" w:cs="Times New Roman"/>
          <w:sz w:val="32"/>
          <w:szCs w:val="32"/>
          <w:shd w:val="clear" w:color="auto" w:fill="FFFFFF"/>
          <w:lang w:val="en-US" w:eastAsia="zh-CN"/>
        </w:rPr>
        <w:t>%，较年初预算数减少</w:t>
      </w:r>
      <w:r>
        <w:rPr>
          <w:rFonts w:hint="eastAsia" w:ascii="Times New Roman" w:hAnsi="Times New Roman" w:eastAsia="方正仿宋_GBK" w:cs="Times New Roman"/>
          <w:sz w:val="32"/>
          <w:szCs w:val="32"/>
          <w:shd w:val="clear" w:color="auto" w:fill="FFFFFF"/>
          <w:lang w:val="en-US" w:eastAsia="zh-CN"/>
        </w:rPr>
        <w:t>1.44</w:t>
      </w:r>
      <w:r>
        <w:rPr>
          <w:rFonts w:hint="default" w:ascii="Times New Roman" w:hAnsi="Times New Roman" w:eastAsia="方正仿宋_GBK" w:cs="Times New Roman"/>
          <w:sz w:val="32"/>
          <w:szCs w:val="32"/>
          <w:shd w:val="clear" w:color="auto" w:fill="FFFFFF"/>
          <w:lang w:val="en-US" w:eastAsia="zh-CN"/>
        </w:rPr>
        <w:t>万元，下降</w:t>
      </w:r>
      <w:r>
        <w:rPr>
          <w:rFonts w:hint="eastAsia" w:ascii="Times New Roman" w:hAnsi="Times New Roman" w:eastAsia="方正仿宋_GBK" w:cs="Times New Roman"/>
          <w:sz w:val="32"/>
          <w:szCs w:val="32"/>
          <w:shd w:val="clear" w:color="auto" w:fill="FFFFFF"/>
          <w:lang w:val="en-US" w:eastAsia="zh-CN"/>
        </w:rPr>
        <w:t>1.49</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13</w:t>
      </w:r>
      <w:r>
        <w:rPr>
          <w:rFonts w:hint="default" w:ascii="Times New Roman" w:hAnsi="Times New Roman" w:eastAsia="方正仿宋_GBK" w:cs="Times New Roman"/>
          <w:sz w:val="32"/>
          <w:szCs w:val="32"/>
          <w:shd w:val="clear" w:color="auto" w:fill="FFFFFF"/>
          <w:lang w:val="en-US" w:eastAsia="zh-CN"/>
        </w:rPr>
        <w:t>）灾害防治及应急管理支出</w:t>
      </w:r>
      <w:r>
        <w:rPr>
          <w:rFonts w:hint="eastAsia" w:ascii="Times New Roman" w:hAnsi="Times New Roman" w:eastAsia="方正仿宋_GBK" w:cs="Times New Roman"/>
          <w:sz w:val="32"/>
          <w:szCs w:val="32"/>
          <w:shd w:val="clear" w:color="auto" w:fill="FFFFFF"/>
          <w:lang w:val="en-US" w:eastAsia="zh-CN"/>
        </w:rPr>
        <w:t>32.78</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0.76</w:t>
      </w:r>
      <w:r>
        <w:rPr>
          <w:rFonts w:hint="default" w:ascii="Times New Roman" w:hAnsi="Times New Roman" w:eastAsia="方正仿宋_GBK" w:cs="Times New Roman"/>
          <w:sz w:val="32"/>
          <w:szCs w:val="32"/>
          <w:shd w:val="clear" w:color="auto" w:fill="FFFFFF"/>
          <w:lang w:val="en-US" w:eastAsia="zh-CN"/>
        </w:rPr>
        <w:t>%，较年初预算数增加</w:t>
      </w:r>
      <w:r>
        <w:rPr>
          <w:rFonts w:hint="eastAsia" w:ascii="Times New Roman" w:hAnsi="Times New Roman" w:eastAsia="方正仿宋_GBK" w:cs="Times New Roman"/>
          <w:sz w:val="32"/>
          <w:szCs w:val="32"/>
          <w:shd w:val="clear" w:color="auto" w:fill="FFFFFF"/>
          <w:lang w:val="en-US" w:eastAsia="zh-CN"/>
        </w:rPr>
        <w:t>8.60</w:t>
      </w:r>
      <w:r>
        <w:rPr>
          <w:rFonts w:hint="default" w:ascii="Times New Roman" w:hAnsi="Times New Roman" w:eastAsia="方正仿宋_GBK" w:cs="Times New Roman"/>
          <w:sz w:val="32"/>
          <w:szCs w:val="32"/>
          <w:shd w:val="clear" w:color="auto" w:fill="FFFFFF"/>
          <w:lang w:val="en-US" w:eastAsia="zh-CN"/>
        </w:rPr>
        <w:t>万元，增长</w:t>
      </w:r>
      <w:r>
        <w:rPr>
          <w:rFonts w:hint="eastAsia" w:ascii="Times New Roman" w:hAnsi="Times New Roman" w:eastAsia="方正仿宋_GBK" w:cs="Times New Roman"/>
          <w:sz w:val="32"/>
          <w:szCs w:val="32"/>
          <w:shd w:val="clear" w:color="auto" w:fill="FFFFFF"/>
          <w:lang w:val="en-US" w:eastAsia="zh-CN"/>
        </w:rPr>
        <w:t>35.57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年中追加安排应急预算</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2023年度一般公共财政拨款基本支出</w:t>
      </w:r>
      <w:r>
        <w:rPr>
          <w:rFonts w:hint="eastAsia" w:ascii="Times New Roman" w:hAnsi="Times New Roman" w:eastAsia="方正仿宋_GBK" w:cs="Times New Roman"/>
          <w:sz w:val="32"/>
          <w:szCs w:val="32"/>
          <w:shd w:val="clear" w:color="auto" w:fill="FFFFFF"/>
          <w:lang w:val="en-US" w:eastAsia="zh-CN"/>
        </w:rPr>
        <w:t>1497.54</w:t>
      </w:r>
      <w:r>
        <w:rPr>
          <w:rFonts w:hint="default" w:ascii="Times New Roman" w:hAnsi="Times New Roman" w:eastAsia="方正仿宋_GBK" w:cs="Times New Roman"/>
          <w:sz w:val="32"/>
          <w:szCs w:val="32"/>
          <w:shd w:val="clear" w:color="auto" w:fill="FFFFFF"/>
          <w:lang w:val="en-US" w:eastAsia="zh-CN"/>
        </w:rPr>
        <w:t>万元。其中：人员经费</w:t>
      </w:r>
      <w:r>
        <w:rPr>
          <w:rFonts w:hint="eastAsia" w:ascii="Times New Roman" w:hAnsi="Times New Roman" w:eastAsia="方正仿宋_GBK" w:cs="Times New Roman"/>
          <w:sz w:val="32"/>
          <w:szCs w:val="32"/>
          <w:shd w:val="clear" w:color="auto" w:fill="FFFFFF"/>
          <w:lang w:val="en-US" w:eastAsia="zh-CN"/>
        </w:rPr>
        <w:t>1330.74</w:t>
      </w:r>
      <w:r>
        <w:rPr>
          <w:rFonts w:hint="default" w:ascii="Times New Roman" w:hAnsi="Times New Roman" w:eastAsia="方正仿宋_GBK" w:cs="Times New Roman"/>
          <w:sz w:val="32"/>
          <w:szCs w:val="32"/>
          <w:shd w:val="clear" w:color="auto" w:fill="FFFFFF"/>
          <w:lang w:val="en-US" w:eastAsia="zh-CN"/>
        </w:rPr>
        <w:t>万元，较上年决算数</w:t>
      </w:r>
      <w:r>
        <w:rPr>
          <w:rFonts w:hint="eastAsia" w:ascii="Times New Roman" w:hAnsi="Times New Roman" w:eastAsia="方正仿宋_GBK" w:cs="Times New Roman"/>
          <w:sz w:val="32"/>
          <w:szCs w:val="32"/>
          <w:shd w:val="clear" w:color="auto" w:fill="FFFFFF"/>
          <w:lang w:val="en-US" w:eastAsia="zh-CN"/>
        </w:rPr>
        <w:t>减少108.01</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下降7.51</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落实过紧日子政策</w:t>
      </w:r>
      <w:r>
        <w:rPr>
          <w:rFonts w:hint="default" w:ascii="Times New Roman" w:hAnsi="Times New Roman" w:eastAsia="方正仿宋_GBK" w:cs="Times New Roman"/>
          <w:sz w:val="32"/>
          <w:szCs w:val="32"/>
          <w:shd w:val="clear" w:color="auto" w:fill="FFFFFF"/>
          <w:lang w:val="en-US" w:eastAsia="zh-CN"/>
        </w:rPr>
        <w:t>。人员经费用途主要包括</w:t>
      </w:r>
      <w:r>
        <w:rPr>
          <w:rFonts w:hint="eastAsia" w:ascii="Times New Roman" w:hAnsi="Times New Roman" w:eastAsia="方正仿宋_GBK" w:cs="Times New Roman"/>
          <w:sz w:val="32"/>
          <w:szCs w:val="32"/>
          <w:shd w:val="clear" w:color="auto" w:fill="FFFFFF"/>
          <w:lang w:val="en-US" w:eastAsia="zh-CN"/>
        </w:rPr>
        <w:t>基本工资、津贴补贴、社会保障缴费等</w:t>
      </w:r>
      <w:r>
        <w:rPr>
          <w:rFonts w:hint="default" w:ascii="Times New Roman" w:hAnsi="Times New Roman" w:eastAsia="方正仿宋_GBK" w:cs="Times New Roman"/>
          <w:sz w:val="32"/>
          <w:szCs w:val="32"/>
          <w:shd w:val="clear" w:color="auto" w:fill="FFFFFF"/>
          <w:lang w:val="en-US" w:eastAsia="zh-CN"/>
        </w:rPr>
        <w:t>。公用经费</w:t>
      </w:r>
      <w:r>
        <w:rPr>
          <w:rFonts w:hint="eastAsia" w:ascii="Times New Roman" w:hAnsi="Times New Roman" w:eastAsia="方正仿宋_GBK" w:cs="Times New Roman"/>
          <w:sz w:val="32"/>
          <w:szCs w:val="32"/>
          <w:shd w:val="clear" w:color="auto" w:fill="FFFFFF"/>
          <w:lang w:val="en-US" w:eastAsia="zh-CN"/>
        </w:rPr>
        <w:t>166.80</w:t>
      </w:r>
      <w:r>
        <w:rPr>
          <w:rFonts w:hint="default" w:ascii="Times New Roman" w:hAnsi="Times New Roman" w:eastAsia="方正仿宋_GBK" w:cs="Times New Roman"/>
          <w:sz w:val="32"/>
          <w:szCs w:val="32"/>
          <w:shd w:val="clear" w:color="auto" w:fill="FFFFFF"/>
          <w:lang w:val="en-US" w:eastAsia="zh-CN"/>
        </w:rPr>
        <w:t>万元，较上年决算数</w:t>
      </w:r>
      <w:r>
        <w:rPr>
          <w:rFonts w:hint="eastAsia" w:ascii="Times New Roman" w:hAnsi="Times New Roman" w:eastAsia="方正仿宋_GBK" w:cs="Times New Roman"/>
          <w:sz w:val="32"/>
          <w:szCs w:val="32"/>
          <w:shd w:val="clear" w:color="auto" w:fill="FFFFFF"/>
          <w:lang w:val="en-US" w:eastAsia="zh-CN"/>
        </w:rPr>
        <w:t>减少40.32</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lang w:val="en-US" w:eastAsia="zh-CN"/>
        </w:rPr>
        <w:t>19.</w:t>
      </w:r>
      <w:r>
        <w:rPr>
          <w:rFonts w:hint="eastAsia" w:ascii="Times New Roman" w:hAnsi="Times New Roman" w:eastAsia="方正仿宋_GBK" w:cs="Times New Roman"/>
          <w:sz w:val="32"/>
          <w:szCs w:val="32"/>
          <w:shd w:val="clear" w:color="auto" w:fill="FFFFFF"/>
          <w:lang w:val="en-US" w:eastAsia="zh-CN"/>
        </w:rPr>
        <w:t>47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r>
        <w:rPr>
          <w:rFonts w:hint="default" w:ascii="Times New Roman" w:hAnsi="Times New Roman" w:eastAsia="方正仿宋_GBK" w:cs="Times New Roman"/>
          <w:sz w:val="32"/>
          <w:szCs w:val="32"/>
          <w:shd w:val="clear" w:color="auto" w:fill="FFFFFF"/>
          <w:lang w:val="en-US" w:eastAsia="zh-CN"/>
        </w:rPr>
        <w:t>。公用经费用途主要包括</w:t>
      </w:r>
      <w:r>
        <w:rPr>
          <w:rFonts w:hint="eastAsia" w:ascii="Times New Roman" w:hAnsi="Times New Roman" w:eastAsia="方正仿宋_GBK" w:cs="Times New Roman"/>
          <w:sz w:val="32"/>
          <w:szCs w:val="32"/>
          <w:shd w:val="clear" w:color="auto" w:fill="FFFFFF"/>
          <w:lang w:val="en-US" w:eastAsia="zh-CN"/>
        </w:rPr>
        <w:t>办公费、印刷费、差旅费、电费、水费等。</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2023年度政府性基金预算财政拨款年初结转结余100.00万元，年末结转结余0.00万元。本年收入2825.86万元，较上年决算数增加2565.95万元，增长987.25%，主要原因是本年政府性基金预算项目增多。本年支出2925.86万元，较上年决算数增加2665.95万元，增长1025.72%，主要原因是本年政府性基金预算项目增多</w:t>
      </w:r>
      <w:r>
        <w:rPr>
          <w:rFonts w:hint="default" w:ascii="Times New Roman" w:hAnsi="Times New Roman" w:eastAsia="方正仿宋_GBK" w:cs="Times New Roman"/>
          <w:sz w:val="32"/>
          <w:szCs w:val="32"/>
          <w:shd w:val="clear" w:color="auto" w:fill="FFFFFF"/>
          <w:lang w:val="en-US" w:eastAsia="zh-CN"/>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lang w:val="en-US" w:eastAsia="zh-CN"/>
        </w:rPr>
        <w:t>部门</w:t>
      </w:r>
      <w:commentRangeStart w:id="5"/>
      <w:r>
        <w:rPr>
          <w:rFonts w:hint="default" w:ascii="Times New Roman" w:hAnsi="Times New Roman" w:eastAsia="方正仿宋_GBK" w:cs="Times New Roman"/>
          <w:sz w:val="32"/>
          <w:szCs w:val="32"/>
          <w:shd w:val="clear" w:color="auto" w:fill="FFFFFF"/>
          <w:lang w:val="en-US" w:eastAsia="zh-CN"/>
        </w:rPr>
        <w:t>2023</w:t>
      </w:r>
      <w:commentRangeEnd w:id="5"/>
      <w:r>
        <w:commentReference w:id="5"/>
      </w:r>
      <w:r>
        <w:rPr>
          <w:rFonts w:hint="default" w:ascii="方正仿宋_GBK" w:hAnsi="方正仿宋_GBK" w:eastAsia="方正仿宋_GBK" w:cs="方正仿宋_GBK"/>
          <w:sz w:val="32"/>
          <w:szCs w:val="32"/>
          <w:shd w:val="clear" w:color="auto" w:fill="FFFFFF"/>
          <w:lang w:val="en-US" w:eastAsia="zh-CN"/>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eastAsia" w:ascii="Times New Roman" w:hAnsi="Times New Roman" w:eastAsia="方正黑体_GBK" w:cs="Times New Roman"/>
          <w:b w:val="0"/>
          <w:bCs/>
          <w:sz w:val="32"/>
          <w:szCs w:val="32"/>
          <w:shd w:val="clear" w:color="auto" w:fill="FFFFFF"/>
          <w:lang w:val="en-US" w:eastAsia="zh-CN"/>
        </w:rPr>
      </w:pPr>
      <w:commentRangeStart w:id="6"/>
      <w:r>
        <w:rPr>
          <w:rStyle w:val="11"/>
          <w:rFonts w:hint="eastAsia" w:ascii="Times New Roman" w:hAnsi="Times New Roman" w:eastAsia="方正黑体_GBK" w:cs="Times New Roman"/>
          <w:b w:val="0"/>
          <w:bCs/>
          <w:sz w:val="32"/>
          <w:szCs w:val="32"/>
          <w:shd w:val="clear" w:color="auto" w:fill="FFFFFF"/>
          <w:lang w:val="en-US" w:eastAsia="zh-CN"/>
        </w:rPr>
        <w:t>三、“三公”经费情况说明</w:t>
      </w:r>
      <w:commentRangeEnd w:id="6"/>
      <w:r>
        <w:rPr>
          <w:rStyle w:val="11"/>
          <w:rFonts w:hint="eastAsia" w:ascii="Times New Roman" w:hAnsi="Times New Roman" w:eastAsia="方正黑体_GBK" w:cs="Times New Roman"/>
          <w:b w:val="0"/>
          <w:bCs/>
          <w:sz w:val="32"/>
          <w:szCs w:val="32"/>
          <w:shd w:val="clear" w:color="auto" w:fill="FFFFFF"/>
        </w:rPr>
        <w:commentReference w:id="6"/>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三公</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经费支出共计</w:t>
      </w:r>
      <w:r>
        <w:rPr>
          <w:rFonts w:hint="eastAsia" w:ascii="Times New Roman" w:hAnsi="Times New Roman" w:eastAsia="方正仿宋_GBK" w:cs="Times New Roman"/>
          <w:sz w:val="32"/>
          <w:szCs w:val="32"/>
          <w:shd w:val="clear" w:color="auto" w:fill="FFFFFF"/>
          <w:lang w:val="en-US" w:eastAsia="zh-CN"/>
        </w:rPr>
        <w:t>10.44</w:t>
      </w:r>
      <w:r>
        <w:rPr>
          <w:rFonts w:hint="default" w:ascii="Times New Roman" w:hAnsi="Times New Roman" w:eastAsia="方正仿宋_GBK" w:cs="Times New Roman"/>
          <w:sz w:val="32"/>
          <w:szCs w:val="32"/>
          <w:shd w:val="clear" w:color="auto" w:fill="FFFFFF"/>
          <w:lang w:val="en-US" w:eastAsia="zh-CN"/>
        </w:rPr>
        <w:t>万元，较年初预算数减少</w:t>
      </w:r>
      <w:r>
        <w:rPr>
          <w:rFonts w:hint="eastAsia" w:ascii="Times New Roman" w:hAnsi="Times New Roman" w:eastAsia="方正仿宋_GBK" w:cs="Times New Roman"/>
          <w:sz w:val="32"/>
          <w:szCs w:val="32"/>
          <w:shd w:val="clear" w:color="auto" w:fill="FFFFFF"/>
          <w:lang w:val="en-US" w:eastAsia="zh-CN"/>
        </w:rPr>
        <w:t>2.56</w:t>
      </w:r>
      <w:r>
        <w:rPr>
          <w:rFonts w:hint="default" w:ascii="Times New Roman" w:hAnsi="Times New Roman" w:eastAsia="方正仿宋_GBK" w:cs="Times New Roman"/>
          <w:sz w:val="32"/>
          <w:szCs w:val="32"/>
          <w:shd w:val="clear" w:color="auto" w:fill="FFFFFF"/>
          <w:lang w:val="en-US" w:eastAsia="zh-CN"/>
        </w:rPr>
        <w:t>万元，下降</w:t>
      </w:r>
      <w:r>
        <w:rPr>
          <w:rFonts w:hint="eastAsia" w:ascii="Times New Roman" w:hAnsi="Times New Roman" w:eastAsia="方正仿宋_GBK" w:cs="Times New Roman"/>
          <w:sz w:val="32"/>
          <w:szCs w:val="32"/>
          <w:shd w:val="clear" w:color="auto" w:fill="FFFFFF"/>
          <w:lang w:val="en-US" w:eastAsia="zh-CN"/>
        </w:rPr>
        <w:t>19.69</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落实过紧日子政策</w:t>
      </w:r>
      <w:r>
        <w:rPr>
          <w:rFonts w:hint="default" w:ascii="Times New Roman" w:hAnsi="Times New Roman" w:eastAsia="方正仿宋_GBK" w:cs="Times New Roman"/>
          <w:sz w:val="32"/>
          <w:szCs w:val="32"/>
          <w:shd w:val="clear" w:color="auto" w:fill="FFFFFF"/>
          <w:lang w:val="en-US" w:eastAsia="zh-CN"/>
        </w:rPr>
        <w:t>。较上年支出数</w:t>
      </w:r>
      <w:r>
        <w:rPr>
          <w:rFonts w:hint="eastAsia" w:ascii="Times New Roman" w:hAnsi="Times New Roman" w:eastAsia="方正仿宋_GBK" w:cs="Times New Roman"/>
          <w:sz w:val="32"/>
          <w:szCs w:val="32"/>
          <w:shd w:val="clear" w:color="auto" w:fill="FFFFFF"/>
          <w:lang w:val="en-US" w:eastAsia="zh-CN"/>
        </w:rPr>
        <w:t>减少3.51</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下降25.16</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因公出国（境）费用0.00万元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费用支出较年初预算数无增减，主要原因是</w:t>
      </w:r>
      <w:r>
        <w:rPr>
          <w:rFonts w:hint="eastAsia" w:ascii="Times New Roman" w:hAnsi="Times New Roman" w:eastAsia="方正仿宋_GBK" w:cs="Times New Roman"/>
          <w:sz w:val="32"/>
          <w:szCs w:val="32"/>
          <w:shd w:val="clear" w:color="auto" w:fill="FFFFFF"/>
          <w:lang w:val="en-US" w:eastAsia="zh-CN"/>
        </w:rPr>
        <w:t>无因公出国（境）。</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未安排此项支出。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未购置公务车辆。</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未购置公务车辆</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公务车运行维护费</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lang w:val="en-US" w:eastAsia="zh-CN"/>
        </w:rPr>
        <w:t>万元，主要用于</w:t>
      </w:r>
      <w:r>
        <w:rPr>
          <w:rFonts w:hint="eastAsia" w:ascii="Times New Roman" w:hAnsi="Times New Roman" w:eastAsia="方正仿宋_GBK" w:cs="Times New Roman"/>
          <w:sz w:val="32"/>
          <w:szCs w:val="32"/>
          <w:shd w:val="clear" w:color="auto" w:fill="FFFFFF"/>
          <w:lang w:val="en-US" w:eastAsia="zh-CN"/>
        </w:rPr>
        <w:t>维护公务用车。费用支出较年初预算数无增减，</w:t>
      </w:r>
      <w:r>
        <w:rPr>
          <w:rFonts w:hint="default" w:ascii="Times New Roman" w:hAnsi="Times New Roman" w:eastAsia="方正仿宋_GBK" w:cs="Times New Roman"/>
          <w:sz w:val="32"/>
          <w:szCs w:val="32"/>
          <w:shd w:val="clear" w:color="auto" w:fill="FFFFFF"/>
          <w:lang w:val="en-US" w:eastAsia="zh-CN"/>
        </w:rPr>
        <w:t>较上年支出数增加</w:t>
      </w:r>
      <w:r>
        <w:rPr>
          <w:rFonts w:hint="eastAsia" w:ascii="Times New Roman" w:hAnsi="Times New Roman" w:eastAsia="方正仿宋_GBK" w:cs="Times New Roman"/>
          <w:sz w:val="32"/>
          <w:szCs w:val="32"/>
          <w:shd w:val="clear" w:color="auto" w:fill="FFFFFF"/>
          <w:lang w:val="en-US" w:eastAsia="zh-CN"/>
        </w:rPr>
        <w:t>0.08</w:t>
      </w:r>
      <w:r>
        <w:rPr>
          <w:rFonts w:hint="default" w:ascii="Times New Roman" w:hAnsi="Times New Roman" w:eastAsia="方正仿宋_GBK" w:cs="Times New Roman"/>
          <w:sz w:val="32"/>
          <w:szCs w:val="32"/>
          <w:shd w:val="clear" w:color="auto" w:fill="FFFFFF"/>
          <w:lang w:val="en-US" w:eastAsia="zh-CN"/>
        </w:rPr>
        <w:t>万元，增长</w:t>
      </w:r>
      <w:r>
        <w:rPr>
          <w:rFonts w:hint="eastAsia" w:ascii="Times New Roman" w:hAnsi="Times New Roman" w:eastAsia="方正仿宋_GBK" w:cs="Times New Roman"/>
          <w:sz w:val="32"/>
          <w:szCs w:val="32"/>
          <w:shd w:val="clear" w:color="auto" w:fill="FFFFFF"/>
          <w:lang w:val="en-US" w:eastAsia="zh-CN"/>
        </w:rPr>
        <w:t>0.81</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公务车运行成本增加。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方正仿宋"/>
          <w:b w:val="0"/>
          <w:bCs w:val="0"/>
          <w:i w:val="0"/>
          <w:caps w:val="0"/>
          <w:color w:val="333333"/>
          <w:spacing w:val="0"/>
          <w:sz w:val="32"/>
          <w:szCs w:val="32"/>
          <w:shd w:val="clear" w:fill="FFFFFF"/>
          <w:lang w:val="en-US" w:eastAsia="zh-CN"/>
        </w:rPr>
      </w:pPr>
      <w:r>
        <w:rPr>
          <w:rFonts w:hint="eastAsia" w:ascii="Times New Roman" w:hAnsi="Times New Roman" w:eastAsia="方正仿宋_GBK" w:cs="Times New Roman"/>
          <w:sz w:val="32"/>
          <w:szCs w:val="32"/>
          <w:shd w:val="clear" w:color="auto" w:fill="FFFFFF"/>
          <w:lang w:val="en-US" w:eastAsia="zh-CN"/>
        </w:rPr>
        <w:t>公务接待费0.44万元，主要用于接待其他区县乡镇来洪安考察。费用支出较年初预算数减少2.56万元，下降85.33%，主要原因是严格控制接待标准，落实过紧日子政策。较上年支出数减少3.59万元，下降89.08%，主要原因落实过紧日子政策</w:t>
      </w:r>
      <w:r>
        <w:rPr>
          <w:rFonts w:hint="eastAsia" w:ascii="Times New Roman" w:hAnsi="Times New Roman" w:eastAsia="方正仿宋" w:cs="方正仿宋"/>
          <w:b w:val="0"/>
          <w:bCs w:val="0"/>
          <w:i w:val="0"/>
          <w:caps w:val="0"/>
          <w:color w:val="333333"/>
          <w:spacing w:val="0"/>
          <w:sz w:val="32"/>
          <w:szCs w:val="32"/>
          <w:shd w:val="clear" w:fill="FFFFFF"/>
          <w:lang w:val="en-US" w:eastAsia="zh-CN"/>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因公出国（境）共计0个团组，0人；公务用车购置0辆，公务车保有量为2辆；国内公务接待0批次0人，其中：国内外事接待0批次，0人；国（境）外公务接待0批次，0人。2023年本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人均接待费0元，车均购置费0万元，车均维护费</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四、其他需要说明的事项</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lang w:val="en-US" w:eastAsia="zh-CN"/>
        </w:rPr>
        <w:t>万元，较上年决算数增加0.</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lang w:val="en-US" w:eastAsia="zh-CN"/>
        </w:rPr>
        <w:t>万元。本年度培训费支出</w:t>
      </w:r>
      <w:r>
        <w:rPr>
          <w:rFonts w:hint="eastAsia" w:ascii="Times New Roman" w:hAnsi="Times New Roman" w:eastAsia="方正仿宋_GBK" w:cs="Times New Roman"/>
          <w:sz w:val="32"/>
          <w:szCs w:val="32"/>
          <w:shd w:val="clear" w:color="auto" w:fill="FFFFFF"/>
          <w:lang w:val="en-US" w:eastAsia="zh-CN"/>
        </w:rPr>
        <w:t>8.56</w:t>
      </w:r>
      <w:r>
        <w:rPr>
          <w:rFonts w:hint="default" w:ascii="Times New Roman" w:hAnsi="Times New Roman" w:eastAsia="方正仿宋_GBK" w:cs="Times New Roman"/>
          <w:sz w:val="32"/>
          <w:szCs w:val="32"/>
          <w:shd w:val="clear" w:color="auto" w:fill="FFFFFF"/>
          <w:lang w:val="en-US" w:eastAsia="zh-CN"/>
        </w:rPr>
        <w:t>万元，较上年决算数增加4.</w:t>
      </w:r>
      <w:r>
        <w:rPr>
          <w:rFonts w:hint="eastAsia" w:ascii="Times New Roman" w:hAnsi="Times New Roman" w:eastAsia="方正仿宋_GBK" w:cs="Times New Roman"/>
          <w:sz w:val="32"/>
          <w:szCs w:val="32"/>
          <w:shd w:val="clear" w:color="auto" w:fill="FFFFFF"/>
          <w:lang w:val="en-US" w:eastAsia="zh-CN"/>
        </w:rPr>
        <w:t>78</w:t>
      </w:r>
      <w:r>
        <w:rPr>
          <w:rFonts w:hint="default" w:ascii="Times New Roman" w:hAnsi="Times New Roman" w:eastAsia="方正仿宋_GBK" w:cs="Times New Roman"/>
          <w:sz w:val="32"/>
          <w:szCs w:val="32"/>
          <w:shd w:val="clear" w:color="auto" w:fill="FFFFFF"/>
          <w:lang w:val="en-US" w:eastAsia="zh-CN"/>
        </w:rPr>
        <w:t>万元，增长</w:t>
      </w:r>
      <w:r>
        <w:rPr>
          <w:rFonts w:hint="eastAsia" w:ascii="Times New Roman" w:hAnsi="Times New Roman" w:eastAsia="方正仿宋_GBK" w:cs="Times New Roman"/>
          <w:sz w:val="32"/>
          <w:szCs w:val="32"/>
          <w:shd w:val="clear" w:color="auto" w:fill="FFFFFF"/>
          <w:lang w:val="en-US" w:eastAsia="zh-CN"/>
        </w:rPr>
        <w:t>126.46</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本年培训增加</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机关运行经费支出</w:t>
      </w:r>
      <w:r>
        <w:rPr>
          <w:rFonts w:hint="eastAsia" w:ascii="Times New Roman" w:hAnsi="Times New Roman" w:eastAsia="方正仿宋_GBK" w:cs="Times New Roman"/>
          <w:sz w:val="32"/>
          <w:szCs w:val="32"/>
          <w:shd w:val="clear" w:color="auto" w:fill="FFFFFF"/>
          <w:lang w:val="en-US" w:eastAsia="zh-CN"/>
        </w:rPr>
        <w:t>129.05</w:t>
      </w:r>
      <w:r>
        <w:rPr>
          <w:rFonts w:hint="default" w:ascii="Times New Roman" w:hAnsi="Times New Roman" w:eastAsia="方正仿宋_GBK" w:cs="Times New Roman"/>
          <w:sz w:val="32"/>
          <w:szCs w:val="32"/>
          <w:shd w:val="clear" w:color="auto" w:fill="FFFFFF"/>
          <w:lang w:val="en-US" w:eastAsia="zh-CN"/>
        </w:rPr>
        <w:t>万元，机关运行经费主要用于开支</w:t>
      </w:r>
      <w:r>
        <w:rPr>
          <w:rFonts w:hint="eastAsia" w:ascii="Times New Roman" w:hAnsi="Times New Roman" w:eastAsia="方正仿宋_GBK" w:cs="Times New Roman"/>
          <w:sz w:val="32"/>
          <w:szCs w:val="32"/>
          <w:shd w:val="clear" w:color="auto" w:fill="FFFFFF"/>
          <w:lang w:val="en-US" w:eastAsia="zh-CN"/>
        </w:rPr>
        <w:t>办公费、公务车运行维护费、水费、电费、差旅费等</w:t>
      </w:r>
      <w:r>
        <w:rPr>
          <w:rFonts w:hint="default" w:ascii="Times New Roman" w:hAnsi="Times New Roman" w:eastAsia="方正仿宋_GBK" w:cs="Times New Roman"/>
          <w:sz w:val="32"/>
          <w:szCs w:val="32"/>
          <w:shd w:val="clear" w:color="auto" w:fill="FFFFFF"/>
          <w:lang w:val="en-US" w:eastAsia="zh-CN"/>
        </w:rPr>
        <w:t>。机关运行经费较上年支出数</w:t>
      </w:r>
      <w:r>
        <w:rPr>
          <w:rFonts w:hint="eastAsia" w:ascii="Times New Roman" w:hAnsi="Times New Roman" w:eastAsia="方正仿宋_GBK" w:cs="Times New Roman"/>
          <w:sz w:val="32"/>
          <w:szCs w:val="32"/>
          <w:shd w:val="clear" w:color="auto" w:fill="FFFFFF"/>
          <w:lang w:val="en-US" w:eastAsia="zh-CN"/>
        </w:rPr>
        <w:t>减少78.07</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下降37.49%</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严格遵循经费使用标准，落实过紧日子政策。</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截至2023年12月31日，本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共有车辆2辆，其中，副部（省）级及以上领导用车0辆、主要负责人用车0辆、机要通信用车0辆、应急保障用车2辆、执法执勤用车0辆，特种专业技术用车0辆，离退休干部用车0辆。单价100万元（含）以上专用设备0台（套）。</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政府采购支出总额</w:t>
      </w:r>
      <w:r>
        <w:rPr>
          <w:rFonts w:hint="eastAsia" w:ascii="Times New Roman" w:hAnsi="Times New Roman" w:eastAsia="方正仿宋_GBK" w:cs="Times New Roman"/>
          <w:sz w:val="32"/>
          <w:szCs w:val="32"/>
          <w:shd w:val="clear" w:color="auto" w:fill="FFFFFF"/>
          <w:lang w:val="en-US" w:eastAsia="zh-CN"/>
        </w:rPr>
        <w:t>688.44</w:t>
      </w:r>
      <w:r>
        <w:rPr>
          <w:rFonts w:hint="default" w:ascii="Times New Roman" w:hAnsi="Times New Roman" w:eastAsia="方正仿宋_GBK" w:cs="Times New Roman"/>
          <w:sz w:val="32"/>
          <w:szCs w:val="32"/>
          <w:shd w:val="clear" w:color="auto" w:fill="FFFFFF"/>
          <w:lang w:val="en-US" w:eastAsia="zh-CN"/>
        </w:rPr>
        <w:t>万元，其中：政府采购货物支出</w:t>
      </w:r>
      <w:r>
        <w:rPr>
          <w:rFonts w:hint="eastAsia" w:ascii="Times New Roman" w:hAnsi="Times New Roman" w:eastAsia="方正仿宋_GBK" w:cs="Times New Roman"/>
          <w:sz w:val="32"/>
          <w:szCs w:val="32"/>
          <w:shd w:val="clear" w:color="auto" w:fill="FFFFFF"/>
          <w:lang w:val="en-US" w:eastAsia="zh-CN"/>
        </w:rPr>
        <w:t>8.46</w:t>
      </w:r>
      <w:r>
        <w:rPr>
          <w:rFonts w:hint="default" w:ascii="Times New Roman" w:hAnsi="Times New Roman" w:eastAsia="方正仿宋_GBK" w:cs="Times New Roman"/>
          <w:sz w:val="32"/>
          <w:szCs w:val="32"/>
          <w:shd w:val="clear" w:color="auto" w:fill="FFFFFF"/>
          <w:lang w:val="en-US" w:eastAsia="zh-CN"/>
        </w:rPr>
        <w:t>万元、政府采购工程支出0.00万元、政府采购服务支出</w:t>
      </w:r>
      <w:r>
        <w:rPr>
          <w:rFonts w:hint="eastAsia" w:ascii="Times New Roman" w:hAnsi="Times New Roman" w:eastAsia="方正仿宋_GBK" w:cs="Times New Roman"/>
          <w:sz w:val="32"/>
          <w:szCs w:val="32"/>
          <w:shd w:val="clear" w:color="auto" w:fill="FFFFFF"/>
          <w:lang w:val="en-US" w:eastAsia="zh-CN"/>
        </w:rPr>
        <w:t>679.98</w:t>
      </w:r>
      <w:r>
        <w:rPr>
          <w:rFonts w:hint="default" w:ascii="Times New Roman" w:hAnsi="Times New Roman" w:eastAsia="方正仿宋_GBK" w:cs="Times New Roman"/>
          <w:sz w:val="32"/>
          <w:szCs w:val="32"/>
          <w:shd w:val="clear" w:color="auto" w:fill="FFFFFF"/>
          <w:lang w:val="en-US" w:eastAsia="zh-CN"/>
        </w:rPr>
        <w:t>万元。授予中小企业合同金额</w:t>
      </w:r>
      <w:r>
        <w:rPr>
          <w:rFonts w:hint="eastAsia" w:ascii="Times New Roman" w:hAnsi="Times New Roman" w:eastAsia="方正仿宋_GBK" w:cs="Times New Roman"/>
          <w:sz w:val="32"/>
          <w:szCs w:val="32"/>
          <w:shd w:val="clear" w:color="auto" w:fill="FFFFFF"/>
          <w:lang w:val="en-US" w:eastAsia="zh-CN"/>
        </w:rPr>
        <w:t>688.44</w:t>
      </w:r>
      <w:r>
        <w:rPr>
          <w:rFonts w:hint="default" w:ascii="Times New Roman" w:hAnsi="Times New Roman" w:eastAsia="方正仿宋_GBK" w:cs="Times New Roman"/>
          <w:sz w:val="32"/>
          <w:szCs w:val="32"/>
          <w:shd w:val="clear" w:color="auto" w:fill="FFFFFF"/>
          <w:lang w:val="en-US" w:eastAsia="zh-CN"/>
        </w:rPr>
        <w:t>万元，占政府采购支出总额的100.00%，其中：授予小微企业合同金额</w:t>
      </w:r>
      <w:r>
        <w:rPr>
          <w:rFonts w:hint="eastAsia" w:ascii="Times New Roman" w:hAnsi="Times New Roman" w:eastAsia="方正仿宋_GBK" w:cs="Times New Roman"/>
          <w:sz w:val="32"/>
          <w:szCs w:val="32"/>
          <w:shd w:val="clear" w:color="auto" w:fill="FFFFFF"/>
          <w:lang w:val="en-US" w:eastAsia="zh-CN"/>
        </w:rPr>
        <w:t>688.44</w:t>
      </w:r>
      <w:r>
        <w:rPr>
          <w:rFonts w:hint="default" w:ascii="Times New Roman" w:hAnsi="Times New Roman" w:eastAsia="方正仿宋_GBK" w:cs="Times New Roman"/>
          <w:sz w:val="32"/>
          <w:szCs w:val="32"/>
          <w:shd w:val="clear" w:color="auto" w:fill="FFFFFF"/>
          <w:lang w:val="en-US" w:eastAsia="zh-CN"/>
        </w:rPr>
        <w:t>万元，占政府采购支出总额的100.00 %。主要用于采购</w:t>
      </w:r>
      <w:r>
        <w:rPr>
          <w:rFonts w:hint="eastAsia" w:ascii="Times New Roman" w:hAnsi="Times New Roman" w:eastAsia="方正仿宋_GBK" w:cs="Times New Roman"/>
          <w:sz w:val="32"/>
          <w:szCs w:val="32"/>
          <w:shd w:val="clear" w:color="auto" w:fill="FFFFFF"/>
          <w:lang w:val="en-US" w:eastAsia="zh-CN"/>
        </w:rPr>
        <w:t>办公电脑、桌椅以及平马智慧茶园采购项目。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eastAsia" w:ascii="Times New Roman" w:hAnsi="Times New Roman" w:eastAsia="方正黑体_GBK" w:cs="Times New Roman"/>
          <w:b w:val="0"/>
          <w:bCs/>
          <w:sz w:val="32"/>
          <w:szCs w:val="32"/>
          <w:shd w:val="clear" w:color="auto" w:fill="FFFFFF"/>
          <w:lang w:val="en-US" w:eastAsia="zh-CN"/>
        </w:rPr>
        <w:t>五、</w:t>
      </w:r>
      <w:r>
        <w:rPr>
          <w:rStyle w:val="11"/>
          <w:rFonts w:hint="default" w:ascii="Times New Roman" w:hAnsi="Times New Roman" w:eastAsia="方正黑体_GBK" w:cs="Times New Roman"/>
          <w:b w:val="0"/>
          <w:bCs/>
          <w:sz w:val="32"/>
          <w:szCs w:val="32"/>
          <w:shd w:val="clear" w:color="auto" w:fill="FFFFFF"/>
          <w:lang w:val="en-US" w:eastAsia="zh-CN"/>
        </w:rPr>
        <w:t>预算绩效管理情况说明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（一）部门自评情况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sectPr>
          <w:footerReference r:id="rId5"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rPr>
        <w:t>根据预算绩效管理要求，我部门对部门整体和0个一级项目、137个二级项目开展了绩效自评，涉及财政拨款项目支出资金5717.50万元</w:t>
      </w:r>
      <w:r>
        <w:rPr>
          <w:rFonts w:hint="eastAsia" w:ascii="方正仿宋_GBK" w:hAnsi="方正仿宋_GBK" w:eastAsia="方正仿宋_GBK" w:cs="方正仿宋_GBK"/>
          <w:sz w:val="32"/>
          <w:szCs w:val="32"/>
          <w:shd w:val="clear" w:color="auto" w:fill="FFFFFF"/>
          <w:lang w:val="en-US" w:eastAsia="zh-CN" w:bidi="ar-SA"/>
        </w:rPr>
        <w:t>。</w:t>
      </w:r>
      <w:r>
        <w:commentReference w:id="7"/>
      </w:r>
    </w:p>
    <w:tbl>
      <w:tblPr>
        <w:tblW w:w="12960" w:type="dxa"/>
        <w:tblInd w:w="0" w:type="dxa"/>
        <w:shd w:val="clear"/>
        <w:tblLayout w:type="fixed"/>
        <w:tblCellMar>
          <w:top w:w="0" w:type="dxa"/>
          <w:left w:w="0" w:type="dxa"/>
          <w:bottom w:w="0" w:type="dxa"/>
          <w:right w:w="0" w:type="dxa"/>
        </w:tblCellMar>
      </w:tblPr>
      <w:tblGrid>
        <w:gridCol w:w="1080"/>
        <w:gridCol w:w="1080"/>
        <w:gridCol w:w="1080"/>
        <w:gridCol w:w="1080"/>
        <w:gridCol w:w="1080"/>
        <w:gridCol w:w="1080"/>
        <w:gridCol w:w="1080"/>
        <w:gridCol w:w="1080"/>
        <w:gridCol w:w="1080"/>
        <w:gridCol w:w="1080"/>
        <w:gridCol w:w="1080"/>
        <w:gridCol w:w="1080"/>
      </w:tblGrid>
      <w:tr>
        <w:tblPrEx>
          <w:shd w:val="clear"/>
          <w:tblLayout w:type="fixed"/>
          <w:tblCellMar>
            <w:top w:w="0" w:type="dxa"/>
            <w:left w:w="0" w:type="dxa"/>
            <w:bottom w:w="0" w:type="dxa"/>
            <w:right w:w="0" w:type="dxa"/>
          </w:tblCellMar>
        </w:tblPrEx>
        <w:trPr>
          <w:trHeight w:val="540" w:hRule="atLeast"/>
        </w:trPr>
        <w:tc>
          <w:tcPr>
            <w:tcW w:w="12960" w:type="dxa"/>
            <w:gridSpan w:val="12"/>
            <w:tcBorders>
              <w:top w:val="nil"/>
              <w:left w:val="nil"/>
              <w:bottom w:val="nil"/>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0"/>
                <w:szCs w:val="40"/>
                <w:u w:val="none"/>
              </w:rPr>
            </w:pPr>
            <w:r>
              <w:rPr>
                <w:rFonts w:hint="default" w:ascii="方正小标宋_GBK" w:hAnsi="方正小标宋_GBK" w:eastAsia="方正小标宋_GBK" w:cs="方正小标宋_GBK"/>
                <w:b/>
                <w:i w:val="0"/>
                <w:color w:val="000000"/>
                <w:kern w:val="0"/>
                <w:sz w:val="40"/>
                <w:szCs w:val="40"/>
                <w:u w:val="none"/>
                <w:bdr w:val="none" w:color="auto" w:sz="0" w:space="0"/>
                <w:lang w:val="en-US" w:eastAsia="zh-CN" w:bidi="ar"/>
              </w:rPr>
              <w:t>洪安镇人民政府2023年度部门整体绩效自评表</w:t>
            </w:r>
          </w:p>
        </w:tc>
      </w:tr>
      <w:tr>
        <w:tblPrEx>
          <w:tblLayout w:type="fixed"/>
          <w:tblCellMar>
            <w:top w:w="0" w:type="dxa"/>
            <w:left w:w="0" w:type="dxa"/>
            <w:bottom w:w="0" w:type="dxa"/>
            <w:right w:w="0" w:type="dxa"/>
          </w:tblCellMar>
        </w:tblPrEx>
        <w:trPr>
          <w:trHeight w:val="600" w:hRule="atLeast"/>
        </w:trPr>
        <w:tc>
          <w:tcPr>
            <w:tcW w:w="2160" w:type="dxa"/>
            <w:gridSpan w:val="2"/>
            <w:tcBorders>
              <w:top w:val="single" w:color="000000" w:sz="8" w:space="0"/>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主管部门</w:t>
            </w:r>
          </w:p>
        </w:tc>
        <w:tc>
          <w:tcPr>
            <w:tcW w:w="3240" w:type="dxa"/>
            <w:gridSpan w:val="3"/>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w:t>
            </w:r>
            <w:r>
              <w:rPr>
                <w:rStyle w:val="23"/>
                <w:bdr w:val="none" w:color="auto" w:sz="0" w:space="0"/>
                <w:lang w:val="en-US" w:eastAsia="zh-CN" w:bidi="ar"/>
              </w:rPr>
              <w:t>11</w:t>
            </w:r>
            <w:r>
              <w:rPr>
                <w:rFonts w:hint="default" w:ascii="Times New Roman" w:hAnsi="Times New Roman" w:eastAsia="宋体" w:cs="Times New Roman"/>
                <w:i w:val="0"/>
                <w:color w:val="000000"/>
                <w:kern w:val="0"/>
                <w:sz w:val="22"/>
                <w:szCs w:val="22"/>
                <w:u w:val="none"/>
                <w:bdr w:val="none" w:color="auto" w:sz="0" w:space="0"/>
                <w:lang w:val="en-US" w:eastAsia="zh-CN" w:bidi="ar"/>
              </w:rPr>
              <w:t>-</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秀山土家族苗族自治县洪安镇人民政府</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部门编码</w:t>
            </w:r>
          </w:p>
        </w:tc>
        <w:tc>
          <w:tcPr>
            <w:tcW w:w="216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811</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自评总分（分</w:t>
            </w:r>
            <w:r>
              <w:rPr>
                <w:rFonts w:hint="default" w:ascii="Times New Roman" w:hAnsi="Times New Roman" w:eastAsia="方正仿宋_GBK" w:cs="Times New Roman"/>
                <w:i w:val="0"/>
                <w:color w:val="000000"/>
                <w:kern w:val="0"/>
                <w:sz w:val="22"/>
                <w:szCs w:val="22"/>
                <w:u w:val="none"/>
                <w:bdr w:val="none" w:color="auto" w:sz="0" w:space="0"/>
                <w:lang w:val="en-US" w:eastAsia="zh-CN" w:bidi="ar"/>
              </w:rPr>
              <w:t>)</w:t>
            </w:r>
          </w:p>
        </w:tc>
        <w:tc>
          <w:tcPr>
            <w:tcW w:w="3240" w:type="dxa"/>
            <w:gridSpan w:val="3"/>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98.33</w:t>
            </w:r>
          </w:p>
        </w:tc>
      </w:tr>
      <w:tr>
        <w:tblPrEx>
          <w:shd w:val="clear"/>
          <w:tblLayout w:type="fixed"/>
          <w:tblCellMar>
            <w:top w:w="0" w:type="dxa"/>
            <w:left w:w="0" w:type="dxa"/>
            <w:bottom w:w="0" w:type="dxa"/>
            <w:right w:w="0" w:type="dxa"/>
          </w:tblCellMar>
        </w:tblPrEx>
        <w:trPr>
          <w:trHeight w:val="330" w:hRule="atLeast"/>
        </w:trPr>
        <w:tc>
          <w:tcPr>
            <w:tcW w:w="2160" w:type="dxa"/>
            <w:gridSpan w:val="2"/>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部门联系人</w:t>
            </w:r>
          </w:p>
        </w:tc>
        <w:tc>
          <w:tcPr>
            <w:tcW w:w="6480" w:type="dxa"/>
            <w:gridSpan w:val="6"/>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彭瑾</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联系电话</w:t>
            </w:r>
          </w:p>
        </w:tc>
        <w:tc>
          <w:tcPr>
            <w:tcW w:w="3240" w:type="dxa"/>
            <w:gridSpan w:val="3"/>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023-7662</w:t>
            </w:r>
            <w:r>
              <w:rPr>
                <w:rStyle w:val="23"/>
                <w:bdr w:val="none" w:color="auto" w:sz="0" w:space="0"/>
                <w:lang w:val="en-US" w:eastAsia="zh-CN" w:bidi="ar"/>
              </w:rPr>
              <w:t>9008</w:t>
            </w:r>
          </w:p>
        </w:tc>
      </w:tr>
      <w:tr>
        <w:tblPrEx>
          <w:tblLayout w:type="fixed"/>
          <w:tblCellMar>
            <w:top w:w="0" w:type="dxa"/>
            <w:left w:w="0" w:type="dxa"/>
            <w:bottom w:w="0" w:type="dxa"/>
            <w:right w:w="0" w:type="dxa"/>
          </w:tblCellMar>
        </w:tblPrEx>
        <w:trPr>
          <w:trHeight w:val="90" w:hRule="atLeast"/>
        </w:trPr>
        <w:tc>
          <w:tcPr>
            <w:tcW w:w="3240" w:type="dxa"/>
            <w:gridSpan w:val="3"/>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年初预算数</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全年（调整）预算数</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全年执行数</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执行率</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执行率权重</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执行率得分</w:t>
            </w:r>
          </w:p>
        </w:tc>
      </w:tr>
      <w:tr>
        <w:tblPrEx>
          <w:tblLayout w:type="fixed"/>
          <w:tblCellMar>
            <w:top w:w="0" w:type="dxa"/>
            <w:left w:w="0" w:type="dxa"/>
            <w:bottom w:w="0" w:type="dxa"/>
            <w:right w:w="0" w:type="dxa"/>
          </w:tblCellMar>
        </w:tblPrEx>
        <w:trPr>
          <w:trHeight w:val="330" w:hRule="atLeast"/>
        </w:trPr>
        <w:tc>
          <w:tcPr>
            <w:tcW w:w="3240" w:type="dxa"/>
            <w:gridSpan w:val="3"/>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年度总金额</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27734748.88</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87147323.53</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72592681.3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330" w:hRule="atLeast"/>
        </w:trPr>
        <w:tc>
          <w:tcPr>
            <w:tcW w:w="3240" w:type="dxa"/>
            <w:gridSpan w:val="3"/>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其中：财政拨款</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27734748.88</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87147323.53</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72592681.3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83.29</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8.32</w:t>
            </w:r>
          </w:p>
        </w:tc>
      </w:tr>
      <w:tr>
        <w:tblPrEx>
          <w:tblLayout w:type="fixed"/>
          <w:tblCellMar>
            <w:top w:w="0" w:type="dxa"/>
            <w:left w:w="0" w:type="dxa"/>
            <w:bottom w:w="0" w:type="dxa"/>
            <w:right w:w="0" w:type="dxa"/>
          </w:tblCellMar>
        </w:tblPrEx>
        <w:trPr>
          <w:trHeight w:val="330" w:hRule="atLeast"/>
        </w:trPr>
        <w:tc>
          <w:tcPr>
            <w:tcW w:w="3240" w:type="dxa"/>
            <w:gridSpan w:val="3"/>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一般公共预算</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27339606.88</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53512181.53</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43334039.3</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80.97</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1080" w:type="dxa"/>
            <w:tcBorders>
              <w:top w:val="nil"/>
              <w:left w:val="single" w:color="000000" w:sz="8" w:space="0"/>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bdr w:val="none" w:color="auto" w:sz="0" w:space="0"/>
                <w:lang w:val="en-US" w:eastAsia="zh-CN" w:bidi="ar"/>
              </w:rPr>
              <w:t>当年绩效目标</w:t>
            </w:r>
          </w:p>
        </w:tc>
        <w:tc>
          <w:tcPr>
            <w:tcW w:w="4320" w:type="dxa"/>
            <w:gridSpan w:val="4"/>
            <w:tcBorders>
              <w:top w:val="nil"/>
              <w:left w:val="nil"/>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年初绩效目标</w:t>
            </w:r>
          </w:p>
        </w:tc>
        <w:tc>
          <w:tcPr>
            <w:tcW w:w="4320" w:type="dxa"/>
            <w:gridSpan w:val="4"/>
            <w:tcBorders>
              <w:top w:val="nil"/>
              <w:left w:val="nil"/>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全年（调整）绩效目标</w:t>
            </w:r>
          </w:p>
        </w:tc>
        <w:tc>
          <w:tcPr>
            <w:tcW w:w="3240" w:type="dxa"/>
            <w:gridSpan w:val="3"/>
            <w:tcBorders>
              <w:top w:val="nil"/>
              <w:left w:val="nil"/>
              <w:bottom w:val="single" w:color="auto"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全年目标实际完成情况</w:t>
            </w:r>
          </w:p>
        </w:tc>
      </w:tr>
      <w:tr>
        <w:tblPrEx>
          <w:shd w:val="clear"/>
          <w:tblLayout w:type="fixed"/>
          <w:tblCellMar>
            <w:top w:w="0" w:type="dxa"/>
            <w:left w:w="0" w:type="dxa"/>
            <w:bottom w:w="0" w:type="dxa"/>
            <w:right w:w="0" w:type="dxa"/>
          </w:tblCellMar>
        </w:tblPrEx>
        <w:trPr>
          <w:trHeight w:val="1125" w:hRule="atLeast"/>
        </w:trPr>
        <w:tc>
          <w:tcPr>
            <w:tcW w:w="1080" w:type="dxa"/>
            <w:vMerge w:val="restart"/>
            <w:tcBorders>
              <w:top w:val="single" w:color="auto" w:sz="4" w:space="0"/>
              <w:left w:val="single" w:color="auto" w:sz="4" w:space="0"/>
              <w:bottom w:val="single" w:color="auto" w:sz="4"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single" w:color="auto" w:sz="4" w:space="0"/>
              <w:left w:val="nil"/>
              <w:bottom w:val="single" w:color="auto" w:sz="4"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、负责组织和管理街道财政收入和支出，编制执行街道年度财政预算，监督街道部门预算执行，编制财政决算；</w:t>
            </w:r>
          </w:p>
        </w:tc>
        <w:tc>
          <w:tcPr>
            <w:tcW w:w="4320" w:type="dxa"/>
            <w:gridSpan w:val="4"/>
            <w:tcBorders>
              <w:top w:val="single" w:color="auto" w:sz="4" w:space="0"/>
              <w:left w:val="nil"/>
              <w:bottom w:val="single" w:color="auto" w:sz="4"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、负责组织和管理街道财政收入和支出，编制执行街道年度财政预算，监督街道部门预算执行，编制财政决算；</w:t>
            </w:r>
          </w:p>
        </w:tc>
        <w:tc>
          <w:tcPr>
            <w:tcW w:w="3240" w:type="dxa"/>
            <w:gridSpan w:val="3"/>
            <w:tcBorders>
              <w:top w:val="single" w:color="auto" w:sz="4" w:space="0"/>
              <w:left w:val="nil"/>
              <w:bottom w:val="single" w:color="auto" w:sz="4" w:space="0"/>
              <w:right w:val="single" w:color="auto" w:sz="4"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、负责组织和管理街道财政收入和支出，编制执行街道年度财政预算，监督街道部门预算执行，编制财政决算；</w:t>
            </w:r>
          </w:p>
        </w:tc>
      </w:tr>
      <w:tr>
        <w:tblPrEx>
          <w:shd w:val="clear"/>
          <w:tblLayout w:type="fixed"/>
          <w:tblCellMar>
            <w:top w:w="0" w:type="dxa"/>
            <w:left w:w="0" w:type="dxa"/>
            <w:bottom w:w="0" w:type="dxa"/>
            <w:right w:w="0" w:type="dxa"/>
          </w:tblCellMar>
        </w:tblPrEx>
        <w:trPr>
          <w:trHeight w:val="1695" w:hRule="atLeast"/>
        </w:trPr>
        <w:tc>
          <w:tcPr>
            <w:tcW w:w="1080" w:type="dxa"/>
            <w:vMerge w:val="continue"/>
            <w:tcBorders>
              <w:top w:val="single" w:color="auto" w:sz="4" w:space="0"/>
              <w:left w:val="single" w:color="auto" w:sz="4" w:space="0"/>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single" w:color="auto" w:sz="4" w:space="0"/>
              <w:left w:val="nil"/>
              <w:bottom w:val="single" w:color="auto" w:sz="4"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、负责对街道国有资产的购置、登记、处置进行管理；保障我部门在职职工</w:t>
            </w:r>
            <w:r>
              <w:rPr>
                <w:rFonts w:hint="default" w:ascii="Times New Roman" w:hAnsi="Times New Roman" w:eastAsia="宋体" w:cs="Times New Roman"/>
                <w:i w:val="0"/>
                <w:color w:val="000000"/>
                <w:kern w:val="0"/>
                <w:sz w:val="22"/>
                <w:szCs w:val="22"/>
                <w:u w:val="none"/>
                <w:bdr w:val="none" w:color="auto" w:sz="0" w:space="0"/>
                <w:lang w:val="en-US" w:eastAsia="zh-CN" w:bidi="ar"/>
              </w:rPr>
              <w:t>35</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人，退休职工</w:t>
            </w:r>
            <w:r>
              <w:rPr>
                <w:rFonts w:hint="default" w:ascii="Times New Roman" w:hAnsi="Times New Roman" w:eastAsia="宋体" w:cs="Times New Roman"/>
                <w:i w:val="0"/>
                <w:color w:val="000000"/>
                <w:kern w:val="0"/>
                <w:sz w:val="22"/>
                <w:szCs w:val="22"/>
                <w:u w:val="none"/>
                <w:bdr w:val="none" w:color="auto" w:sz="0" w:space="0"/>
                <w:lang w:val="en-US" w:eastAsia="zh-CN" w:bidi="ar"/>
              </w:rPr>
              <w:t>11</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人的正常办公、生活秩序，做好干部的教育、培养、选拔和监督工作；</w:t>
            </w:r>
          </w:p>
        </w:tc>
        <w:tc>
          <w:tcPr>
            <w:tcW w:w="4320" w:type="dxa"/>
            <w:gridSpan w:val="4"/>
            <w:tcBorders>
              <w:top w:val="single" w:color="auto" w:sz="4" w:space="0"/>
              <w:left w:val="nil"/>
              <w:bottom w:val="single" w:color="auto" w:sz="4"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、负责对街道国有资产的购置、登记、处置进行管理；保障我部门在职职工</w:t>
            </w:r>
            <w:r>
              <w:rPr>
                <w:rFonts w:hint="default" w:ascii="Times New Roman" w:hAnsi="Times New Roman" w:eastAsia="宋体" w:cs="Times New Roman"/>
                <w:i w:val="0"/>
                <w:color w:val="000000"/>
                <w:kern w:val="0"/>
                <w:sz w:val="22"/>
                <w:szCs w:val="22"/>
                <w:u w:val="none"/>
                <w:bdr w:val="none" w:color="auto" w:sz="0" w:space="0"/>
                <w:lang w:val="en-US" w:eastAsia="zh-CN" w:bidi="ar"/>
              </w:rPr>
              <w:t>35</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人，退休职工</w:t>
            </w:r>
            <w:r>
              <w:rPr>
                <w:rFonts w:hint="default" w:ascii="Times New Roman" w:hAnsi="Times New Roman" w:eastAsia="宋体" w:cs="Times New Roman"/>
                <w:i w:val="0"/>
                <w:color w:val="000000"/>
                <w:kern w:val="0"/>
                <w:sz w:val="22"/>
                <w:szCs w:val="22"/>
                <w:u w:val="none"/>
                <w:bdr w:val="none" w:color="auto" w:sz="0" w:space="0"/>
                <w:lang w:val="en-US" w:eastAsia="zh-CN" w:bidi="ar"/>
              </w:rPr>
              <w:t>11</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人的正常办公、生活秩序，做好干部的教育、培养、选拔和监督工作；</w:t>
            </w:r>
          </w:p>
        </w:tc>
        <w:tc>
          <w:tcPr>
            <w:tcW w:w="3240" w:type="dxa"/>
            <w:gridSpan w:val="3"/>
            <w:tcBorders>
              <w:top w:val="single" w:color="auto" w:sz="4" w:space="0"/>
              <w:left w:val="nil"/>
              <w:bottom w:val="single" w:color="auto" w:sz="4"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、负责对街道国有资产的购置、登记、处置进行管理；保障我部门在职职工</w:t>
            </w:r>
            <w:r>
              <w:rPr>
                <w:rFonts w:hint="default" w:ascii="Times New Roman" w:hAnsi="Times New Roman" w:eastAsia="宋体" w:cs="Times New Roman"/>
                <w:i w:val="0"/>
                <w:color w:val="000000"/>
                <w:kern w:val="0"/>
                <w:sz w:val="22"/>
                <w:szCs w:val="22"/>
                <w:u w:val="none"/>
                <w:bdr w:val="none" w:color="auto" w:sz="0" w:space="0"/>
                <w:lang w:val="en-US" w:eastAsia="zh-CN" w:bidi="ar"/>
              </w:rPr>
              <w:t>35</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人，退休职工</w:t>
            </w:r>
            <w:r>
              <w:rPr>
                <w:rFonts w:hint="default" w:ascii="Times New Roman" w:hAnsi="Times New Roman" w:eastAsia="宋体" w:cs="Times New Roman"/>
                <w:i w:val="0"/>
                <w:color w:val="000000"/>
                <w:kern w:val="0"/>
                <w:sz w:val="22"/>
                <w:szCs w:val="22"/>
                <w:u w:val="none"/>
                <w:bdr w:val="none" w:color="auto" w:sz="0" w:space="0"/>
                <w:lang w:val="en-US" w:eastAsia="zh-CN" w:bidi="ar"/>
              </w:rPr>
              <w:t>11</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人的正常办公、生活秩序，做好干部的教育、培养、选拔和监督工作；</w:t>
            </w:r>
          </w:p>
        </w:tc>
      </w:tr>
      <w:tr>
        <w:tblPrEx>
          <w:tblLayout w:type="fixed"/>
          <w:tblCellMar>
            <w:top w:w="0" w:type="dxa"/>
            <w:left w:w="0" w:type="dxa"/>
            <w:bottom w:w="0" w:type="dxa"/>
            <w:right w:w="0" w:type="dxa"/>
          </w:tblCellMar>
        </w:tblPrEx>
        <w:trPr>
          <w:trHeight w:val="855" w:hRule="atLeast"/>
        </w:trPr>
        <w:tc>
          <w:tcPr>
            <w:tcW w:w="1080" w:type="dxa"/>
            <w:vMerge w:val="continue"/>
            <w:tcBorders>
              <w:top w:val="nil"/>
              <w:left w:val="single" w:color="auto" w:sz="4" w:space="0"/>
              <w:bottom w:val="single" w:color="000000" w:sz="8" w:space="0"/>
              <w:right w:val="single" w:color="auto" w:sz="4" w:space="0"/>
            </w:tcBorders>
            <w:shd w:val="clear"/>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single" w:color="auto" w:sz="4" w:space="0"/>
              <w:left w:val="single" w:color="auto" w:sz="4" w:space="0"/>
              <w:bottom w:val="nil"/>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、贯彻执行上级的各项方针政策，抓好基层党建及扶贫工作，稳定和完善政府各项决策部署；</w:t>
            </w:r>
          </w:p>
        </w:tc>
        <w:tc>
          <w:tcPr>
            <w:tcW w:w="4320" w:type="dxa"/>
            <w:gridSpan w:val="4"/>
            <w:tcBorders>
              <w:top w:val="single" w:color="auto" w:sz="4" w:space="0"/>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、贯彻执行上级的各项方针政策，抓好基层党建及扶贫工作，稳定和完善政府各项决策部署；</w:t>
            </w:r>
          </w:p>
        </w:tc>
        <w:tc>
          <w:tcPr>
            <w:tcW w:w="3240" w:type="dxa"/>
            <w:gridSpan w:val="3"/>
            <w:tcBorders>
              <w:top w:val="single" w:color="auto" w:sz="4" w:space="0"/>
              <w:left w:val="nil"/>
              <w:bottom w:val="nil"/>
              <w:right w:val="single" w:color="auto" w:sz="4"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3</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、贯彻执行上级的各项方针政策，抓好基层党建及扶贫工作，稳定和完善政府各项决策部署；</w:t>
            </w:r>
          </w:p>
        </w:tc>
      </w:tr>
      <w:tr>
        <w:tblPrEx>
          <w:tblLayout w:type="fixed"/>
          <w:tblCellMar>
            <w:top w:w="0" w:type="dxa"/>
            <w:left w:w="0" w:type="dxa"/>
            <w:bottom w:w="0" w:type="dxa"/>
            <w:right w:w="0" w:type="dxa"/>
          </w:tblCellMar>
        </w:tblPrEx>
        <w:trPr>
          <w:trHeight w:val="7305" w:hRule="atLeast"/>
        </w:trPr>
        <w:tc>
          <w:tcPr>
            <w:tcW w:w="1080" w:type="dxa"/>
            <w:vMerge w:val="continue"/>
            <w:tcBorders>
              <w:top w:val="nil"/>
              <w:left w:val="single" w:color="auto" w:sz="4" w:space="0"/>
              <w:bottom w:val="single" w:color="000000" w:sz="8" w:space="0"/>
              <w:right w:val="single" w:color="auto" w:sz="4" w:space="0"/>
            </w:tcBorders>
            <w:shd w:val="clear"/>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nil"/>
              <w:left w:val="single" w:color="auto" w:sz="4" w:space="0"/>
              <w:bottom w:val="single" w:color="auto" w:sz="4"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、抓好本街道领域农业、工业经济、第三产业的发展、安全生产、经济可持续发展、征地拆迁、信访维稳等工作，落实计划生育基本国策，推动优生优育，加强计划生育奖扶政策的落实；</w:t>
            </w: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                                                                                                                            5</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、做好民政行政工作的管理，发展社会福利事业，做好社会保障工作，及时发放、兑现义务兵优待金及其他优抚对象等补贴，进一步做好征兵工作，激励广大士兵安心服役、献身国防。</w:t>
            </w:r>
          </w:p>
        </w:tc>
        <w:tc>
          <w:tcPr>
            <w:tcW w:w="4320" w:type="dxa"/>
            <w:gridSpan w:val="4"/>
            <w:tcBorders>
              <w:top w:val="nil"/>
              <w:left w:val="nil"/>
              <w:bottom w:val="single" w:color="auto" w:sz="4"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、抓好本街道领域农业、工业经济、第三产业的发展、安全生产、经济可持续发展、征地拆迁、信访维稳等工作，落实计划生育基本国策，推动优生优育，加强计划生育奖扶政策的落实；</w:t>
            </w: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                                                                                                                            5</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、做好民政行政工作的管理，发展社会福利事业，做好社会保障工作，及时发放、兑现义务兵优待金及其他优抚对象等补贴，进一步做好征兵工作，激励广大士兵安心服役、献身国防。</w:t>
            </w:r>
          </w:p>
        </w:tc>
        <w:tc>
          <w:tcPr>
            <w:tcW w:w="3240" w:type="dxa"/>
            <w:gridSpan w:val="3"/>
            <w:tcBorders>
              <w:top w:val="nil"/>
              <w:left w:val="nil"/>
              <w:bottom w:val="single" w:color="auto" w:sz="4" w:space="0"/>
              <w:right w:val="single" w:color="auto" w:sz="4"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4</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、抓好本街道领域农业、工业经济、第三产业的发展、安全生产、经济可持续发展、征地拆迁、信访维稳等工作，落实计划生育基本国策，推动优生优育，加强计划生育奖扶政策的落实；</w:t>
            </w:r>
            <w:r>
              <w:rPr>
                <w:rFonts w:hint="default" w:ascii="Times New Roman" w:hAnsi="Times New Roman" w:eastAsia="宋体" w:cs="Times New Roman"/>
                <w:i w:val="0"/>
                <w:color w:val="000000"/>
                <w:kern w:val="0"/>
                <w:sz w:val="22"/>
                <w:szCs w:val="22"/>
                <w:u w:val="none"/>
                <w:bdr w:val="none" w:color="auto" w:sz="0" w:space="0"/>
                <w:lang w:val="en-US" w:eastAsia="zh-CN" w:bidi="ar"/>
              </w:rPr>
              <w:t xml:space="preserve">                                                                                                                            5</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、做好民政行政工作的管理，发展社会福利事业，做好社会保障工作，及时发放、兑现义务兵优待金及其他优抚对象等补贴，进一步做好征兵工作，激励广大士兵安心服役、献身国防。</w:t>
            </w:r>
          </w:p>
        </w:tc>
      </w:tr>
      <w:tr>
        <w:tblPrEx>
          <w:shd w:val="clear"/>
          <w:tblLayout w:type="fixed"/>
          <w:tblCellMar>
            <w:top w:w="0" w:type="dxa"/>
            <w:left w:w="0" w:type="dxa"/>
            <w:bottom w:w="0" w:type="dxa"/>
            <w:right w:w="0" w:type="dxa"/>
          </w:tblCellMar>
        </w:tblPrEx>
        <w:trPr>
          <w:trHeight w:val="1125" w:hRule="atLeast"/>
        </w:trPr>
        <w:tc>
          <w:tcPr>
            <w:tcW w:w="1080" w:type="dxa"/>
            <w:vMerge w:val="continue"/>
            <w:tcBorders>
              <w:top w:val="nil"/>
              <w:left w:val="single" w:color="auto" w:sz="4" w:space="0"/>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single" w:color="auto" w:sz="4" w:space="0"/>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、保障社区组织的正常运转，维护社会稳定，落实党的政策和法律法规，促进社区各项事业的发展，提高社区居民幸福指数。</w:t>
            </w:r>
          </w:p>
        </w:tc>
        <w:tc>
          <w:tcPr>
            <w:tcW w:w="4320" w:type="dxa"/>
            <w:gridSpan w:val="4"/>
            <w:tcBorders>
              <w:top w:val="single" w:color="auto" w:sz="4" w:space="0"/>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、保障社区组织的正常运转，维护社会稳定，落实党的政策和法律法规，促进社区各项事业的发展，提高社区居民幸福指数。</w:t>
            </w:r>
          </w:p>
        </w:tc>
        <w:tc>
          <w:tcPr>
            <w:tcW w:w="3240" w:type="dxa"/>
            <w:gridSpan w:val="3"/>
            <w:tcBorders>
              <w:top w:val="single" w:color="auto" w:sz="4" w:space="0"/>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6</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、保障社区组织的正常运转，维护社会稳定，落实党的政策和法律法规，促进社区各项事业的发展，提高社区居民幸福指数。</w:t>
            </w:r>
          </w:p>
        </w:tc>
      </w:tr>
      <w:tr>
        <w:tblPrEx>
          <w:tblLayout w:type="fixed"/>
          <w:tblCellMar>
            <w:top w:w="0" w:type="dxa"/>
            <w:left w:w="0" w:type="dxa"/>
            <w:bottom w:w="0" w:type="dxa"/>
            <w:right w:w="0" w:type="dxa"/>
          </w:tblCellMar>
        </w:tblPrEx>
        <w:trPr>
          <w:trHeight w:val="1125" w:hRule="atLeast"/>
        </w:trPr>
        <w:tc>
          <w:tcPr>
            <w:tcW w:w="1080" w:type="dxa"/>
            <w:vMerge w:val="continue"/>
            <w:tcBorders>
              <w:top w:val="nil"/>
              <w:left w:val="single" w:color="auto" w:sz="4" w:space="0"/>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nil"/>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、保障辖区内道路正常通行，提高社区居民交通便捷性，按时发放背街小巷清运人员的工资，维护各社区环境卫生。</w:t>
            </w:r>
          </w:p>
        </w:tc>
        <w:tc>
          <w:tcPr>
            <w:tcW w:w="4320" w:type="dxa"/>
            <w:gridSpan w:val="4"/>
            <w:tcBorders>
              <w:top w:val="nil"/>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、保障辖区内道路正常通行，提高社区居民交通便捷性，按时发放背街小巷清运人员的工资，维护各社区环境卫生。</w:t>
            </w:r>
          </w:p>
        </w:tc>
        <w:tc>
          <w:tcPr>
            <w:tcW w:w="3240" w:type="dxa"/>
            <w:gridSpan w:val="3"/>
            <w:tcBorders>
              <w:top w:val="nil"/>
              <w:left w:val="nil"/>
              <w:bottom w:val="nil"/>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7</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、保障辖区内道路正常通行，提高社区居民交通便捷性，按时发放背街小巷清运人员的工资，维护各社区环境卫生。</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auto" w:sz="4" w:space="0"/>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、认真完成上级主管部门交办的其他事项。</w:t>
            </w:r>
            <w:r>
              <w:rPr>
                <w:rStyle w:val="23"/>
                <w:bdr w:val="none" w:color="auto" w:sz="0" w:space="0"/>
                <w:lang w:val="en-US" w:eastAsia="zh-CN" w:bidi="ar"/>
              </w:rPr>
              <w:t xml:space="preserve">   </w:t>
            </w:r>
          </w:p>
        </w:tc>
        <w:tc>
          <w:tcPr>
            <w:tcW w:w="4320" w:type="dxa"/>
            <w:gridSpan w:val="4"/>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、认真完成上级主管部门交办的其他事项。</w:t>
            </w:r>
            <w:r>
              <w:rPr>
                <w:rStyle w:val="23"/>
                <w:bdr w:val="none" w:color="auto" w:sz="0" w:space="0"/>
                <w:lang w:val="en-US" w:eastAsia="zh-CN" w:bidi="ar"/>
              </w:rPr>
              <w:t xml:space="preserve">   </w:t>
            </w:r>
          </w:p>
        </w:tc>
        <w:tc>
          <w:tcPr>
            <w:tcW w:w="3240" w:type="dxa"/>
            <w:gridSpan w:val="3"/>
            <w:tcBorders>
              <w:top w:val="nil"/>
              <w:left w:val="nil"/>
              <w:bottom w:val="single" w:color="000000" w:sz="8" w:space="0"/>
              <w:right w:val="single" w:color="000000" w:sz="8" w:space="0"/>
            </w:tcBorders>
            <w:shd w:val="clear"/>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8</w:t>
            </w: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、认真完成上级主管部门交办的其他事项。</w:t>
            </w:r>
            <w:r>
              <w:rPr>
                <w:rStyle w:val="23"/>
                <w:bdr w:val="none" w:color="auto" w:sz="0" w:space="0"/>
                <w:lang w:val="en-US" w:eastAsia="zh-CN" w:bidi="ar"/>
              </w:rPr>
              <w:t xml:space="preserve">   </w:t>
            </w:r>
          </w:p>
        </w:tc>
      </w:tr>
      <w:tr>
        <w:tblPrEx>
          <w:tblLayout w:type="fixed"/>
          <w:tblCellMar>
            <w:top w:w="0" w:type="dxa"/>
            <w:left w:w="0" w:type="dxa"/>
            <w:bottom w:w="0" w:type="dxa"/>
            <w:right w:w="0"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绩效指标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指标名称</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计量部门</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指标性质</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指标值</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全年完成值</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偏离度（</w:t>
            </w:r>
            <w:r>
              <w:rPr>
                <w:rFonts w:hint="default" w:ascii="Times New Roman" w:hAnsi="Times New Roman" w:eastAsia="方正仿宋_GBK" w:cs="Times New Roman"/>
                <w:b/>
                <w:i w:val="0"/>
                <w:color w:val="000000"/>
                <w:kern w:val="0"/>
                <w:sz w:val="22"/>
                <w:szCs w:val="22"/>
                <w:u w:val="none"/>
                <w:bdr w:val="none" w:color="auto" w:sz="0" w:space="0"/>
                <w:lang w:val="en-US" w:eastAsia="zh-CN" w:bidi="ar"/>
              </w:rPr>
              <w:t>%</w:t>
            </w: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得分系数（</w:t>
            </w:r>
            <w:r>
              <w:rPr>
                <w:rFonts w:hint="default" w:ascii="Times New Roman" w:hAnsi="Times New Roman" w:eastAsia="方正仿宋_GBK" w:cs="Times New Roman"/>
                <w:b/>
                <w:i w:val="0"/>
                <w:color w:val="000000"/>
                <w:kern w:val="0"/>
                <w:sz w:val="22"/>
                <w:szCs w:val="22"/>
                <w:u w:val="none"/>
                <w:bdr w:val="none" w:color="auto" w:sz="0" w:space="0"/>
                <w:lang w:val="en-US" w:eastAsia="zh-CN" w:bidi="ar"/>
              </w:rPr>
              <w:t>%</w:t>
            </w: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指标权重</w:t>
            </w:r>
            <w:r>
              <w:rPr>
                <w:rFonts w:hint="default" w:ascii="Times New Roman" w:hAnsi="Times New Roman" w:eastAsia="方正仿宋_GBK" w:cs="Times New Roman"/>
                <w:b/>
                <w:i w:val="0"/>
                <w:color w:val="000000"/>
                <w:kern w:val="0"/>
                <w:sz w:val="22"/>
                <w:szCs w:val="22"/>
                <w:u w:val="none"/>
                <w:bdr w:val="none" w:color="auto" w:sz="0" w:space="0"/>
                <w:lang w:val="en-US" w:eastAsia="zh-CN" w:bidi="ar"/>
              </w:rPr>
              <w:t>(</w:t>
            </w:r>
            <w:r>
              <w:rPr>
                <w:rStyle w:val="24"/>
                <w:bdr w:val="none" w:color="auto" w:sz="0" w:space="0"/>
                <w:lang w:val="en-US" w:eastAsia="zh-CN" w:bidi="ar"/>
              </w:rPr>
              <w:t>分）</w:t>
            </w:r>
          </w:p>
        </w:tc>
        <w:tc>
          <w:tcPr>
            <w:tcW w:w="2160" w:type="dxa"/>
            <w:gridSpan w:val="2"/>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指标得分（分）</w:t>
            </w:r>
          </w:p>
        </w:tc>
        <w:tc>
          <w:tcPr>
            <w:tcW w:w="1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说明</w:t>
            </w:r>
          </w:p>
        </w:tc>
      </w:tr>
      <w:tr>
        <w:tblPrEx>
          <w:tblLayout w:type="fixed"/>
          <w:tblCellMar>
            <w:top w:w="0" w:type="dxa"/>
            <w:left w:w="0" w:type="dxa"/>
            <w:bottom w:w="0" w:type="dxa"/>
            <w:right w:w="0" w:type="dxa"/>
          </w:tblCellMar>
        </w:tblPrEx>
        <w:trPr>
          <w:trHeight w:val="840"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部门预决算按时公开率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r>
      <w:tr>
        <w:tblPrEx>
          <w:tblLayout w:type="fixed"/>
          <w:tblCellMar>
            <w:top w:w="0" w:type="dxa"/>
            <w:left w:w="0" w:type="dxa"/>
            <w:bottom w:w="0" w:type="dxa"/>
            <w:right w:w="0" w:type="dxa"/>
          </w:tblCellMar>
        </w:tblPrEx>
        <w:trPr>
          <w:trHeight w:val="570"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内部控制制度</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定性</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良</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r>
      <w:tr>
        <w:tblPrEx>
          <w:tblLayout w:type="fixed"/>
          <w:tblCellMar>
            <w:top w:w="0" w:type="dxa"/>
            <w:left w:w="0" w:type="dxa"/>
            <w:bottom w:w="0" w:type="dxa"/>
            <w:right w:w="0" w:type="dxa"/>
          </w:tblCellMar>
        </w:tblPrEx>
        <w:trPr>
          <w:trHeight w:val="840"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全年预算支出执行率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r>
      <w:tr>
        <w:tblPrEx>
          <w:tblLayout w:type="fixed"/>
          <w:tblCellMar>
            <w:top w:w="0" w:type="dxa"/>
            <w:left w:w="0" w:type="dxa"/>
            <w:bottom w:w="0" w:type="dxa"/>
            <w:right w:w="0" w:type="dxa"/>
          </w:tblCellMar>
        </w:tblPrEx>
        <w:trPr>
          <w:trHeight w:val="570"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账务处理及时率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20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r>
      <w:tr>
        <w:tblPrEx>
          <w:tblLayout w:type="fixed"/>
          <w:tblCellMar>
            <w:top w:w="0" w:type="dxa"/>
            <w:left w:w="0" w:type="dxa"/>
            <w:bottom w:w="0" w:type="dxa"/>
            <w:right w:w="0" w:type="dxa"/>
          </w:tblCellMar>
        </w:tblPrEx>
        <w:trPr>
          <w:trHeight w:val="1095"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政府预决算公开率（除涉密信息外）</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10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提高农户办事效率</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定性</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bdr w:val="none" w:color="auto" w:sz="0" w:space="0"/>
                <w:lang w:val="en-US" w:eastAsia="zh-CN" w:bidi="ar"/>
              </w:rPr>
              <w:t>有所增加</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2160" w:type="dxa"/>
            <w:gridSpan w:val="2"/>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080" w:type="dxa"/>
            <w:tcBorders>
              <w:top w:val="nil"/>
              <w:left w:val="nil"/>
              <w:bottom w:val="single" w:color="000000" w:sz="8" w:space="0"/>
              <w:right w:val="single" w:color="000000" w:sz="8"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bdr w:val="none" w:color="auto" w:sz="0" w:space="0"/>
                <w:lang w:val="en-US" w:eastAsia="zh-CN" w:bidi="ar"/>
              </w:rPr>
              <w:t>总体说明</w:t>
            </w:r>
          </w:p>
        </w:tc>
        <w:tc>
          <w:tcPr>
            <w:tcW w:w="11880" w:type="dxa"/>
            <w:gridSpan w:val="11"/>
            <w:tcBorders>
              <w:top w:val="nil"/>
              <w:left w:val="nil"/>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w:t>
            </w:r>
          </w:p>
        </w:tc>
      </w:tr>
    </w:tbl>
    <w:tbl>
      <w:tblPr>
        <w:tblStyle w:val="8"/>
        <w:tblpPr w:leftFromText="180" w:rightFromText="180" w:vertAnchor="text" w:horzAnchor="page" w:tblpX="1421" w:tblpY="1602"/>
        <w:tblOverlap w:val="never"/>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覆盖村居</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8</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w:t>
            </w:r>
            <w:bookmarkStart w:id="0" w:name="_GoBack"/>
            <w:bookmarkEnd w:id="0"/>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人居环境干净天数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365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天</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365</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 w:firstLineChars="200"/>
        <w:jc w:val="both"/>
        <w:textAlignment w:val="auto"/>
        <w:sectPr>
          <w:pgSz w:w="16840" w:h="11915" w:orient="landscape"/>
          <w:pgMar w:top="1587" w:right="2098" w:bottom="1474" w:left="1984" w:header="851" w:footer="992" w:gutter="0"/>
          <w:pgNumType w:fmt="numberInDash"/>
          <w:cols w:space="720" w:num="1"/>
          <w:docGrid w:type="lines" w:linePitch="312" w:charSpace="0"/>
        </w:sect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 w:firstLineChars="200"/>
        <w:jc w:val="both"/>
        <w:textAlignment w:val="auto"/>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1"/>
          <w:rFonts w:hint="eastAsia"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（二）部门绩效评价情况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我</w:t>
      </w:r>
      <w:r>
        <w:rPr>
          <w:rFonts w:hint="eastAsia" w:ascii="Times New Roman" w:hAnsi="Times New Roman" w:eastAsia="方正仿宋_GBK" w:cs="Times New Roman"/>
          <w:color w:val="auto"/>
          <w:sz w:val="32"/>
          <w:szCs w:val="32"/>
          <w:shd w:val="clear" w:color="auto" w:fill="FFFFFF"/>
          <w:lang w:val="zh-CN"/>
        </w:rPr>
        <w:t>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开展专业业务活动及其辅助活动取得的现金流入；事业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（十二）</w:t>
      </w:r>
      <w:r>
        <w:rPr>
          <w:rStyle w:val="11"/>
          <w:rFonts w:hint="eastAsia" w:ascii="Times New Roman" w:hAnsi="Times New Roman" w:eastAsia="方正楷体_GBK" w:cs="Times New Roman"/>
          <w:b w:val="0"/>
          <w:bCs/>
          <w:sz w:val="32"/>
          <w:szCs w:val="32"/>
          <w:shd w:val="clear" w:color="auto" w:fill="FFFFFF"/>
          <w:lang w:eastAsia="zh-CN"/>
        </w:rPr>
        <w:t>“</w:t>
      </w:r>
      <w:r>
        <w:rPr>
          <w:rStyle w:val="11"/>
          <w:rFonts w:hint="default" w:ascii="Times New Roman" w:hAnsi="Times New Roman" w:eastAsia="方正楷体_GBK" w:cs="Times New Roman"/>
          <w:b w:val="0"/>
          <w:bCs/>
          <w:sz w:val="32"/>
          <w:szCs w:val="32"/>
          <w:shd w:val="clear" w:color="auto" w:fill="FFFFFF"/>
        </w:rPr>
        <w:t>三公</w:t>
      </w:r>
      <w:r>
        <w:rPr>
          <w:rStyle w:val="11"/>
          <w:rFonts w:hint="eastAsia" w:ascii="Times New Roman" w:hAnsi="Times New Roman" w:eastAsia="方正楷体_GBK" w:cs="Times New Roman"/>
          <w:b w:val="0"/>
          <w:bCs/>
          <w:sz w:val="32"/>
          <w:szCs w:val="32"/>
          <w:shd w:val="clear" w:color="auto" w:fill="FFFFFF"/>
          <w:lang w:eastAsia="zh-CN"/>
        </w:rPr>
        <w:t>”</w:t>
      </w:r>
      <w:r>
        <w:rPr>
          <w:rStyle w:val="11"/>
          <w:rFonts w:hint="default" w:ascii="Times New Roman" w:hAnsi="Times New Roman" w:eastAsia="方正楷体_GBK" w:cs="Times New Roman"/>
          <w:b w:val="0"/>
          <w:bCs/>
          <w:sz w:val="32"/>
          <w:szCs w:val="32"/>
          <w:shd w:val="clear" w:color="auto" w:fill="FFFFFF"/>
        </w:rPr>
        <w:t>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11"/>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七、决算公开联系方式及信息反馈渠道</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Style w:val="11"/>
          <w:rFonts w:hint="default" w:ascii="方正仿宋_GBK" w:hAnsi="方正仿宋_GBK" w:eastAsia="方正仿宋_GBK" w:cs="方正仿宋_GBK"/>
          <w:sz w:val="32"/>
          <w:szCs w:val="32"/>
          <w:shd w:val="clear" w:color="auto" w:fill="FFFF00"/>
          <w:lang w:val="en-US" w:eastAsia="zh-CN"/>
        </w:rPr>
        <w:sectPr>
          <w:pgSz w:w="11915" w:h="16840"/>
          <w:pgMar w:top="2098" w:right="1474" w:bottom="1984" w:left="1587"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彭瑾 13996981502。</w:t>
      </w:r>
    </w:p>
    <w:p>
      <w:pPr>
        <w:rPr>
          <w:rFonts w:hint="default" w:cs="宋体"/>
          <w:sz w:val="21"/>
          <w:szCs w:val="21"/>
        </w:rPr>
      </w:pPr>
    </w:p>
    <w:tbl>
      <w:tblPr>
        <w:tblStyle w:val="8"/>
        <w:tblW w:w="15337" w:type="dxa"/>
        <w:tblInd w:w="0" w:type="dxa"/>
        <w:tblLayout w:type="fixed"/>
        <w:tblCellMar>
          <w:top w:w="0" w:type="dxa"/>
          <w:left w:w="0" w:type="dxa"/>
          <w:bottom w:w="0" w:type="dxa"/>
          <w:right w:w="0" w:type="dxa"/>
        </w:tblCellMar>
      </w:tblPr>
      <w:tblGrid>
        <w:gridCol w:w="5104"/>
        <w:gridCol w:w="2012"/>
        <w:gridCol w:w="4791"/>
        <w:gridCol w:w="3430"/>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公开部门：重庆市秀山土家族苗族自治县洪安镇人民政府</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16"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4,111.66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768.38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2,825.86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106.12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124.87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532.59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2,272.76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2,626.86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6,937.53</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7,215.04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7,259.27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7,259.27</w:t>
            </w:r>
            <w:r>
              <w:rPr>
                <w:rFonts w:hint="default" w:ascii="Times New Roman" w:hAnsi="Times New Roman" w:cs="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公开部门：重庆市秀山土家族苗族自治县洪安镇人民政府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6,937.53</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6,937.53</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768.38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768.38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479.33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479.33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418.96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418.96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124.87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124.87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2,203.12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2,203.12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327.32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327.32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1,408.82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1,408.82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257.49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257.49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用于巩固脱贫攻坚成果衔接乡村振兴的彩票公益金支出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637"/>
        <w:gridCol w:w="4830"/>
        <w:gridCol w:w="1429"/>
        <w:gridCol w:w="1482"/>
        <w:gridCol w:w="1482"/>
        <w:gridCol w:w="1466"/>
        <w:gridCol w:w="1467"/>
        <w:gridCol w:w="152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467"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重庆市秀山土家族苗族自治县洪安镇人民政府 </w:t>
            </w:r>
          </w:p>
        </w:tc>
        <w:tc>
          <w:tcPr>
            <w:tcW w:w="14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46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646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3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6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7,215.04</w:t>
            </w:r>
            <w:r>
              <w:rPr>
                <w:rFonts w:hint="default" w:ascii="Times New Roman" w:hAnsi="Times New Roman" w:cs="Times New Roman"/>
                <w:b/>
                <w:color w:val="000000"/>
                <w:sz w:val="20"/>
                <w:u w:color="auto"/>
              </w:rPr>
              <w:t xml:space="preserve"> </w:t>
            </w:r>
          </w:p>
        </w:tc>
        <w:tc>
          <w:tcPr>
            <w:tcW w:w="14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1,497.54</w:t>
            </w:r>
            <w:r>
              <w:rPr>
                <w:rFonts w:hint="default" w:ascii="Times New Roman" w:hAnsi="Times New Roman" w:cs="Times New Roman"/>
                <w:b/>
                <w:color w:val="000000"/>
                <w:sz w:val="20"/>
                <w:u w:color="auto"/>
              </w:rPr>
              <w:t xml:space="preserve"> </w:t>
            </w:r>
          </w:p>
        </w:tc>
        <w:tc>
          <w:tcPr>
            <w:tcW w:w="14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5,717.50</w:t>
            </w:r>
            <w:r>
              <w:rPr>
                <w:rFonts w:hint="default" w:ascii="Times New Roman" w:hAnsi="Times New Roman" w:cs="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5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768.38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727.28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479.33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457.23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106.12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56.67</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418.96</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372.81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37.94</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124.87</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73.76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532.59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城市公共设施</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城市环境卫生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2,272.76</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128.90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2,143.86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345.11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128.90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216.21</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128.90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128.90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45.72</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1,457.58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1,457.58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用于巩固脱贫攻坚成果衔接乡村振兴的彩票公益金支出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3392"/>
        <w:gridCol w:w="1738"/>
        <w:gridCol w:w="3050"/>
        <w:gridCol w:w="1565"/>
        <w:gridCol w:w="1566"/>
        <w:gridCol w:w="1566"/>
        <w:gridCol w:w="1801"/>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30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0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54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3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9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3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0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80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4,111.66</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768.38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768.38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2,825.86</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62.45</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62.45</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106.12</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106.12</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418.96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418.96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124.87</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124.87</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532.59</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233.59</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299.00</w:t>
            </w: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2,272.76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2,272.76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2,626.86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2,626.86</w:t>
            </w: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6,937.53</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7,215.04</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4,289.18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2,925.86</w:t>
            </w: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321.74</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44.22</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44.22</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221.74</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7,259.27</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7,259.27</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4,333.40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2,925.86</w:t>
            </w: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27"/>
        <w:gridCol w:w="3630"/>
        <w:gridCol w:w="3283"/>
        <w:gridCol w:w="3283"/>
        <w:gridCol w:w="3299"/>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57"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32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5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2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5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4,289.18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1,497.54</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2,791.64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768.38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727.28</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41.10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37.40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479.33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457.23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106.12</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49.45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56.67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64.45</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49.45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418.96</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372.81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37.94</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0.46</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124.87</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73.76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233.59</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2,272.76</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128.90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2,143.86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345.11</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128.90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216.21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128.90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128.90</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45.72</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12.66</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1,457.58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1,457.58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306.25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306.25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1,144.39</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166.80</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285.02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25.29</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191.14</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201.20</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155.22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23.32</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20.42</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51.11</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186.35</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8.56</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152.92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0.91</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30.12</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34.35</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1,330.74</w:t>
            </w:r>
            <w:r>
              <w:rPr>
                <w:rFonts w:hint="default" w:ascii="Times New Roman" w:hAnsi="Times New Roman" w:cs="Times New Roman"/>
                <w:color w:val="000000"/>
                <w:sz w:val="20"/>
                <w:szCs w:val="20"/>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166.80</w:t>
            </w:r>
            <w:r>
              <w:rPr>
                <w:rFonts w:hint="default" w:ascii="Times New Roman" w:hAnsi="Times New Roman" w:cs="Times New Roman"/>
                <w:color w:val="000000"/>
                <w:sz w:val="20"/>
                <w:szCs w:val="20"/>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597"/>
        <w:gridCol w:w="4830"/>
        <w:gridCol w:w="1450"/>
        <w:gridCol w:w="1450"/>
        <w:gridCol w:w="1450"/>
        <w:gridCol w:w="1451"/>
        <w:gridCol w:w="1515"/>
        <w:gridCol w:w="157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427"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重庆市秀山土家族苗族自治县洪安镇人民政府</w:t>
            </w: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42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64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41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5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642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100.00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2,825.86</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2,925.86</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2,925.86</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299.00</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299.00</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294.00</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294.00</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城市公共设施</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城市环境卫生</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用于巩固脱贫攻坚成果衔接乡村振兴的彩票公益金支出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954"/>
        <w:gridCol w:w="3176"/>
        <w:gridCol w:w="3222"/>
        <w:gridCol w:w="158"/>
        <w:gridCol w:w="3422"/>
        <w:gridCol w:w="36"/>
        <w:gridCol w:w="3354"/>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3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616"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5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616"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5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192"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95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38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9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8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8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8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3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129.05</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10.44</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10.44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116.79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12.26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0.44</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688.44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8.46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22</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679.98</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688.44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688.44</w:t>
            </w: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8.56</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乡财科" w:date="2024-09-13T16:30:37Z" w:initials="乡">
    <w:p w14:paraId="31AA3FF0">
      <w:pPr>
        <w:pStyle w:val="2"/>
        <w:rPr>
          <w:rFonts w:hint="eastAsia" w:eastAsia="宋体"/>
          <w:lang w:val="en-US" w:eastAsia="zh-CN"/>
        </w:rPr>
      </w:pPr>
      <w:r>
        <w:rPr>
          <w:rFonts w:hint="eastAsia"/>
          <w:lang w:val="en-US" w:eastAsia="zh-CN"/>
        </w:rPr>
        <w:t>所有数字包括“%”都是新罗马字体</w:t>
      </w:r>
    </w:p>
  </w:comment>
  <w:comment w:id="1" w:author="乡财科" w:date="2024-09-13T16:34:00Z" w:initials="乡">
    <w:p w14:paraId="107634BC">
      <w:pPr>
        <w:pStyle w:val="2"/>
        <w:rPr>
          <w:rFonts w:hint="eastAsia" w:eastAsia="宋体"/>
          <w:lang w:val="en-US" w:eastAsia="zh-CN"/>
        </w:rPr>
      </w:pPr>
      <w:r>
        <w:rPr>
          <w:rFonts w:hint="eastAsia"/>
          <w:lang w:val="en-US" w:eastAsia="zh-CN"/>
        </w:rPr>
        <w:t>所有正文段首有1.等小点的都要加粗</w:t>
      </w:r>
    </w:p>
  </w:comment>
  <w:comment w:id="2" w:author="乡财科" w:date="2024-09-13T16:31:32Z" w:initials="乡">
    <w:p w14:paraId="29744564">
      <w:pPr>
        <w:pStyle w:val="2"/>
        <w:rPr>
          <w:rFonts w:hint="eastAsia" w:eastAsia="宋体"/>
          <w:lang w:val="en-US" w:eastAsia="zh-CN"/>
        </w:rPr>
      </w:pPr>
      <w:r>
        <w:rPr>
          <w:rFonts w:hint="eastAsia"/>
          <w:lang w:val="en-US" w:eastAsia="zh-CN"/>
        </w:rPr>
        <w:t>根据模板，收入为0的部分也要写出来，不能删除</w:t>
      </w:r>
    </w:p>
  </w:comment>
  <w:comment w:id="3" w:author="乡财科" w:date="2024-09-13T16:32:10Z" w:initials="乡">
    <w:p w14:paraId="7906232B">
      <w:pPr>
        <w:pStyle w:val="2"/>
        <w:rPr>
          <w:rFonts w:hint="eastAsia" w:eastAsia="宋体"/>
          <w:lang w:val="en-US" w:eastAsia="zh-CN"/>
        </w:rPr>
      </w:pPr>
      <w:r>
        <w:rPr>
          <w:rFonts w:hint="eastAsia"/>
          <w:lang w:val="en-US" w:eastAsia="zh-CN"/>
        </w:rPr>
        <w:t>收入为0的支出也要写</w:t>
      </w:r>
    </w:p>
  </w:comment>
  <w:comment w:id="4" w:author="乡财科" w:date="2024-09-13T16:33:21Z" w:initials="乡">
    <w:p w14:paraId="19A45065">
      <w:pPr>
        <w:pStyle w:val="2"/>
        <w:rPr>
          <w:rFonts w:hint="eastAsia" w:eastAsia="宋体"/>
          <w:lang w:val="en-US" w:eastAsia="zh-CN"/>
        </w:rPr>
      </w:pPr>
      <w:r>
        <w:rPr>
          <w:rFonts w:hint="eastAsia"/>
          <w:lang w:val="en-US" w:eastAsia="zh-CN"/>
        </w:rPr>
        <w:t>所有二级标题都是方正楷体GBK，请检查全文</w:t>
      </w:r>
    </w:p>
  </w:comment>
  <w:comment w:id="5" w:author="乡财科" w:date="2024-09-13T16:35:54Z" w:initials="乡">
    <w:p w14:paraId="2C18013F">
      <w:pPr>
        <w:pStyle w:val="2"/>
        <w:rPr>
          <w:rFonts w:hint="eastAsia" w:eastAsia="宋体"/>
          <w:lang w:val="en-US" w:eastAsia="zh-CN"/>
        </w:rPr>
      </w:pPr>
      <w:r>
        <w:rPr>
          <w:rFonts w:hint="eastAsia"/>
          <w:lang w:val="en-US" w:eastAsia="zh-CN"/>
        </w:rPr>
        <w:t>字体</w:t>
      </w:r>
    </w:p>
  </w:comment>
  <w:comment w:id="6" w:author="乡财科" w:date="2024-09-13T16:35:34Z" w:initials="乡">
    <w:p w14:paraId="3EAD437D">
      <w:pPr>
        <w:pStyle w:val="2"/>
        <w:rPr>
          <w:rFonts w:hint="eastAsia" w:eastAsia="宋体"/>
          <w:lang w:val="en-US" w:eastAsia="zh-CN"/>
        </w:rPr>
      </w:pPr>
      <w:r>
        <w:rPr>
          <w:rFonts w:hint="eastAsia"/>
          <w:lang w:val="en-US" w:eastAsia="zh-CN"/>
        </w:rPr>
        <w:t>所有一级标题都是方正黑体GBK，请检查全文</w:t>
      </w:r>
    </w:p>
  </w:comment>
  <w:comment w:id="7" w:author="乡财科" w:date="2024-09-13T16:37:05Z" w:initials="乡">
    <w:p w14:paraId="12D72D71">
      <w:pPr>
        <w:pStyle w:val="2"/>
        <w:rPr>
          <w:rFonts w:hint="eastAsia" w:eastAsia="宋体"/>
          <w:lang w:val="en-US" w:eastAsia="zh-CN"/>
        </w:rPr>
      </w:pPr>
      <w:r>
        <w:rPr>
          <w:rFonts w:hint="eastAsia"/>
          <w:lang w:val="en-US" w:eastAsia="zh-CN"/>
        </w:rPr>
        <w:t>请附绩效自评表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AA3FF0" w15:done="0"/>
  <w15:commentEx w15:paraId="107634BC" w15:done="0"/>
  <w15:commentEx w15:paraId="29744564" w15:done="0"/>
  <w15:commentEx w15:paraId="7906232B" w15:done="0"/>
  <w15:commentEx w15:paraId="19A45065" w15:done="0"/>
  <w15:commentEx w15:paraId="2C18013F" w15:done="0"/>
  <w15:commentEx w15:paraId="3EAD437D" w15:done="0"/>
  <w15:commentEx w15:paraId="12D72D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乡财科">
    <w15:presenceInfo w15:providerId="None" w15:userId="乡财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BD364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16403F"/>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3E411B"/>
    <w:rsid w:val="27B23302"/>
    <w:rsid w:val="29310A5F"/>
    <w:rsid w:val="29C37A35"/>
    <w:rsid w:val="2A076083"/>
    <w:rsid w:val="2A73162E"/>
    <w:rsid w:val="2B167953"/>
    <w:rsid w:val="2B200583"/>
    <w:rsid w:val="2B8209DE"/>
    <w:rsid w:val="2C6762A3"/>
    <w:rsid w:val="2EBF7B3E"/>
    <w:rsid w:val="2EDE1934"/>
    <w:rsid w:val="2EF52867"/>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9B4551"/>
    <w:rsid w:val="36C9128A"/>
    <w:rsid w:val="372E3953"/>
    <w:rsid w:val="37841E99"/>
    <w:rsid w:val="37BF1123"/>
    <w:rsid w:val="383C3F15"/>
    <w:rsid w:val="38BE4696"/>
    <w:rsid w:val="38FA62F0"/>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127168"/>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2FB1A91"/>
    <w:rsid w:val="736650B0"/>
    <w:rsid w:val="73934AD2"/>
    <w:rsid w:val="750837F0"/>
    <w:rsid w:val="754758CF"/>
    <w:rsid w:val="75A57C3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AA6C39"/>
    <w:rsid w:val="7DE94331"/>
    <w:rsid w:val="7F446A19"/>
    <w:rsid w:val="7F7452B9"/>
    <w:rsid w:val="D5EFD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font61"/>
    <w:basedOn w:val="10"/>
    <w:qFormat/>
    <w:uiPriority w:val="0"/>
    <w:rPr>
      <w:rFonts w:ascii="方正仿宋_GBK" w:hAnsi="方正仿宋_GBK" w:eastAsia="方正仿宋_GBK" w:cs="方正仿宋_GBK"/>
      <w:b/>
      <w:color w:val="000000"/>
      <w:sz w:val="22"/>
      <w:szCs w:val="22"/>
      <w:u w:val="none"/>
    </w:rPr>
  </w:style>
  <w:style w:type="character" w:customStyle="1" w:styleId="18">
    <w:name w:val="font71"/>
    <w:basedOn w:val="10"/>
    <w:qFormat/>
    <w:uiPriority w:val="0"/>
    <w:rPr>
      <w:rFonts w:hint="eastAsia" w:ascii="方正仿宋_GBK" w:hAnsi="方正仿宋_GBK" w:eastAsia="方正仿宋_GBK" w:cs="方正仿宋_GBK"/>
      <w:color w:val="000000"/>
      <w:sz w:val="22"/>
      <w:szCs w:val="22"/>
      <w:u w:val="none"/>
    </w:rPr>
  </w:style>
  <w:style w:type="character" w:customStyle="1" w:styleId="19">
    <w:name w:val="font81"/>
    <w:basedOn w:val="10"/>
    <w:qFormat/>
    <w:uiPriority w:val="0"/>
    <w:rPr>
      <w:rFonts w:hint="default" w:ascii="Times New Roman" w:hAnsi="Times New Roman" w:cs="Times New Roman"/>
      <w:color w:val="000000"/>
      <w:sz w:val="22"/>
      <w:szCs w:val="22"/>
      <w:u w:val="none"/>
    </w:rPr>
  </w:style>
  <w:style w:type="character" w:customStyle="1" w:styleId="20">
    <w:name w:val="font41"/>
    <w:basedOn w:val="10"/>
    <w:qFormat/>
    <w:uiPriority w:val="0"/>
    <w:rPr>
      <w:rFonts w:ascii="Arial" w:hAnsi="Arial" w:cs="Arial"/>
      <w:color w:val="000000"/>
      <w:sz w:val="22"/>
      <w:szCs w:val="22"/>
      <w:u w:val="none"/>
    </w:rPr>
  </w:style>
  <w:style w:type="character" w:customStyle="1" w:styleId="21">
    <w:name w:val="font31"/>
    <w:basedOn w:val="10"/>
    <w:qFormat/>
    <w:uiPriority w:val="0"/>
    <w:rPr>
      <w:rFonts w:hint="default" w:ascii="Times New Roman" w:hAnsi="Times New Roman" w:cs="Times New Roman"/>
      <w:b/>
      <w:color w:val="000000"/>
      <w:sz w:val="22"/>
      <w:szCs w:val="22"/>
      <w:u w:val="none"/>
    </w:rPr>
  </w:style>
  <w:style w:type="character" w:customStyle="1" w:styleId="22">
    <w:name w:val="font01"/>
    <w:basedOn w:val="10"/>
    <w:qFormat/>
    <w:uiPriority w:val="0"/>
    <w:rPr>
      <w:rFonts w:hint="eastAsia" w:ascii="宋体" w:hAnsi="宋体" w:eastAsia="宋体" w:cs="宋体"/>
      <w:b/>
      <w:color w:val="000000"/>
      <w:sz w:val="22"/>
      <w:szCs w:val="22"/>
      <w:u w:val="none"/>
    </w:rPr>
  </w:style>
  <w:style w:type="character" w:customStyle="1" w:styleId="23">
    <w:name w:val="font51"/>
    <w:basedOn w:val="10"/>
    <w:uiPriority w:val="0"/>
    <w:rPr>
      <w:rFonts w:hint="eastAsia" w:ascii="宋体" w:hAnsi="宋体" w:eastAsia="宋体" w:cs="宋体"/>
      <w:color w:val="000000"/>
      <w:sz w:val="22"/>
      <w:szCs w:val="22"/>
      <w:u w:val="none"/>
    </w:rPr>
  </w:style>
  <w:style w:type="character" w:customStyle="1" w:styleId="24">
    <w:name w:val="font21"/>
    <w:basedOn w:val="10"/>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1</TotalTime>
  <ScaleCrop>false</ScaleCrop>
  <LinksUpToDate>false</LinksUpToDate>
  <CharactersWithSpaces>27407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2024-09-20T02:27:33Z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