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方正小标宋_GBK" w:hAnsi="方正小标宋_GBK" w:eastAsia="方正小标宋_GBK" w:cs="方正小标宋_GBK"/>
          <w:i w:val="0"/>
          <w:iCs w:val="0"/>
          <w:caps w:val="0"/>
          <w:color w:val="auto"/>
          <w:spacing w:val="0"/>
          <w:sz w:val="44"/>
          <w:szCs w:val="44"/>
          <w:highlight w:val="none"/>
          <w:shd w:val="clear" w:fill="FFFFFF"/>
        </w:rPr>
      </w:pPr>
      <w:r>
        <w:rPr>
          <w:rFonts w:hint="eastAsia" w:ascii="方正小标宋_GBK" w:hAnsi="方正小标宋_GBK" w:eastAsia="方正小标宋_GBK" w:cs="方正小标宋_GBK"/>
          <w:i w:val="0"/>
          <w:iCs w:val="0"/>
          <w:caps w:val="0"/>
          <w:color w:val="auto"/>
          <w:spacing w:val="0"/>
          <w:sz w:val="44"/>
          <w:szCs w:val="44"/>
          <w:highlight w:val="none"/>
          <w:shd w:val="clear" w:fill="FFFFFF"/>
        </w:rPr>
        <w:t>秀山土家族苗族自治县</w:t>
      </w:r>
      <w:r>
        <w:rPr>
          <w:rFonts w:hint="eastAsia" w:ascii="方正小标宋_GBK" w:hAnsi="方正小标宋_GBK" w:eastAsia="方正小标宋_GBK" w:cs="方正小标宋_GBK"/>
          <w:i w:val="0"/>
          <w:iCs w:val="0"/>
          <w:caps w:val="0"/>
          <w:color w:val="auto"/>
          <w:spacing w:val="0"/>
          <w:sz w:val="44"/>
          <w:szCs w:val="44"/>
          <w:highlight w:val="none"/>
          <w:shd w:val="clear" w:fill="FFFFFF"/>
          <w:lang w:val="en-US" w:eastAsia="zh-CN"/>
        </w:rPr>
        <w:t>峨溶镇便民服务中心（退役军人服务站）</w:t>
      </w:r>
      <w:r>
        <w:rPr>
          <w:rFonts w:hint="eastAsia" w:ascii="方正小标宋_GBK" w:hAnsi="方正小标宋_GBK" w:eastAsia="方正小标宋_GBK" w:cs="方正小标宋_GBK"/>
          <w:i w:val="0"/>
          <w:iCs w:val="0"/>
          <w:caps w:val="0"/>
          <w:color w:val="auto"/>
          <w:spacing w:val="0"/>
          <w:sz w:val="44"/>
          <w:szCs w:val="44"/>
          <w:highlight w:val="none"/>
          <w:shd w:val="clear" w:fill="FFFFFF"/>
          <w:lang w:eastAsia="zh-CN"/>
        </w:rPr>
        <w:t>2025年单位</w:t>
      </w:r>
      <w:r>
        <w:rPr>
          <w:rFonts w:hint="eastAsia" w:ascii="方正小标宋_GBK" w:hAnsi="方正小标宋_GBK" w:eastAsia="方正小标宋_GBK" w:cs="方正小标宋_GBK"/>
          <w:i w:val="0"/>
          <w:iCs w:val="0"/>
          <w:caps w:val="0"/>
          <w:color w:val="auto"/>
          <w:spacing w:val="0"/>
          <w:sz w:val="44"/>
          <w:szCs w:val="44"/>
          <w:highlight w:val="none"/>
          <w:shd w:val="clear" w:fill="FFFFFF"/>
        </w:rPr>
        <w:t>预算情况说明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outlineLvl w:val="9"/>
        <w:rPr>
          <w:rFonts w:hint="eastAsia" w:ascii="华文中宋" w:hAnsi="华文中宋" w:eastAsia="华文中宋" w:cs="华文中宋"/>
          <w:i w:val="0"/>
          <w:iCs w:val="0"/>
          <w:caps w:val="0"/>
          <w:color w:val="auto"/>
          <w:spacing w:val="0"/>
          <w:sz w:val="43"/>
          <w:szCs w:val="43"/>
          <w:highlight w:val="none"/>
          <w:shd w:val="clear" w:fill="FFFFFF"/>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highlight w:val="none"/>
          <w:shd w:val="clear" w:fill="FFFFFF"/>
        </w:rPr>
      </w:pPr>
      <w:r>
        <w:rPr>
          <w:rFonts w:hint="eastAsia" w:ascii="方正黑体_GBK" w:hAnsi="方正黑体_GBK" w:eastAsia="方正黑体_GBK" w:cs="方正黑体_GBK"/>
          <w:i w:val="0"/>
          <w:iCs w:val="0"/>
          <w:caps w:val="0"/>
          <w:color w:val="auto"/>
          <w:spacing w:val="0"/>
          <w:sz w:val="32"/>
          <w:szCs w:val="32"/>
          <w:highlight w:val="none"/>
          <w:shd w:val="clear" w:fill="FFFFFF"/>
        </w:rPr>
        <w:t>一、</w:t>
      </w:r>
      <w:r>
        <w:rPr>
          <w:rFonts w:hint="eastAsia" w:ascii="方正黑体_GBK" w:hAnsi="方正黑体_GBK" w:eastAsia="方正黑体_GBK" w:cs="方正黑体_GBK"/>
          <w:i w:val="0"/>
          <w:iCs w:val="0"/>
          <w:caps w:val="0"/>
          <w:color w:val="auto"/>
          <w:spacing w:val="0"/>
          <w:sz w:val="32"/>
          <w:szCs w:val="32"/>
          <w:highlight w:val="none"/>
          <w:shd w:val="clear" w:fill="FFFFFF"/>
          <w:lang w:eastAsia="zh-CN"/>
        </w:rPr>
        <w:t>单位</w:t>
      </w:r>
      <w:r>
        <w:rPr>
          <w:rFonts w:hint="eastAsia" w:ascii="方正黑体_GBK" w:hAnsi="方正黑体_GBK" w:eastAsia="方正黑体_GBK" w:cs="方正黑体_GBK"/>
          <w:i w:val="0"/>
          <w:iCs w:val="0"/>
          <w:caps w:val="0"/>
          <w:color w:val="auto"/>
          <w:spacing w:val="0"/>
          <w:sz w:val="32"/>
          <w:szCs w:val="32"/>
          <w:highlight w:val="none"/>
          <w:shd w:val="clear" w:fill="FFFFFF"/>
        </w:rPr>
        <w:t>基本情况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auto"/>
          <w:spacing w:val="0"/>
          <w:sz w:val="32"/>
          <w:szCs w:val="32"/>
          <w:highlight w:val="none"/>
          <w:shd w:val="clear" w:fill="FFFFFF"/>
        </w:rPr>
      </w:pPr>
      <w:r>
        <w:rPr>
          <w:rFonts w:hint="eastAsia" w:ascii="方正楷体_GBK" w:hAnsi="方正楷体_GBK" w:eastAsia="方正楷体_GBK" w:cs="方正楷体_GBK"/>
          <w:i w:val="0"/>
          <w:iCs w:val="0"/>
          <w:caps w:val="0"/>
          <w:color w:val="auto"/>
          <w:spacing w:val="0"/>
          <w:sz w:val="32"/>
          <w:szCs w:val="32"/>
          <w:highlight w:val="none"/>
          <w:shd w:val="clear" w:fill="FFFFFF"/>
        </w:rPr>
        <w:t>（</w:t>
      </w:r>
      <w:r>
        <w:rPr>
          <w:rFonts w:hint="eastAsia" w:ascii="方正楷体_GBK" w:hAnsi="方正楷体_GBK" w:eastAsia="方正楷体_GBK" w:cs="方正楷体_GBK"/>
          <w:i w:val="0"/>
          <w:iCs w:val="0"/>
          <w:caps w:val="0"/>
          <w:color w:val="auto"/>
          <w:spacing w:val="0"/>
          <w:sz w:val="32"/>
          <w:szCs w:val="32"/>
          <w:highlight w:val="none"/>
          <w:shd w:val="clear" w:fill="FFFFFF"/>
          <w:lang w:val="en-US" w:eastAsia="zh-CN"/>
        </w:rPr>
        <w:t>一</w:t>
      </w:r>
      <w:r>
        <w:rPr>
          <w:rFonts w:hint="eastAsia" w:ascii="方正楷体_GBK" w:hAnsi="方正楷体_GBK" w:eastAsia="方正楷体_GBK" w:cs="方正楷体_GBK"/>
          <w:i w:val="0"/>
          <w:iCs w:val="0"/>
          <w:caps w:val="0"/>
          <w:color w:val="auto"/>
          <w:spacing w:val="0"/>
          <w:sz w:val="32"/>
          <w:szCs w:val="32"/>
          <w:highlight w:val="none"/>
          <w:shd w:val="clear" w:fill="FFFFFF"/>
        </w:rPr>
        <w:t>）</w:t>
      </w:r>
      <w:r>
        <w:rPr>
          <w:rFonts w:hint="eastAsia" w:ascii="方正楷体_GBK" w:hAnsi="方正楷体_GBK" w:eastAsia="方正楷体_GBK" w:cs="方正楷体_GBK"/>
          <w:i w:val="0"/>
          <w:iCs w:val="0"/>
          <w:caps w:val="0"/>
          <w:color w:val="auto"/>
          <w:spacing w:val="0"/>
          <w:sz w:val="32"/>
          <w:szCs w:val="32"/>
          <w:highlight w:val="none"/>
          <w:shd w:val="clear" w:fill="FFFFFF"/>
          <w:lang w:val="en-US" w:eastAsia="zh-CN"/>
        </w:rPr>
        <w:t>职能职责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pP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负责推进</w:t>
      </w:r>
      <w:r>
        <w:rPr>
          <w:rFonts w:hint="eastAsia" w:ascii="方正仿宋_GBK" w:hAnsi="方正仿宋_GBK" w:eastAsia="方正仿宋_GBK" w:cs="方正仿宋_GBK"/>
          <w:i w:val="0"/>
          <w:iCs w:val="0"/>
          <w:caps w:val="0"/>
          <w:color w:val="auto"/>
          <w:spacing w:val="0"/>
          <w:sz w:val="32"/>
          <w:szCs w:val="32"/>
          <w:highlight w:val="none"/>
          <w:shd w:val="clear" w:fill="FFFFFF"/>
        </w:rPr>
        <w:t>本</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乡镇“最多跑一次”改革。负责进入中心的</w:t>
      </w:r>
      <w:r>
        <w:rPr>
          <w:rFonts w:hint="eastAsia" w:ascii="方正仿宋_GBK" w:hAnsi="方正仿宋_GBK" w:eastAsia="方正仿宋_GBK" w:cs="方正仿宋_GBK"/>
          <w:i w:val="0"/>
          <w:iCs w:val="0"/>
          <w:caps w:val="0"/>
          <w:color w:val="auto"/>
          <w:spacing w:val="0"/>
          <w:sz w:val="32"/>
          <w:szCs w:val="32"/>
          <w:highlight w:val="none"/>
          <w:shd w:val="clear" w:fill="FFFFFF"/>
        </w:rPr>
        <w:t>政务服务事项</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和</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公共服务事项的集中受理、办理。负责便民服务办事窗口的日常管理与运行保障，指导辖区内村（社区</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便民服务</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平台</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建设。负责便民服务平台日常管理协调工作。承担相关公共服务事务性工作。</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与民生服</w:t>
      </w:r>
      <w:r>
        <w:rPr>
          <w:rFonts w:hint="eastAsia" w:ascii="方正仿宋_GBK" w:hAnsi="方正仿宋_GBK" w:eastAsia="方正仿宋_GBK" w:cs="方正仿宋_GBK"/>
          <w:i w:val="0"/>
          <w:iCs w:val="0"/>
          <w:caps w:val="0"/>
          <w:color w:val="auto"/>
          <w:spacing w:val="0"/>
          <w:sz w:val="32"/>
          <w:szCs w:val="32"/>
          <w:highlight w:val="none"/>
          <w:shd w:val="clear" w:fill="FFFFFF"/>
        </w:rPr>
        <w:t>务办公室</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统筹运行。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auto"/>
          <w:spacing w:val="0"/>
          <w:sz w:val="32"/>
          <w:szCs w:val="32"/>
          <w:highlight w:val="none"/>
          <w:shd w:val="clear" w:fill="FFFFFF"/>
          <w:lang w:val="en-US" w:eastAsia="zh-CN"/>
        </w:rPr>
      </w:pPr>
      <w:r>
        <w:rPr>
          <w:rFonts w:hint="eastAsia" w:ascii="方正楷体_GBK" w:hAnsi="方正楷体_GBK" w:eastAsia="方正楷体_GBK" w:cs="方正楷体_GBK"/>
          <w:i w:val="0"/>
          <w:iCs w:val="0"/>
          <w:caps w:val="0"/>
          <w:color w:val="auto"/>
          <w:spacing w:val="0"/>
          <w:sz w:val="32"/>
          <w:szCs w:val="32"/>
          <w:highlight w:val="none"/>
          <w:shd w:val="clear" w:fill="FFFFFF"/>
        </w:rPr>
        <w:t>（</w:t>
      </w:r>
      <w:r>
        <w:rPr>
          <w:rFonts w:hint="eastAsia" w:ascii="方正楷体_GBK" w:hAnsi="方正楷体_GBK" w:eastAsia="方正楷体_GBK" w:cs="方正楷体_GBK"/>
          <w:i w:val="0"/>
          <w:iCs w:val="0"/>
          <w:caps w:val="0"/>
          <w:color w:val="auto"/>
          <w:spacing w:val="0"/>
          <w:sz w:val="32"/>
          <w:szCs w:val="32"/>
          <w:highlight w:val="none"/>
          <w:shd w:val="clear" w:fill="FFFFFF"/>
          <w:lang w:val="en-US" w:eastAsia="zh-CN"/>
        </w:rPr>
        <w:t>二</w:t>
      </w:r>
      <w:r>
        <w:rPr>
          <w:rFonts w:hint="eastAsia" w:ascii="方正楷体_GBK" w:hAnsi="方正楷体_GBK" w:eastAsia="方正楷体_GBK" w:cs="方正楷体_GBK"/>
          <w:i w:val="0"/>
          <w:iCs w:val="0"/>
          <w:caps w:val="0"/>
          <w:color w:val="auto"/>
          <w:spacing w:val="0"/>
          <w:sz w:val="32"/>
          <w:szCs w:val="32"/>
          <w:highlight w:val="none"/>
          <w:shd w:val="clear" w:fill="FFFFFF"/>
        </w:rPr>
        <w:t>）</w:t>
      </w:r>
      <w:r>
        <w:rPr>
          <w:rFonts w:hint="eastAsia" w:ascii="方正楷体_GBK" w:hAnsi="方正楷体_GBK" w:eastAsia="方正楷体_GBK" w:cs="方正楷体_GBK"/>
          <w:i w:val="0"/>
          <w:iCs w:val="0"/>
          <w:caps w:val="0"/>
          <w:color w:val="auto"/>
          <w:spacing w:val="0"/>
          <w:sz w:val="32"/>
          <w:szCs w:val="32"/>
          <w:highlight w:val="none"/>
          <w:shd w:val="clear" w:fill="FFFFFF"/>
          <w:lang w:val="en-US" w:eastAsia="zh-CN"/>
        </w:rPr>
        <w:t>单位构成</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pP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秀山土家族苗族自治县峨溶镇便民服务中心（退役军人服务站）</w:t>
      </w:r>
      <w:r>
        <w:rPr>
          <w:rFonts w:hint="eastAsia" w:ascii="方正仿宋_GBK" w:hAnsi="方正仿宋_GBK" w:eastAsia="方正仿宋_GBK" w:cs="方正仿宋_GBK"/>
          <w:i w:val="0"/>
          <w:iCs w:val="0"/>
          <w:caps w:val="0"/>
          <w:color w:val="auto"/>
          <w:spacing w:val="0"/>
          <w:sz w:val="32"/>
          <w:szCs w:val="32"/>
          <w:highlight w:val="none"/>
          <w:shd w:val="clear" w:fill="FFFFFF"/>
        </w:rPr>
        <w:t>是</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峨溶镇人民政府</w:t>
      </w:r>
      <w:r>
        <w:rPr>
          <w:rFonts w:hint="eastAsia" w:ascii="方正仿宋_GBK" w:hAnsi="方正仿宋_GBK" w:eastAsia="方正仿宋_GBK" w:cs="方正仿宋_GBK"/>
          <w:i w:val="0"/>
          <w:iCs w:val="0"/>
          <w:caps w:val="0"/>
          <w:color w:val="auto"/>
          <w:spacing w:val="0"/>
          <w:sz w:val="32"/>
          <w:szCs w:val="32"/>
          <w:highlight w:val="none"/>
          <w:shd w:val="clear" w:fill="FFFFFF"/>
        </w:rPr>
        <w:t>下属二级</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单位。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auto"/>
          <w:spacing w:val="0"/>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fill="FFFFFF"/>
        </w:rPr>
        <w:t>二、部门收支总体情况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pPr>
      <w:r>
        <w:rPr>
          <w:rFonts w:hint="eastAsia" w:ascii="方正楷体_GBK" w:hAnsi="方正楷体_GBK" w:eastAsia="方正楷体_GBK" w:cs="方正楷体_GBK"/>
          <w:i w:val="0"/>
          <w:iCs w:val="0"/>
          <w:caps w:val="0"/>
          <w:color w:val="auto"/>
          <w:spacing w:val="0"/>
          <w:sz w:val="32"/>
          <w:szCs w:val="32"/>
          <w:highlight w:val="none"/>
          <w:u w:val="none"/>
          <w:shd w:val="clear" w:fill="FFFFFF"/>
        </w:rPr>
        <w:t>（一）收入预算</w:t>
      </w:r>
      <w:r>
        <w:rPr>
          <w:rFonts w:hint="default" w:ascii="仿宋_GB2312" w:hAnsi="微软雅黑" w:eastAsia="仿宋_GB2312" w:cs="仿宋_GB2312"/>
          <w:i w:val="0"/>
          <w:iCs w:val="0"/>
          <w:caps w:val="0"/>
          <w:color w:val="auto"/>
          <w:spacing w:val="0"/>
          <w:sz w:val="32"/>
          <w:szCs w:val="32"/>
          <w:highlight w:val="none"/>
          <w:u w:val="none"/>
          <w:shd w:val="clear" w:fill="FFFFFF"/>
        </w:rPr>
        <w:t>：</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2025年</w:t>
      </w:r>
      <w:r>
        <w:rPr>
          <w:rFonts w:hint="default" w:ascii="Times New Roman" w:hAnsi="Times New Roman" w:eastAsia="方正仿宋_GBK" w:cs="Times New Roman"/>
          <w:i w:val="0"/>
          <w:iCs w:val="0"/>
          <w:caps w:val="0"/>
          <w:color w:val="auto"/>
          <w:spacing w:val="0"/>
          <w:sz w:val="32"/>
          <w:szCs w:val="32"/>
          <w:highlight w:val="none"/>
          <w:u w:val="none"/>
          <w:shd w:val="clear" w:fill="FFFFFF"/>
        </w:rPr>
        <w:t>年初预算数</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106.69</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万元，其中：一般公共预算拨款</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106.69</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万元，政府性基金预算拨款</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0.00</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万元，国有资本经营预算收入</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0.00</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万元，事业收入</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0.00</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万元，事业单位经营收入</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0.00</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万元，其他收入</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0.00</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w:t>
      </w:r>
      <w:r>
        <w:rPr>
          <w:rFonts w:hint="default" w:ascii="Times New Roman" w:hAnsi="Times New Roman" w:eastAsia="方正仿宋_GBK" w:cs="Times New Roman"/>
          <w:i w:val="0"/>
          <w:iCs w:val="0"/>
          <w:caps w:val="0"/>
          <w:color w:val="auto"/>
          <w:spacing w:val="0"/>
          <w:sz w:val="32"/>
          <w:szCs w:val="32"/>
          <w:highlight w:val="none"/>
          <w:u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t>上年结转</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0.00</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万元。收入较去年</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增加106.69</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万元，主要</w:t>
      </w:r>
      <w:r>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t>原因</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是受机构改革影响，本单位是合并调整后新设立二级单位，以前年度无预算。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pPr>
      <w:r>
        <w:rPr>
          <w:rFonts w:hint="default" w:ascii="方正楷体_GBK" w:hAnsi="方正楷体_GBK" w:eastAsia="方正楷体_GBK" w:cs="方正楷体_GBK"/>
          <w:i w:val="0"/>
          <w:iCs w:val="0"/>
          <w:caps w:val="0"/>
          <w:color w:val="auto"/>
          <w:spacing w:val="0"/>
          <w:sz w:val="32"/>
          <w:szCs w:val="32"/>
          <w:highlight w:val="none"/>
          <w:u w:val="none"/>
          <w:shd w:val="clear" w:fill="FFFFFF"/>
        </w:rPr>
        <w:t>（二）支出预算</w:t>
      </w:r>
      <w:r>
        <w:rPr>
          <w:rFonts w:hint="default" w:ascii="仿宋_GB2312" w:hAnsi="微软雅黑" w:eastAsia="仿宋_GB2312" w:cs="仿宋_GB2312"/>
          <w:i w:val="0"/>
          <w:iCs w:val="0"/>
          <w:caps w:val="0"/>
          <w:color w:val="auto"/>
          <w:spacing w:val="0"/>
          <w:sz w:val="32"/>
          <w:szCs w:val="32"/>
          <w:highlight w:val="none"/>
          <w:u w:val="none"/>
          <w:shd w:val="clear" w:fill="FFFFFF"/>
        </w:rPr>
        <w:t>：</w:t>
      </w:r>
      <w:r>
        <w:rPr>
          <w:rFonts w:hint="eastAsia" w:ascii="Times New Roman" w:hAnsi="Times New Roman" w:eastAsia="方正仿宋_GBK" w:cs="Times New Roman"/>
          <w:i w:val="0"/>
          <w:iCs w:val="0"/>
          <w:caps w:val="0"/>
          <w:color w:val="auto"/>
          <w:spacing w:val="0"/>
          <w:sz w:val="32"/>
          <w:szCs w:val="32"/>
          <w:highlight w:val="none"/>
          <w:u w:val="none"/>
          <w:shd w:val="clear" w:fill="FFFFFF"/>
          <w:lang w:eastAsia="zh-CN"/>
        </w:rPr>
        <w:t>2025年</w:t>
      </w:r>
      <w:r>
        <w:rPr>
          <w:rFonts w:hint="default" w:ascii="Times New Roman" w:hAnsi="Times New Roman" w:eastAsia="方正仿宋_GBK" w:cs="Times New Roman"/>
          <w:i w:val="0"/>
          <w:iCs w:val="0"/>
          <w:caps w:val="0"/>
          <w:color w:val="auto"/>
          <w:spacing w:val="0"/>
          <w:sz w:val="32"/>
          <w:szCs w:val="32"/>
          <w:highlight w:val="none"/>
          <w:u w:val="none"/>
          <w:shd w:val="clear" w:fill="FFFFFF"/>
        </w:rPr>
        <w:t>年初预算数</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106.69</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万元，其中：一般公共服务支出81.66</w:t>
      </w:r>
      <w:r>
        <w:rPr>
          <w:rFonts w:hint="eastAsia" w:ascii="Times New Roman" w:hAnsi="Times New Roman" w:eastAsia="方正仿宋_GBK" w:cs="Times New Roman"/>
          <w:i w:val="0"/>
          <w:iCs w:val="0"/>
          <w:caps w:val="0"/>
          <w:color w:val="auto"/>
          <w:spacing w:val="0"/>
          <w:sz w:val="32"/>
          <w:szCs w:val="32"/>
          <w:highlight w:val="none"/>
          <w:u w:val="none"/>
          <w:shd w:val="clear" w:fill="FFFFFF"/>
          <w:lang w:eastAsia="zh-CN"/>
        </w:rPr>
        <w:t>万元，</w:t>
      </w:r>
      <w:r>
        <w:rPr>
          <w:rFonts w:hint="default" w:ascii="Times New Roman" w:hAnsi="Times New Roman" w:eastAsia="方正仿宋_GBK" w:cs="Times New Roman"/>
          <w:i w:val="0"/>
          <w:iCs w:val="0"/>
          <w:caps w:val="0"/>
          <w:color w:val="auto"/>
          <w:spacing w:val="0"/>
          <w:sz w:val="32"/>
          <w:szCs w:val="32"/>
          <w:highlight w:val="none"/>
          <w:u w:val="none"/>
          <w:shd w:val="clear" w:fill="FFFFFF"/>
        </w:rPr>
        <w:t>社会保障和就业支出</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14.50</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万元，卫生健康支出</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5.57</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万元，住房保障</w:t>
      </w:r>
      <w:r>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t>支出</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4.96</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w:t>
      </w:r>
      <w:r>
        <w:rPr>
          <w:rFonts w:hint="eastAsia" w:ascii="Times New Roman" w:hAnsi="Times New Roman" w:eastAsia="方正仿宋_GBK" w:cs="Times New Roman"/>
          <w:i w:val="0"/>
          <w:iCs w:val="0"/>
          <w:caps w:val="0"/>
          <w:color w:val="auto"/>
          <w:spacing w:val="0"/>
          <w:sz w:val="32"/>
          <w:szCs w:val="32"/>
          <w:highlight w:val="none"/>
          <w:u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t>结转下年</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0.00</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万元。支出较去年</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增加106.69</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万元，主要</w:t>
      </w:r>
      <w:r>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t>原因</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是受机构改革影响，本单位是合并调整后新设立二级单位，以前年度无预算。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auto"/>
          <w:spacing w:val="0"/>
          <w:sz w:val="32"/>
          <w:szCs w:val="32"/>
          <w:highlight w:val="none"/>
          <w:u w:val="none"/>
          <w:shd w:val="clear" w:fill="FFFFFF"/>
        </w:rPr>
      </w:pPr>
      <w:r>
        <w:rPr>
          <w:rFonts w:hint="eastAsia" w:ascii="方正黑体_GBK" w:hAnsi="方正黑体_GBK" w:eastAsia="方正黑体_GBK" w:cs="方正黑体_GBK"/>
          <w:i w:val="0"/>
          <w:iCs w:val="0"/>
          <w:caps w:val="0"/>
          <w:color w:val="auto"/>
          <w:spacing w:val="0"/>
          <w:sz w:val="32"/>
          <w:szCs w:val="32"/>
          <w:highlight w:val="none"/>
          <w:u w:val="none"/>
          <w:shd w:val="clear" w:fill="FFFFFF"/>
        </w:rPr>
        <w:t>三、部门预算情况说明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pPr>
      <w:r>
        <w:rPr>
          <w:rFonts w:hint="eastAsia" w:ascii="Times New Roman" w:hAnsi="Times New Roman" w:eastAsia="方正仿宋_GBK" w:cs="Times New Roman"/>
          <w:i w:val="0"/>
          <w:iCs w:val="0"/>
          <w:caps w:val="0"/>
          <w:color w:val="auto"/>
          <w:spacing w:val="0"/>
          <w:sz w:val="32"/>
          <w:szCs w:val="32"/>
          <w:highlight w:val="none"/>
          <w:u w:val="none"/>
          <w:shd w:val="clear" w:fill="FFFFFF"/>
          <w:lang w:eastAsia="zh-CN"/>
        </w:rPr>
        <w:t>2025年</w:t>
      </w:r>
      <w:r>
        <w:rPr>
          <w:rFonts w:hint="default" w:ascii="Times New Roman" w:hAnsi="Times New Roman" w:eastAsia="方正仿宋_GBK" w:cs="Times New Roman"/>
          <w:i w:val="0"/>
          <w:iCs w:val="0"/>
          <w:caps w:val="0"/>
          <w:color w:val="auto"/>
          <w:spacing w:val="0"/>
          <w:sz w:val="32"/>
          <w:szCs w:val="32"/>
          <w:highlight w:val="none"/>
          <w:u w:val="none"/>
          <w:shd w:val="clear" w:fill="FFFFFF"/>
        </w:rPr>
        <w:t>一般公共预算财政拨款收入</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106.69</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万元，一般公共预算财政拨款支出</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106.69</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万元，比</w:t>
      </w:r>
      <w:r>
        <w:rPr>
          <w:rFonts w:hint="eastAsia" w:ascii="Times New Roman" w:hAnsi="Times New Roman" w:eastAsia="方正仿宋_GBK" w:cs="Times New Roman"/>
          <w:i w:val="0"/>
          <w:iCs w:val="0"/>
          <w:caps w:val="0"/>
          <w:color w:val="auto"/>
          <w:spacing w:val="0"/>
          <w:sz w:val="32"/>
          <w:szCs w:val="32"/>
          <w:highlight w:val="none"/>
          <w:u w:val="none"/>
          <w:shd w:val="clear" w:fill="FFFFFF"/>
          <w:lang w:eastAsia="zh-CN"/>
        </w:rPr>
        <w:t>2024年</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增加106.69</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万元。其中</w:t>
      </w:r>
      <w:r>
        <w:rPr>
          <w:rFonts w:hint="eastAsia" w:ascii="Times New Roman" w:hAnsi="Times New Roman" w:eastAsia="方正仿宋_GBK" w:cs="Times New Roman"/>
          <w:i w:val="0"/>
          <w:iCs w:val="0"/>
          <w:caps w:val="0"/>
          <w:color w:val="auto"/>
          <w:spacing w:val="0"/>
          <w:sz w:val="32"/>
          <w:szCs w:val="32"/>
          <w:highlight w:val="none"/>
          <w:u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u w:val="none"/>
          <w:shd w:val="clear" w:fill="FFFFFF"/>
        </w:rPr>
        <w:t>基本支出</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106.69</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万元，比</w:t>
      </w:r>
      <w:r>
        <w:rPr>
          <w:rFonts w:hint="eastAsia" w:ascii="Times New Roman" w:hAnsi="Times New Roman" w:eastAsia="方正仿宋_GBK" w:cs="Times New Roman"/>
          <w:i w:val="0"/>
          <w:iCs w:val="0"/>
          <w:caps w:val="0"/>
          <w:color w:val="auto"/>
          <w:spacing w:val="0"/>
          <w:sz w:val="32"/>
          <w:szCs w:val="32"/>
          <w:highlight w:val="none"/>
          <w:u w:val="none"/>
          <w:shd w:val="clear" w:fill="FFFFFF"/>
          <w:lang w:eastAsia="zh-CN"/>
        </w:rPr>
        <w:t>2024年</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增加106.69</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万元，主要</w:t>
      </w:r>
      <w:r>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t>原因</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是受机构改革影响，本单位是合并调整后新设立二级单位，以前年度无预算。</w:t>
      </w:r>
      <w:r>
        <w:rPr>
          <w:rFonts w:hint="default" w:ascii="Times New Roman" w:hAnsi="Times New Roman" w:eastAsia="方正仿宋_GBK" w:cs="Times New Roman"/>
          <w:i w:val="0"/>
          <w:iCs w:val="0"/>
          <w:caps w:val="0"/>
          <w:color w:val="auto"/>
          <w:spacing w:val="0"/>
          <w:sz w:val="32"/>
          <w:szCs w:val="32"/>
          <w:highlight w:val="none"/>
          <w:u w:val="none"/>
          <w:shd w:val="clear" w:fill="FFFFFF"/>
        </w:rPr>
        <w:t>主要用于</w:t>
      </w:r>
      <w:r>
        <w:rPr>
          <w:rFonts w:hint="eastAsia" w:ascii="Times New Roman" w:hAnsi="Times New Roman" w:eastAsia="方正仿宋_GBK" w:cs="Times New Roman"/>
          <w:i w:val="0"/>
          <w:iCs w:val="0"/>
          <w:caps w:val="0"/>
          <w:color w:val="auto"/>
          <w:spacing w:val="0"/>
          <w:sz w:val="32"/>
          <w:szCs w:val="32"/>
          <w:highlight w:val="none"/>
          <w:u w:val="none"/>
          <w:shd w:val="clear" w:fill="FFFFFF"/>
          <w:lang w:eastAsia="zh-CN"/>
        </w:rPr>
        <w:t>保障在职人员工资福利以及单位日常办公运行等；</w:t>
      </w:r>
      <w:r>
        <w:rPr>
          <w:rFonts w:hint="default" w:ascii="Times New Roman" w:hAnsi="Times New Roman" w:eastAsia="方正仿宋_GBK" w:cs="Times New Roman"/>
          <w:i w:val="0"/>
          <w:iCs w:val="0"/>
          <w:caps w:val="0"/>
          <w:color w:val="auto"/>
          <w:spacing w:val="0"/>
          <w:sz w:val="32"/>
          <w:szCs w:val="32"/>
          <w:highlight w:val="none"/>
          <w:u w:val="none"/>
          <w:shd w:val="clear" w:fill="FFFFFF"/>
        </w:rPr>
        <w:t>项目支出</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0.00</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w:t>
      </w:r>
      <w:r>
        <w:rPr>
          <w:rFonts w:hint="eastAsia" w:ascii="Times New Roman" w:hAnsi="Times New Roman" w:eastAsia="方正仿宋_GBK" w:cs="Times New Roman"/>
          <w:i w:val="0"/>
          <w:iCs w:val="0"/>
          <w:caps w:val="0"/>
          <w:color w:val="auto"/>
          <w:spacing w:val="0"/>
          <w:sz w:val="32"/>
          <w:szCs w:val="32"/>
          <w:highlight w:val="none"/>
          <w:u w:val="none"/>
          <w:shd w:val="clear" w:fill="FFFFFF"/>
          <w:lang w:eastAsia="zh-CN"/>
        </w:rPr>
        <w:t>。</w:t>
      </w:r>
    </w:p>
    <w:p>
      <w:pPr>
        <w:pStyle w:val="8"/>
        <w:keepNext w:val="0"/>
        <w:keepLines w:val="0"/>
        <w:pageBreakBefore w:val="0"/>
        <w:tabs>
          <w:tab w:val="center" w:pos="4153"/>
          <w:tab w:val="left" w:pos="7275"/>
        </w:tabs>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仿宋_GBK" w:cs="Times New Roman"/>
          <w:color w:val="auto"/>
          <w:sz w:val="32"/>
          <w:highlight w:val="none"/>
          <w:u w:val="none"/>
        </w:rPr>
      </w:pPr>
      <w:r>
        <w:rPr>
          <w:rFonts w:hint="default" w:ascii="Times New Roman" w:hAnsi="Times New Roman" w:eastAsia="方正仿宋_GBK" w:cs="Times New Roman"/>
          <w:color w:val="auto"/>
          <w:sz w:val="32"/>
          <w:highlight w:val="none"/>
          <w:u w:val="none"/>
        </w:rPr>
        <w:t>秀山</w:t>
      </w:r>
      <w:r>
        <w:rPr>
          <w:rFonts w:hint="default" w:ascii="Times New Roman" w:hAnsi="Times New Roman" w:eastAsia="方正仿宋_GBK" w:cs="Times New Roman"/>
          <w:color w:val="auto"/>
          <w:sz w:val="32"/>
          <w:highlight w:val="none"/>
          <w:u w:val="none"/>
          <w:lang w:val="en-US" w:eastAsia="zh-CN"/>
        </w:rPr>
        <w:t>土家族苗族</w:t>
      </w:r>
      <w:r>
        <w:rPr>
          <w:rFonts w:hint="default" w:ascii="Times New Roman" w:hAnsi="Times New Roman" w:eastAsia="方正仿宋_GBK" w:cs="Times New Roman"/>
          <w:color w:val="auto"/>
          <w:sz w:val="32"/>
          <w:highlight w:val="none"/>
          <w:u w:val="none"/>
        </w:rPr>
        <w:t>自治县</w:t>
      </w:r>
      <w:r>
        <w:rPr>
          <w:rFonts w:hint="default" w:ascii="Times New Roman" w:hAnsi="Times New Roman" w:eastAsia="方正仿宋_GBK" w:cs="Times New Roman"/>
          <w:color w:val="auto"/>
          <w:sz w:val="32"/>
          <w:highlight w:val="none"/>
          <w:u w:val="none"/>
          <w:lang w:val="en-US" w:eastAsia="zh-CN"/>
        </w:rPr>
        <w:t>峨溶镇</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便民服务中心（退役军人服务站）</w:t>
      </w:r>
      <w:r>
        <w:rPr>
          <w:rFonts w:hint="default" w:ascii="Times New Roman" w:hAnsi="Times New Roman" w:eastAsia="方正仿宋_GBK" w:cs="Times New Roman"/>
          <w:color w:val="auto"/>
          <w:kern w:val="2"/>
          <w:sz w:val="32"/>
          <w:szCs w:val="22"/>
          <w:highlight w:val="none"/>
          <w:u w:val="none"/>
          <w:lang w:val="en-US" w:eastAsia="zh-CN" w:bidi="ar-SA"/>
        </w:rPr>
        <w:t>202</w:t>
      </w:r>
      <w:r>
        <w:rPr>
          <w:rFonts w:hint="eastAsia" w:ascii="Times New Roman" w:hAnsi="Times New Roman" w:eastAsia="方正仿宋_GBK" w:cs="Times New Roman"/>
          <w:color w:val="auto"/>
          <w:kern w:val="2"/>
          <w:sz w:val="32"/>
          <w:szCs w:val="22"/>
          <w:highlight w:val="none"/>
          <w:u w:val="none"/>
          <w:lang w:val="en-US" w:eastAsia="zh-CN" w:bidi="ar-SA"/>
        </w:rPr>
        <w:t>5</w:t>
      </w:r>
      <w:r>
        <w:rPr>
          <w:rFonts w:hint="default" w:ascii="Times New Roman" w:hAnsi="Times New Roman" w:eastAsia="方正仿宋_GBK" w:cs="Times New Roman"/>
          <w:color w:val="auto"/>
          <w:sz w:val="32"/>
          <w:highlight w:val="none"/>
          <w:u w:val="none"/>
        </w:rPr>
        <w:t>年</w:t>
      </w:r>
      <w:r>
        <w:rPr>
          <w:rFonts w:hint="eastAsia" w:ascii="Times New Roman" w:hAnsi="Times New Roman" w:eastAsia="方正仿宋_GBK" w:cs="Times New Roman"/>
          <w:color w:val="auto"/>
          <w:sz w:val="32"/>
          <w:highlight w:val="none"/>
          <w:u w:val="none"/>
          <w:lang w:eastAsia="zh-CN"/>
        </w:rPr>
        <w:t>无</w:t>
      </w:r>
      <w:r>
        <w:rPr>
          <w:rFonts w:hint="default" w:ascii="Times New Roman" w:hAnsi="Times New Roman" w:eastAsia="方正仿宋_GBK" w:cs="Times New Roman"/>
          <w:color w:val="auto"/>
          <w:sz w:val="32"/>
          <w:highlight w:val="none"/>
          <w:u w:val="none"/>
        </w:rPr>
        <w:t>政府性基金预算拨款安排支出</w:t>
      </w:r>
      <w:r>
        <w:rPr>
          <w:rFonts w:hint="eastAsia" w:ascii="Times New Roman" w:hAnsi="Times New Roman" w:eastAsia="方正仿宋_GBK" w:cs="Times New Roman"/>
          <w:color w:val="auto"/>
          <w:sz w:val="32"/>
          <w:highlight w:val="none"/>
          <w:u w:val="none"/>
          <w:lang w:val="en-US"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auto"/>
          <w:spacing w:val="0"/>
          <w:sz w:val="32"/>
          <w:szCs w:val="32"/>
          <w:highlight w:val="none"/>
          <w:u w:val="none"/>
          <w:shd w:val="clear" w:fill="FFFFFF"/>
        </w:rPr>
      </w:pPr>
      <w:r>
        <w:rPr>
          <w:rFonts w:hint="eastAsia" w:ascii="方正黑体_GBK" w:hAnsi="方正黑体_GBK" w:eastAsia="方正黑体_GBK" w:cs="方正黑体_GBK"/>
          <w:i w:val="0"/>
          <w:iCs w:val="0"/>
          <w:caps w:val="0"/>
          <w:color w:val="auto"/>
          <w:spacing w:val="0"/>
          <w:sz w:val="32"/>
          <w:szCs w:val="32"/>
          <w:highlight w:val="none"/>
          <w:u w:val="none"/>
          <w:shd w:val="clear" w:fill="FFFFFF"/>
        </w:rPr>
        <w:t>四、</w:t>
      </w:r>
      <w:r>
        <w:rPr>
          <w:rFonts w:hint="eastAsia" w:ascii="方正黑体_GBK" w:hAnsi="方正黑体_GBK" w:eastAsia="方正黑体_GBK" w:cs="方正黑体_GBK"/>
          <w:i w:val="0"/>
          <w:iCs w:val="0"/>
          <w:caps w:val="0"/>
          <w:color w:val="auto"/>
          <w:spacing w:val="0"/>
          <w:sz w:val="32"/>
          <w:szCs w:val="32"/>
          <w:highlight w:val="none"/>
          <w:u w:val="none"/>
          <w:shd w:val="clear" w:fill="FFFFFF"/>
          <w:lang w:eastAsia="zh-CN"/>
        </w:rPr>
        <w:t>“</w:t>
      </w:r>
      <w:r>
        <w:rPr>
          <w:rFonts w:hint="eastAsia" w:ascii="方正黑体_GBK" w:hAnsi="方正黑体_GBK" w:eastAsia="方正黑体_GBK" w:cs="方正黑体_GBK"/>
          <w:i w:val="0"/>
          <w:iCs w:val="0"/>
          <w:caps w:val="0"/>
          <w:color w:val="auto"/>
          <w:spacing w:val="0"/>
          <w:sz w:val="32"/>
          <w:szCs w:val="32"/>
          <w:highlight w:val="none"/>
          <w:u w:val="none"/>
          <w:shd w:val="clear" w:fill="FFFFFF"/>
        </w:rPr>
        <w:t>三公</w:t>
      </w:r>
      <w:r>
        <w:rPr>
          <w:rFonts w:hint="eastAsia" w:ascii="方正黑体_GBK" w:hAnsi="方正黑体_GBK" w:eastAsia="方正黑体_GBK" w:cs="方正黑体_GBK"/>
          <w:i w:val="0"/>
          <w:iCs w:val="0"/>
          <w:caps w:val="0"/>
          <w:color w:val="auto"/>
          <w:spacing w:val="0"/>
          <w:sz w:val="32"/>
          <w:szCs w:val="32"/>
          <w:highlight w:val="none"/>
          <w:u w:val="none"/>
          <w:shd w:val="clear" w:fill="FFFFFF"/>
          <w:lang w:eastAsia="zh-CN"/>
        </w:rPr>
        <w:t>”</w:t>
      </w:r>
      <w:r>
        <w:rPr>
          <w:rFonts w:hint="eastAsia" w:ascii="方正黑体_GBK" w:hAnsi="方正黑体_GBK" w:eastAsia="方正黑体_GBK" w:cs="方正黑体_GBK"/>
          <w:i w:val="0"/>
          <w:iCs w:val="0"/>
          <w:caps w:val="0"/>
          <w:color w:val="auto"/>
          <w:spacing w:val="0"/>
          <w:sz w:val="32"/>
          <w:szCs w:val="32"/>
          <w:highlight w:val="none"/>
          <w:u w:val="none"/>
          <w:shd w:val="clear" w:fill="FFFFFF"/>
        </w:rPr>
        <w:t>经费情况说明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auto"/>
          <w:spacing w:val="0"/>
          <w:sz w:val="32"/>
          <w:szCs w:val="32"/>
          <w:highlight w:val="none"/>
          <w:u w:val="none"/>
          <w:lang w:eastAsia="zh-CN"/>
        </w:rPr>
      </w:pPr>
      <w:r>
        <w:rPr>
          <w:rFonts w:hint="eastAsia" w:ascii="Times New Roman" w:hAnsi="Times New Roman" w:eastAsia="方正仿宋_GBK" w:cs="Times New Roman"/>
          <w:i w:val="0"/>
          <w:iCs w:val="0"/>
          <w:caps w:val="0"/>
          <w:color w:val="auto"/>
          <w:spacing w:val="0"/>
          <w:sz w:val="32"/>
          <w:szCs w:val="32"/>
          <w:highlight w:val="none"/>
          <w:u w:val="none"/>
          <w:shd w:val="clear" w:fill="FFFFFF"/>
          <w:lang w:eastAsia="zh-CN"/>
        </w:rPr>
        <w:t>2025年“</w:t>
      </w:r>
      <w:r>
        <w:rPr>
          <w:rFonts w:hint="default" w:ascii="Times New Roman" w:hAnsi="Times New Roman" w:eastAsia="方正仿宋_GBK" w:cs="Times New Roman"/>
          <w:i w:val="0"/>
          <w:iCs w:val="0"/>
          <w:caps w:val="0"/>
          <w:color w:val="auto"/>
          <w:spacing w:val="0"/>
          <w:sz w:val="32"/>
          <w:szCs w:val="32"/>
          <w:highlight w:val="none"/>
          <w:u w:val="none"/>
          <w:shd w:val="clear" w:fill="FFFFFF"/>
        </w:rPr>
        <w:t>三公</w:t>
      </w:r>
      <w:r>
        <w:rPr>
          <w:rFonts w:hint="eastAsia" w:ascii="Times New Roman" w:hAnsi="Times New Roman" w:eastAsia="方正仿宋_GBK" w:cs="Times New Roman"/>
          <w:i w:val="0"/>
          <w:iCs w:val="0"/>
          <w:caps w:val="0"/>
          <w:color w:val="auto"/>
          <w:spacing w:val="0"/>
          <w:sz w:val="32"/>
          <w:szCs w:val="32"/>
          <w:highlight w:val="none"/>
          <w:u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u w:val="none"/>
          <w:shd w:val="clear" w:fill="FFFFFF"/>
        </w:rPr>
        <w:t>经费预算</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0.00</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万元，比</w:t>
      </w:r>
      <w:r>
        <w:rPr>
          <w:rFonts w:hint="eastAsia" w:ascii="Times New Roman" w:hAnsi="Times New Roman" w:eastAsia="方正仿宋_GBK" w:cs="Times New Roman"/>
          <w:i w:val="0"/>
          <w:iCs w:val="0"/>
          <w:caps w:val="0"/>
          <w:color w:val="auto"/>
          <w:spacing w:val="0"/>
          <w:sz w:val="32"/>
          <w:szCs w:val="32"/>
          <w:highlight w:val="none"/>
          <w:u w:val="none"/>
          <w:shd w:val="clear" w:fill="FFFFFF"/>
          <w:lang w:eastAsia="zh-CN"/>
        </w:rPr>
        <w:t>2024年</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减少0.00</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w:t>
      </w:r>
      <w:r>
        <w:rPr>
          <w:rFonts w:hint="default" w:ascii="Times New Roman" w:hAnsi="Times New Roman" w:eastAsia="方正仿宋_GBK" w:cs="Times New Roman"/>
          <w:i w:val="0"/>
          <w:iCs w:val="0"/>
          <w:caps w:val="0"/>
          <w:color w:val="auto"/>
          <w:spacing w:val="0"/>
          <w:sz w:val="32"/>
          <w:szCs w:val="32"/>
          <w:highlight w:val="none"/>
          <w:u w:val="none"/>
          <w:shd w:val="clear" w:fill="FFFFFF"/>
          <w:lang w:eastAsia="zh-CN"/>
        </w:rPr>
        <w:t>主要原因是本单位属于</w:t>
      </w:r>
      <w:r>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t>峨溶镇人民政府</w:t>
      </w:r>
      <w:r>
        <w:rPr>
          <w:rFonts w:hint="default" w:ascii="Times New Roman" w:hAnsi="Times New Roman" w:eastAsia="方正仿宋_GBK" w:cs="Times New Roman"/>
          <w:i w:val="0"/>
          <w:iCs w:val="0"/>
          <w:caps w:val="0"/>
          <w:color w:val="auto"/>
          <w:spacing w:val="0"/>
          <w:sz w:val="32"/>
          <w:szCs w:val="32"/>
          <w:highlight w:val="none"/>
          <w:u w:val="none"/>
          <w:shd w:val="clear" w:fill="FFFFFF"/>
          <w:lang w:eastAsia="zh-CN"/>
        </w:rPr>
        <w:t>下属二级机构</w:t>
      </w:r>
      <w:r>
        <w:rPr>
          <w:rFonts w:hint="eastAsia" w:ascii="Times New Roman" w:hAnsi="Times New Roman" w:eastAsia="方正仿宋_GBK" w:cs="Times New Roman"/>
          <w:i w:val="0"/>
          <w:iCs w:val="0"/>
          <w:caps w:val="0"/>
          <w:color w:val="auto"/>
          <w:spacing w:val="0"/>
          <w:sz w:val="32"/>
          <w:szCs w:val="32"/>
          <w:highlight w:val="none"/>
          <w:u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u w:val="none"/>
          <w:shd w:val="clear" w:fill="FFFFFF"/>
          <w:lang w:eastAsia="zh-CN"/>
        </w:rPr>
        <w:t>三公</w:t>
      </w:r>
      <w:r>
        <w:rPr>
          <w:rFonts w:hint="eastAsia" w:ascii="Times New Roman" w:hAnsi="Times New Roman" w:eastAsia="方正仿宋_GBK" w:cs="Times New Roman"/>
          <w:i w:val="0"/>
          <w:iCs w:val="0"/>
          <w:caps w:val="0"/>
          <w:color w:val="auto"/>
          <w:spacing w:val="0"/>
          <w:sz w:val="32"/>
          <w:szCs w:val="32"/>
          <w:highlight w:val="none"/>
          <w:u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u w:val="none"/>
          <w:shd w:val="clear" w:fill="FFFFFF"/>
          <w:lang w:eastAsia="zh-CN"/>
        </w:rPr>
        <w:t>经费主要由</w:t>
      </w:r>
      <w:r>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t>峨溶镇人民政府</w:t>
      </w:r>
      <w:r>
        <w:rPr>
          <w:rFonts w:hint="default" w:ascii="Times New Roman" w:hAnsi="Times New Roman" w:eastAsia="方正仿宋_GBK" w:cs="Times New Roman"/>
          <w:i w:val="0"/>
          <w:iCs w:val="0"/>
          <w:caps w:val="0"/>
          <w:color w:val="auto"/>
          <w:spacing w:val="0"/>
          <w:sz w:val="32"/>
          <w:szCs w:val="32"/>
          <w:highlight w:val="none"/>
          <w:u w:val="none"/>
          <w:shd w:val="clear" w:fill="FFFFFF"/>
          <w:lang w:eastAsia="zh-CN"/>
        </w:rPr>
        <w:t>（本级）预算</w:t>
      </w:r>
      <w:r>
        <w:rPr>
          <w:rFonts w:hint="eastAsia" w:ascii="Times New Roman" w:hAnsi="Times New Roman" w:eastAsia="方正仿宋_GBK" w:cs="Times New Roman"/>
          <w:i w:val="0"/>
          <w:iCs w:val="0"/>
          <w:caps w:val="0"/>
          <w:color w:val="auto"/>
          <w:spacing w:val="0"/>
          <w:sz w:val="32"/>
          <w:szCs w:val="32"/>
          <w:highlight w:val="none"/>
          <w:u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u w:val="none"/>
          <w:shd w:val="clear" w:fill="FFFFFF"/>
        </w:rPr>
        <w:t>其中：因公出国（境）费用</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0.00</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万元，比</w:t>
      </w:r>
      <w:r>
        <w:rPr>
          <w:rFonts w:hint="eastAsia" w:ascii="Times New Roman" w:hAnsi="Times New Roman" w:eastAsia="方正仿宋_GBK" w:cs="Times New Roman"/>
          <w:i w:val="0"/>
          <w:iCs w:val="0"/>
          <w:caps w:val="0"/>
          <w:color w:val="auto"/>
          <w:spacing w:val="0"/>
          <w:sz w:val="32"/>
          <w:szCs w:val="32"/>
          <w:highlight w:val="none"/>
          <w:u w:val="none"/>
          <w:shd w:val="clear" w:fill="FFFFFF"/>
          <w:lang w:eastAsia="zh-CN"/>
        </w:rPr>
        <w:t>2024年</w:t>
      </w:r>
      <w:r>
        <w:rPr>
          <w:rFonts w:hint="default" w:ascii="Times New Roman" w:hAnsi="Times New Roman" w:eastAsia="方正仿宋_GBK" w:cs="Times New Roman"/>
          <w:i w:val="0"/>
          <w:iCs w:val="0"/>
          <w:caps w:val="0"/>
          <w:color w:val="auto"/>
          <w:spacing w:val="0"/>
          <w:sz w:val="32"/>
          <w:szCs w:val="32"/>
          <w:highlight w:val="none"/>
          <w:u w:val="none"/>
          <w:shd w:val="clear" w:fill="FFFFFF"/>
        </w:rPr>
        <w:t>减少</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0.00</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万元；公务接待费</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0.00</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万元，比</w:t>
      </w:r>
      <w:r>
        <w:rPr>
          <w:rFonts w:hint="eastAsia" w:ascii="Times New Roman" w:hAnsi="Times New Roman" w:eastAsia="方正仿宋_GBK" w:cs="Times New Roman"/>
          <w:i w:val="0"/>
          <w:iCs w:val="0"/>
          <w:caps w:val="0"/>
          <w:color w:val="auto"/>
          <w:spacing w:val="0"/>
          <w:sz w:val="32"/>
          <w:szCs w:val="32"/>
          <w:highlight w:val="none"/>
          <w:u w:val="none"/>
          <w:shd w:val="clear" w:fill="FFFFFF"/>
          <w:lang w:eastAsia="zh-CN"/>
        </w:rPr>
        <w:t>2024年</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减少0.00</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万元；公务用车运行维护费</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0.00</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万元，比</w:t>
      </w:r>
      <w:r>
        <w:rPr>
          <w:rFonts w:hint="eastAsia" w:ascii="Times New Roman" w:hAnsi="Times New Roman" w:eastAsia="方正仿宋_GBK" w:cs="Times New Roman"/>
          <w:i w:val="0"/>
          <w:iCs w:val="0"/>
          <w:caps w:val="0"/>
          <w:color w:val="auto"/>
          <w:spacing w:val="0"/>
          <w:sz w:val="32"/>
          <w:szCs w:val="32"/>
          <w:highlight w:val="none"/>
          <w:u w:val="none"/>
          <w:shd w:val="clear" w:fill="FFFFFF"/>
          <w:lang w:eastAsia="zh-CN"/>
        </w:rPr>
        <w:t>2024年</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减少0.00</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万元；公务用车购置费</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0.00</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万元，比</w:t>
      </w:r>
      <w:r>
        <w:rPr>
          <w:rFonts w:hint="eastAsia" w:ascii="Times New Roman" w:hAnsi="Times New Roman" w:eastAsia="方正仿宋_GBK" w:cs="Times New Roman"/>
          <w:i w:val="0"/>
          <w:iCs w:val="0"/>
          <w:caps w:val="0"/>
          <w:color w:val="auto"/>
          <w:spacing w:val="0"/>
          <w:sz w:val="32"/>
          <w:szCs w:val="32"/>
          <w:highlight w:val="none"/>
          <w:u w:val="none"/>
          <w:shd w:val="clear" w:fill="FFFFFF"/>
          <w:lang w:eastAsia="zh-CN"/>
        </w:rPr>
        <w:t>2024年</w:t>
      </w:r>
      <w:r>
        <w:rPr>
          <w:rFonts w:hint="default" w:ascii="Times New Roman" w:hAnsi="Times New Roman" w:eastAsia="方正仿宋_GBK" w:cs="Times New Roman"/>
          <w:i w:val="0"/>
          <w:iCs w:val="0"/>
          <w:caps w:val="0"/>
          <w:color w:val="auto"/>
          <w:spacing w:val="0"/>
          <w:sz w:val="32"/>
          <w:szCs w:val="32"/>
          <w:highlight w:val="none"/>
          <w:u w:val="none"/>
          <w:shd w:val="clear" w:fill="FFFFFF"/>
        </w:rPr>
        <w:t>减少</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0.00</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w:t>
      </w:r>
      <w:r>
        <w:rPr>
          <w:rFonts w:hint="eastAsia" w:ascii="Times New Roman" w:hAnsi="Times New Roman" w:eastAsia="方正仿宋_GBK" w:cs="Times New Roman"/>
          <w:i w:val="0"/>
          <w:iCs w:val="0"/>
          <w:caps w:val="0"/>
          <w:color w:val="auto"/>
          <w:spacing w:val="0"/>
          <w:sz w:val="32"/>
          <w:szCs w:val="32"/>
          <w:highlight w:val="none"/>
          <w:u w:val="none"/>
          <w:shd w:val="clear" w:fill="FFFFFF"/>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auto"/>
          <w:spacing w:val="0"/>
          <w:sz w:val="32"/>
          <w:szCs w:val="32"/>
          <w:highlight w:val="none"/>
          <w:u w:val="none"/>
          <w:shd w:val="clear" w:fill="FFFFFF"/>
        </w:rPr>
      </w:pPr>
      <w:r>
        <w:rPr>
          <w:rFonts w:hint="eastAsia" w:ascii="方正黑体_GBK" w:hAnsi="方正黑体_GBK" w:eastAsia="方正黑体_GBK" w:cs="方正黑体_GBK"/>
          <w:i w:val="0"/>
          <w:iCs w:val="0"/>
          <w:caps w:val="0"/>
          <w:color w:val="auto"/>
          <w:spacing w:val="0"/>
          <w:sz w:val="32"/>
          <w:szCs w:val="32"/>
          <w:highlight w:val="none"/>
          <w:u w:val="none"/>
          <w:shd w:val="clear" w:fill="FFFFFF"/>
        </w:rPr>
        <w:t>五、其他重要事项的情况说明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pPr>
      <w:r>
        <w:rPr>
          <w:rFonts w:hint="eastAsia" w:ascii="方正楷体_GBK" w:hAnsi="方正楷体_GBK" w:eastAsia="方正楷体_GBK" w:cs="方正楷体_GBK"/>
          <w:i w:val="0"/>
          <w:iCs w:val="0"/>
          <w:caps w:val="0"/>
          <w:color w:val="auto"/>
          <w:spacing w:val="0"/>
          <w:sz w:val="32"/>
          <w:szCs w:val="32"/>
          <w:highlight w:val="none"/>
          <w:u w:val="none"/>
          <w:shd w:val="clear" w:fill="FFFFFF"/>
          <w:lang w:eastAsia="zh-CN"/>
        </w:rPr>
        <w:t>（</w:t>
      </w:r>
      <w:r>
        <w:rPr>
          <w:rFonts w:hint="eastAsia" w:ascii="方正楷体_GBK" w:hAnsi="方正楷体_GBK" w:eastAsia="方正楷体_GBK" w:cs="方正楷体_GBK"/>
          <w:i w:val="0"/>
          <w:iCs w:val="0"/>
          <w:caps w:val="0"/>
          <w:color w:val="auto"/>
          <w:spacing w:val="0"/>
          <w:sz w:val="32"/>
          <w:szCs w:val="32"/>
          <w:highlight w:val="none"/>
          <w:u w:val="none"/>
          <w:shd w:val="clear" w:fill="FFFFFF"/>
          <w:lang w:val="en-US" w:eastAsia="zh-CN"/>
        </w:rPr>
        <w:t>一</w:t>
      </w:r>
      <w:r>
        <w:rPr>
          <w:rFonts w:hint="eastAsia" w:ascii="方正楷体_GBK" w:hAnsi="方正楷体_GBK" w:eastAsia="方正楷体_GBK" w:cs="方正楷体_GBK"/>
          <w:i w:val="0"/>
          <w:iCs w:val="0"/>
          <w:caps w:val="0"/>
          <w:color w:val="auto"/>
          <w:spacing w:val="0"/>
          <w:sz w:val="32"/>
          <w:szCs w:val="32"/>
          <w:highlight w:val="none"/>
          <w:u w:val="none"/>
          <w:shd w:val="clear" w:fill="FFFFFF"/>
          <w:lang w:eastAsia="zh-CN"/>
        </w:rPr>
        <w:t>）</w:t>
      </w:r>
      <w:r>
        <w:rPr>
          <w:rFonts w:hint="eastAsia" w:ascii="方正楷体_GBK" w:hAnsi="方正楷体_GBK" w:eastAsia="方正楷体_GBK" w:cs="方正楷体_GBK"/>
          <w:i w:val="0"/>
          <w:iCs w:val="0"/>
          <w:caps w:val="0"/>
          <w:color w:val="auto"/>
          <w:spacing w:val="0"/>
          <w:sz w:val="32"/>
          <w:szCs w:val="32"/>
          <w:highlight w:val="none"/>
          <w:u w:val="none"/>
          <w:shd w:val="clear" w:fill="FFFFFF"/>
        </w:rPr>
        <w:t>机关运行经费</w:t>
      </w:r>
      <w:r>
        <w:rPr>
          <w:rFonts w:hint="default" w:ascii="Times New Roman" w:hAnsi="Times New Roman" w:eastAsia="方正仿宋_GBK" w:cs="Times New Roman"/>
          <w:i w:val="0"/>
          <w:iCs w:val="0"/>
          <w:caps w:val="0"/>
          <w:color w:val="auto"/>
          <w:spacing w:val="0"/>
          <w:sz w:val="32"/>
          <w:szCs w:val="32"/>
          <w:highlight w:val="none"/>
          <w:u w:val="none"/>
          <w:shd w:val="clear" w:fill="FFFFFF"/>
        </w:rPr>
        <w:t>。</w:t>
      </w:r>
      <w:r>
        <w:rPr>
          <w:rFonts w:hint="eastAsia" w:ascii="Times New Roman" w:hAnsi="Times New Roman" w:eastAsia="方正仿宋_GBK" w:cs="Times New Roman"/>
          <w:i w:val="0"/>
          <w:iCs w:val="0"/>
          <w:caps w:val="0"/>
          <w:color w:val="auto"/>
          <w:spacing w:val="0"/>
          <w:sz w:val="32"/>
          <w:szCs w:val="32"/>
          <w:highlight w:val="none"/>
          <w:u w:val="none"/>
          <w:shd w:val="clear" w:fill="FFFFFF"/>
          <w:lang w:eastAsia="zh-CN"/>
        </w:rPr>
        <w:t>2025年</w:t>
      </w:r>
      <w:r>
        <w:rPr>
          <w:rFonts w:hint="default" w:ascii="Times New Roman" w:hAnsi="Times New Roman" w:eastAsia="方正仿宋_GBK" w:cs="Times New Roman"/>
          <w:i w:val="0"/>
          <w:iCs w:val="0"/>
          <w:caps w:val="0"/>
          <w:color w:val="auto"/>
          <w:spacing w:val="0"/>
          <w:sz w:val="32"/>
          <w:szCs w:val="32"/>
          <w:highlight w:val="none"/>
          <w:u w:val="none"/>
          <w:shd w:val="clear" w:fill="FFFFFF"/>
        </w:rPr>
        <w:t>一般公共预算财政拨款</w:t>
      </w:r>
      <w:r>
        <w:rPr>
          <w:rFonts w:hint="eastAsia" w:ascii="Times New Roman" w:hAnsi="Times New Roman" w:eastAsia="方正仿宋_GBK" w:cs="Times New Roman"/>
          <w:i w:val="0"/>
          <w:iCs w:val="0"/>
          <w:caps w:val="0"/>
          <w:color w:val="auto"/>
          <w:spacing w:val="0"/>
          <w:sz w:val="32"/>
          <w:szCs w:val="32"/>
          <w:highlight w:val="none"/>
          <w:u w:val="none"/>
          <w:shd w:val="clear" w:fill="FFFFFF"/>
          <w:lang w:eastAsia="zh-CN"/>
        </w:rPr>
        <w:t>机关</w:t>
      </w:r>
      <w:r>
        <w:rPr>
          <w:rFonts w:hint="default" w:ascii="Times New Roman" w:hAnsi="Times New Roman" w:eastAsia="方正仿宋_GBK" w:cs="Times New Roman"/>
          <w:i w:val="0"/>
          <w:iCs w:val="0"/>
          <w:caps w:val="0"/>
          <w:color w:val="auto"/>
          <w:spacing w:val="0"/>
          <w:sz w:val="32"/>
          <w:szCs w:val="32"/>
          <w:highlight w:val="none"/>
          <w:u w:val="none"/>
          <w:shd w:val="clear" w:fill="FFFFFF"/>
        </w:rPr>
        <w:t>运行经费</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0.00</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万元，比上年减少</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0.00</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w:t>
      </w:r>
      <w:r>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t>主要原因是我单位为事业单位，不在机关运行经费统计范围之内。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auto"/>
          <w:spacing w:val="0"/>
          <w:sz w:val="32"/>
          <w:szCs w:val="32"/>
          <w:highlight w:val="none"/>
          <w:u w:val="none"/>
          <w:lang w:val="en-US" w:eastAsia="zh-CN"/>
        </w:rPr>
      </w:pPr>
      <w:r>
        <w:rPr>
          <w:rFonts w:hint="eastAsia" w:ascii="方正楷体_GBK" w:hAnsi="方正楷体_GBK" w:eastAsia="方正楷体_GBK" w:cs="方正楷体_GBK"/>
          <w:i w:val="0"/>
          <w:iCs w:val="0"/>
          <w:caps w:val="0"/>
          <w:color w:val="auto"/>
          <w:spacing w:val="0"/>
          <w:sz w:val="32"/>
          <w:szCs w:val="32"/>
          <w:highlight w:val="none"/>
          <w:u w:val="none"/>
          <w:shd w:val="clear" w:fill="FFFFFF"/>
          <w:lang w:eastAsia="zh-CN"/>
        </w:rPr>
        <w:t>（</w:t>
      </w:r>
      <w:r>
        <w:rPr>
          <w:rFonts w:hint="eastAsia" w:ascii="方正楷体_GBK" w:hAnsi="方正楷体_GBK" w:eastAsia="方正楷体_GBK" w:cs="方正楷体_GBK"/>
          <w:i w:val="0"/>
          <w:iCs w:val="0"/>
          <w:caps w:val="0"/>
          <w:color w:val="auto"/>
          <w:spacing w:val="0"/>
          <w:sz w:val="32"/>
          <w:szCs w:val="32"/>
          <w:highlight w:val="none"/>
          <w:u w:val="none"/>
          <w:shd w:val="clear" w:fill="FFFFFF"/>
          <w:lang w:val="en-US" w:eastAsia="zh-CN"/>
        </w:rPr>
        <w:t>二</w:t>
      </w:r>
      <w:r>
        <w:rPr>
          <w:rFonts w:hint="eastAsia" w:ascii="方正楷体_GBK" w:hAnsi="方正楷体_GBK" w:eastAsia="方正楷体_GBK" w:cs="方正楷体_GBK"/>
          <w:i w:val="0"/>
          <w:iCs w:val="0"/>
          <w:caps w:val="0"/>
          <w:color w:val="auto"/>
          <w:spacing w:val="0"/>
          <w:sz w:val="32"/>
          <w:szCs w:val="32"/>
          <w:highlight w:val="none"/>
          <w:u w:val="none"/>
          <w:shd w:val="clear" w:fill="FFFFFF"/>
          <w:lang w:eastAsia="zh-CN"/>
        </w:rPr>
        <w:t>）</w:t>
      </w:r>
      <w:r>
        <w:rPr>
          <w:rFonts w:hint="eastAsia" w:ascii="方正楷体_GBK" w:hAnsi="方正楷体_GBK" w:eastAsia="方正楷体_GBK" w:cs="方正楷体_GBK"/>
          <w:i w:val="0"/>
          <w:iCs w:val="0"/>
          <w:caps w:val="0"/>
          <w:color w:val="auto"/>
          <w:spacing w:val="0"/>
          <w:sz w:val="32"/>
          <w:szCs w:val="32"/>
          <w:highlight w:val="none"/>
          <w:u w:val="none"/>
          <w:shd w:val="clear" w:fill="FFFFFF"/>
        </w:rPr>
        <w:t>绩效目标设置情况</w:t>
      </w:r>
      <w:r>
        <w:rPr>
          <w:rFonts w:hint="default" w:ascii="Times New Roman" w:hAnsi="Times New Roman" w:eastAsia="方正仿宋_GBK" w:cs="Times New Roman"/>
          <w:i w:val="0"/>
          <w:iCs w:val="0"/>
          <w:caps w:val="0"/>
          <w:color w:val="auto"/>
          <w:spacing w:val="0"/>
          <w:sz w:val="32"/>
          <w:szCs w:val="32"/>
          <w:highlight w:val="none"/>
          <w:u w:val="none"/>
          <w:shd w:val="clear" w:fill="FFFFFF"/>
        </w:rPr>
        <w:t>。</w:t>
      </w:r>
      <w:r>
        <w:rPr>
          <w:rFonts w:hint="eastAsia" w:ascii="Times New Roman" w:hAnsi="Times New Roman" w:eastAsia="方正仿宋_GBK" w:cs="Times New Roman"/>
          <w:i w:val="0"/>
          <w:iCs w:val="0"/>
          <w:caps w:val="0"/>
          <w:color w:val="auto"/>
          <w:spacing w:val="0"/>
          <w:sz w:val="32"/>
          <w:szCs w:val="32"/>
          <w:highlight w:val="none"/>
          <w:u w:val="none"/>
          <w:shd w:val="clear" w:fill="FFFFFF"/>
          <w:lang w:eastAsia="zh-CN"/>
        </w:rPr>
        <w:t>本单位2025年度无</w:t>
      </w:r>
      <w:r>
        <w:rPr>
          <w:rFonts w:hint="default" w:ascii="Times New Roman" w:hAnsi="Times New Roman" w:eastAsia="方正仿宋_GBK" w:cs="Times New Roman"/>
          <w:i w:val="0"/>
          <w:iCs w:val="0"/>
          <w:caps w:val="0"/>
          <w:color w:val="auto"/>
          <w:spacing w:val="0"/>
          <w:sz w:val="32"/>
          <w:szCs w:val="32"/>
          <w:highlight w:val="none"/>
          <w:u w:val="none"/>
          <w:shd w:val="clear" w:fill="FFFFFF"/>
        </w:rPr>
        <w:t>项目支出</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highlight w:val="none"/>
          <w:u w:val="none"/>
        </w:rPr>
      </w:pPr>
      <w:r>
        <w:rPr>
          <w:rFonts w:hint="eastAsia" w:ascii="方正楷体_GBK" w:hAnsi="方正楷体_GBK" w:eastAsia="方正楷体_GBK" w:cs="方正楷体_GBK"/>
          <w:i w:val="0"/>
          <w:iCs w:val="0"/>
          <w:caps w:val="0"/>
          <w:color w:val="auto"/>
          <w:spacing w:val="0"/>
          <w:sz w:val="32"/>
          <w:szCs w:val="32"/>
          <w:highlight w:val="none"/>
          <w:u w:val="none"/>
          <w:shd w:val="clear" w:fill="FFFFFF"/>
          <w:lang w:eastAsia="zh-CN"/>
        </w:rPr>
        <w:t>（</w:t>
      </w:r>
      <w:r>
        <w:rPr>
          <w:rFonts w:hint="eastAsia" w:ascii="方正楷体_GBK" w:hAnsi="方正楷体_GBK" w:eastAsia="方正楷体_GBK" w:cs="方正楷体_GBK"/>
          <w:i w:val="0"/>
          <w:iCs w:val="0"/>
          <w:caps w:val="0"/>
          <w:color w:val="auto"/>
          <w:spacing w:val="0"/>
          <w:sz w:val="32"/>
          <w:szCs w:val="32"/>
          <w:highlight w:val="none"/>
          <w:u w:val="none"/>
          <w:shd w:val="clear" w:fill="FFFFFF"/>
          <w:lang w:val="en-US" w:eastAsia="zh-CN"/>
        </w:rPr>
        <w:t>三</w:t>
      </w:r>
      <w:r>
        <w:rPr>
          <w:rFonts w:hint="eastAsia" w:ascii="方正楷体_GBK" w:hAnsi="方正楷体_GBK" w:eastAsia="方正楷体_GBK" w:cs="方正楷体_GBK"/>
          <w:i w:val="0"/>
          <w:iCs w:val="0"/>
          <w:caps w:val="0"/>
          <w:color w:val="auto"/>
          <w:spacing w:val="0"/>
          <w:sz w:val="32"/>
          <w:szCs w:val="32"/>
          <w:highlight w:val="none"/>
          <w:u w:val="none"/>
          <w:shd w:val="clear" w:fill="FFFFFF"/>
          <w:lang w:eastAsia="zh-CN"/>
        </w:rPr>
        <w:t>）</w:t>
      </w:r>
      <w:r>
        <w:rPr>
          <w:rFonts w:hint="eastAsia" w:ascii="方正楷体_GBK" w:hAnsi="方正楷体_GBK" w:eastAsia="方正楷体_GBK" w:cs="方正楷体_GBK"/>
          <w:i w:val="0"/>
          <w:iCs w:val="0"/>
          <w:caps w:val="0"/>
          <w:color w:val="auto"/>
          <w:spacing w:val="0"/>
          <w:sz w:val="32"/>
          <w:szCs w:val="32"/>
          <w:highlight w:val="none"/>
          <w:u w:val="none"/>
          <w:shd w:val="clear" w:fill="FFFFFF"/>
        </w:rPr>
        <w:t>政府采购情况</w:t>
      </w:r>
      <w:r>
        <w:rPr>
          <w:rFonts w:hint="default" w:ascii="Times New Roman" w:hAnsi="Times New Roman" w:eastAsia="方正仿宋_GBK" w:cs="Times New Roman"/>
          <w:i w:val="0"/>
          <w:iCs w:val="0"/>
          <w:caps w:val="0"/>
          <w:color w:val="auto"/>
          <w:spacing w:val="0"/>
          <w:sz w:val="32"/>
          <w:szCs w:val="32"/>
          <w:highlight w:val="none"/>
          <w:u w:val="none"/>
          <w:shd w:val="clear" w:fill="FFFFFF"/>
        </w:rPr>
        <w:t>。</w:t>
      </w:r>
      <w:r>
        <w:rPr>
          <w:rFonts w:hint="eastAsia" w:ascii="Times New Roman" w:hAnsi="Times New Roman" w:eastAsia="方正仿宋_GBK" w:cs="Times New Roman"/>
          <w:i w:val="0"/>
          <w:iCs w:val="0"/>
          <w:caps w:val="0"/>
          <w:color w:val="auto"/>
          <w:spacing w:val="0"/>
          <w:sz w:val="32"/>
          <w:szCs w:val="32"/>
          <w:highlight w:val="none"/>
          <w:u w:val="none"/>
          <w:shd w:val="clear" w:fill="FFFFFF"/>
          <w:lang w:eastAsia="zh-CN"/>
        </w:rPr>
        <w:t>本</w:t>
      </w:r>
      <w:r>
        <w:rPr>
          <w:rFonts w:hint="default" w:ascii="Times New Roman" w:hAnsi="Times New Roman" w:eastAsia="方正仿宋_GBK" w:cs="Times New Roman"/>
          <w:i w:val="0"/>
          <w:iCs w:val="0"/>
          <w:caps w:val="0"/>
          <w:color w:val="auto"/>
          <w:spacing w:val="0"/>
          <w:sz w:val="32"/>
          <w:szCs w:val="32"/>
          <w:highlight w:val="none"/>
          <w:u w:val="none"/>
          <w:shd w:val="clear" w:fill="FFFFFF"/>
        </w:rPr>
        <w:t>单位政府采购预算总额</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0.00</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万元：政府采购货物预算</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0.00</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万元、政府采购工程预算</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0.00</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万元、政府采购服务预算</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0.00</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万元；其中一般公共预算拨款政府采购</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0.00</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万元：政府采购货物预算</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0.00</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万元、政府采购工程预算</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0.00</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万元、政府采购服务预算</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0.00</w:t>
      </w:r>
      <w:r>
        <w:rPr>
          <w:rFonts w:hint="default" w:ascii="Times New Roman" w:hAnsi="Times New Roman" w:eastAsia="方正仿宋_GBK" w:cs="Times New Roman"/>
          <w:i w:val="0"/>
          <w:iCs w:val="0"/>
          <w:caps w:val="0"/>
          <w:color w:val="auto"/>
          <w:spacing w:val="0"/>
          <w:sz w:val="32"/>
          <w:szCs w:val="32"/>
          <w:highlight w:val="none"/>
          <w:u w:val="none"/>
          <w:shd w:val="clear" w:fill="FFFFFF"/>
        </w:rPr>
        <w:t>万元。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highlight w:val="none"/>
          <w:u w:val="none"/>
        </w:rPr>
      </w:pPr>
      <w:r>
        <w:rPr>
          <w:rFonts w:hint="eastAsia" w:ascii="方正楷体_GBK" w:hAnsi="方正楷体_GBK" w:eastAsia="方正楷体_GBK" w:cs="方正楷体_GBK"/>
          <w:i w:val="0"/>
          <w:iCs w:val="0"/>
          <w:caps w:val="0"/>
          <w:color w:val="auto"/>
          <w:spacing w:val="0"/>
          <w:sz w:val="32"/>
          <w:szCs w:val="32"/>
          <w:highlight w:val="none"/>
          <w:u w:val="none"/>
          <w:shd w:val="clear" w:fill="FFFFFF"/>
          <w:lang w:eastAsia="zh-CN"/>
        </w:rPr>
        <w:t>（</w:t>
      </w:r>
      <w:r>
        <w:rPr>
          <w:rFonts w:hint="eastAsia" w:ascii="方正楷体_GBK" w:hAnsi="方正楷体_GBK" w:eastAsia="方正楷体_GBK" w:cs="方正楷体_GBK"/>
          <w:i w:val="0"/>
          <w:iCs w:val="0"/>
          <w:caps w:val="0"/>
          <w:color w:val="auto"/>
          <w:spacing w:val="0"/>
          <w:sz w:val="32"/>
          <w:szCs w:val="32"/>
          <w:highlight w:val="none"/>
          <w:u w:val="none"/>
          <w:shd w:val="clear" w:fill="FFFFFF"/>
          <w:lang w:val="en-US" w:eastAsia="zh-CN"/>
        </w:rPr>
        <w:t>四</w:t>
      </w:r>
      <w:r>
        <w:rPr>
          <w:rFonts w:hint="eastAsia" w:ascii="方正楷体_GBK" w:hAnsi="方正楷体_GBK" w:eastAsia="方正楷体_GBK" w:cs="方正楷体_GBK"/>
          <w:i w:val="0"/>
          <w:iCs w:val="0"/>
          <w:caps w:val="0"/>
          <w:color w:val="auto"/>
          <w:spacing w:val="0"/>
          <w:sz w:val="32"/>
          <w:szCs w:val="32"/>
          <w:highlight w:val="none"/>
          <w:u w:val="none"/>
          <w:shd w:val="clear" w:fill="FFFFFF"/>
          <w:lang w:eastAsia="zh-CN"/>
        </w:rPr>
        <w:t>）</w:t>
      </w:r>
      <w:r>
        <w:rPr>
          <w:rFonts w:hint="eastAsia" w:ascii="方正楷体_GBK" w:hAnsi="方正楷体_GBK" w:eastAsia="方正楷体_GBK" w:cs="方正楷体_GBK"/>
          <w:i w:val="0"/>
          <w:iCs w:val="0"/>
          <w:caps w:val="0"/>
          <w:color w:val="auto"/>
          <w:spacing w:val="0"/>
          <w:sz w:val="32"/>
          <w:szCs w:val="32"/>
          <w:highlight w:val="none"/>
          <w:u w:val="none"/>
          <w:shd w:val="clear" w:fill="FFFFFF"/>
        </w:rPr>
        <w:t>国有资产占有使用情况</w:t>
      </w:r>
      <w:r>
        <w:rPr>
          <w:rFonts w:hint="default" w:ascii="Times New Roman" w:hAnsi="Times New Roman" w:eastAsia="方正仿宋_GBK" w:cs="Times New Roman"/>
          <w:i w:val="0"/>
          <w:iCs w:val="0"/>
          <w:caps w:val="0"/>
          <w:color w:val="auto"/>
          <w:spacing w:val="0"/>
          <w:sz w:val="32"/>
          <w:szCs w:val="32"/>
          <w:highlight w:val="none"/>
          <w:u w:val="none"/>
          <w:shd w:val="clear" w:fill="FFFFFF"/>
        </w:rPr>
        <w:t>。截至</w:t>
      </w:r>
      <w:r>
        <w:rPr>
          <w:rFonts w:hint="eastAsia" w:ascii="Times New Roman" w:hAnsi="Times New Roman" w:eastAsia="方正仿宋_GBK" w:cs="Times New Roman"/>
          <w:i w:val="0"/>
          <w:iCs w:val="0"/>
          <w:caps w:val="0"/>
          <w:color w:val="auto"/>
          <w:spacing w:val="0"/>
          <w:sz w:val="32"/>
          <w:szCs w:val="32"/>
          <w:highlight w:val="none"/>
          <w:u w:val="none"/>
          <w:shd w:val="clear" w:fill="FFFFFF"/>
          <w:lang w:eastAsia="zh-CN"/>
        </w:rPr>
        <w:t>2024年</w:t>
      </w:r>
      <w:r>
        <w:rPr>
          <w:rFonts w:hint="default" w:ascii="Times New Roman" w:hAnsi="Times New Roman" w:eastAsia="方正仿宋_GBK" w:cs="Times New Roman"/>
          <w:i w:val="0"/>
          <w:iCs w:val="0"/>
          <w:caps w:val="0"/>
          <w:color w:val="auto"/>
          <w:spacing w:val="0"/>
          <w:sz w:val="32"/>
          <w:szCs w:val="32"/>
          <w:highlight w:val="none"/>
          <w:u w:val="none"/>
          <w:shd w:val="clear" w:fill="FFFFFF"/>
        </w:rPr>
        <w:t>12月，</w:t>
      </w:r>
      <w:r>
        <w:rPr>
          <w:rFonts w:hint="eastAsia" w:ascii="Times New Roman" w:hAnsi="Times New Roman" w:eastAsia="方正仿宋_GBK" w:cs="Times New Roman"/>
          <w:i w:val="0"/>
          <w:iCs w:val="0"/>
          <w:caps w:val="0"/>
          <w:color w:val="auto"/>
          <w:spacing w:val="0"/>
          <w:sz w:val="32"/>
          <w:szCs w:val="32"/>
          <w:highlight w:val="none"/>
          <w:u w:val="none"/>
          <w:shd w:val="clear" w:fill="FFFFFF"/>
          <w:lang w:eastAsia="zh-CN"/>
        </w:rPr>
        <w:t>本</w:t>
      </w:r>
      <w:r>
        <w:rPr>
          <w:rFonts w:hint="default" w:ascii="Times New Roman" w:hAnsi="Times New Roman" w:eastAsia="方正仿宋_GBK" w:cs="Times New Roman"/>
          <w:i w:val="0"/>
          <w:iCs w:val="0"/>
          <w:caps w:val="0"/>
          <w:color w:val="auto"/>
          <w:spacing w:val="0"/>
          <w:sz w:val="32"/>
          <w:szCs w:val="32"/>
          <w:highlight w:val="none"/>
          <w:u w:val="none"/>
          <w:shd w:val="clear" w:fill="FFFFFF"/>
        </w:rPr>
        <w:t>单位共有车辆</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w:t>
      </w:r>
      <w:r>
        <w:rPr>
          <w:rFonts w:hint="default" w:ascii="Times New Roman" w:hAnsi="Times New Roman" w:eastAsia="方正仿宋_GBK" w:cs="Times New Roman"/>
          <w:i w:val="0"/>
          <w:iCs w:val="0"/>
          <w:caps w:val="0"/>
          <w:color w:val="auto"/>
          <w:spacing w:val="0"/>
          <w:sz w:val="32"/>
          <w:szCs w:val="32"/>
          <w:highlight w:val="none"/>
          <w:u w:val="none"/>
          <w:shd w:val="clear" w:fill="FFFFFF"/>
        </w:rPr>
        <w:t>辆，其中一般公务用车</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w:t>
      </w:r>
      <w:r>
        <w:rPr>
          <w:rFonts w:hint="default" w:ascii="Times New Roman" w:hAnsi="Times New Roman" w:eastAsia="方正仿宋_GBK" w:cs="Times New Roman"/>
          <w:i w:val="0"/>
          <w:iCs w:val="0"/>
          <w:caps w:val="0"/>
          <w:color w:val="auto"/>
          <w:spacing w:val="0"/>
          <w:sz w:val="32"/>
          <w:szCs w:val="32"/>
          <w:highlight w:val="none"/>
          <w:u w:val="none"/>
          <w:shd w:val="clear" w:fill="FFFFFF"/>
        </w:rPr>
        <w:t>辆、执勤执法用车</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w:t>
      </w:r>
      <w:r>
        <w:rPr>
          <w:rFonts w:hint="default" w:ascii="Times New Roman" w:hAnsi="Times New Roman" w:eastAsia="方正仿宋_GBK" w:cs="Times New Roman"/>
          <w:i w:val="0"/>
          <w:iCs w:val="0"/>
          <w:caps w:val="0"/>
          <w:color w:val="auto"/>
          <w:spacing w:val="0"/>
          <w:sz w:val="32"/>
          <w:szCs w:val="32"/>
          <w:highlight w:val="none"/>
          <w:u w:val="none"/>
          <w:shd w:val="clear" w:fill="FFFFFF"/>
        </w:rPr>
        <w:t>辆。</w:t>
      </w:r>
      <w:r>
        <w:rPr>
          <w:rFonts w:hint="eastAsia" w:ascii="Times New Roman" w:hAnsi="Times New Roman" w:eastAsia="方正仿宋_GBK" w:cs="Times New Roman"/>
          <w:i w:val="0"/>
          <w:iCs w:val="0"/>
          <w:caps w:val="0"/>
          <w:color w:val="auto"/>
          <w:spacing w:val="0"/>
          <w:sz w:val="32"/>
          <w:szCs w:val="32"/>
          <w:highlight w:val="none"/>
          <w:u w:val="none"/>
          <w:shd w:val="clear" w:fill="FFFFFF"/>
          <w:lang w:eastAsia="zh-CN"/>
        </w:rPr>
        <w:t>2025年</w:t>
      </w:r>
      <w:r>
        <w:rPr>
          <w:rFonts w:hint="default" w:ascii="Times New Roman" w:hAnsi="Times New Roman" w:eastAsia="方正仿宋_GBK" w:cs="Times New Roman"/>
          <w:i w:val="0"/>
          <w:iCs w:val="0"/>
          <w:caps w:val="0"/>
          <w:color w:val="auto"/>
          <w:spacing w:val="0"/>
          <w:sz w:val="32"/>
          <w:szCs w:val="32"/>
          <w:highlight w:val="none"/>
          <w:u w:val="none"/>
          <w:shd w:val="clear" w:fill="FFFFFF"/>
        </w:rPr>
        <w:t>一般公共预算安排购置车辆</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w:t>
      </w:r>
      <w:r>
        <w:rPr>
          <w:rFonts w:hint="default" w:ascii="Times New Roman" w:hAnsi="Times New Roman" w:eastAsia="方正仿宋_GBK" w:cs="Times New Roman"/>
          <w:i w:val="0"/>
          <w:iCs w:val="0"/>
          <w:caps w:val="0"/>
          <w:color w:val="auto"/>
          <w:spacing w:val="0"/>
          <w:sz w:val="32"/>
          <w:szCs w:val="32"/>
          <w:highlight w:val="none"/>
          <w:u w:val="none"/>
          <w:shd w:val="clear" w:fill="FFFFFF"/>
        </w:rPr>
        <w:t>辆，其中一般公务用车</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w:t>
      </w:r>
      <w:r>
        <w:rPr>
          <w:rFonts w:hint="default" w:ascii="Times New Roman" w:hAnsi="Times New Roman" w:eastAsia="方正仿宋_GBK" w:cs="Times New Roman"/>
          <w:i w:val="0"/>
          <w:iCs w:val="0"/>
          <w:caps w:val="0"/>
          <w:color w:val="auto"/>
          <w:spacing w:val="0"/>
          <w:sz w:val="32"/>
          <w:szCs w:val="32"/>
          <w:highlight w:val="none"/>
          <w:u w:val="none"/>
          <w:shd w:val="clear" w:fill="FFFFFF"/>
        </w:rPr>
        <w:t>辆、执勤执法用车</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0</w:t>
      </w:r>
      <w:r>
        <w:rPr>
          <w:rFonts w:hint="default" w:ascii="Times New Roman" w:hAnsi="Times New Roman" w:eastAsia="方正仿宋_GBK" w:cs="Times New Roman"/>
          <w:i w:val="0"/>
          <w:iCs w:val="0"/>
          <w:caps w:val="0"/>
          <w:color w:val="auto"/>
          <w:spacing w:val="0"/>
          <w:sz w:val="32"/>
          <w:szCs w:val="32"/>
          <w:highlight w:val="none"/>
          <w:u w:val="none"/>
          <w:shd w:val="clear" w:fill="FFFFFF"/>
        </w:rPr>
        <w:t>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auto"/>
          <w:spacing w:val="0"/>
          <w:sz w:val="32"/>
          <w:szCs w:val="32"/>
          <w:highlight w:val="none"/>
          <w:shd w:val="clear" w:fill="FFFFFF"/>
        </w:rPr>
      </w:pPr>
      <w:r>
        <w:rPr>
          <w:rFonts w:hint="eastAsia" w:ascii="方正黑体_GBK" w:hAnsi="方正黑体_GBK" w:eastAsia="方正黑体_GBK" w:cs="方正黑体_GBK"/>
          <w:i w:val="0"/>
          <w:iCs w:val="0"/>
          <w:caps w:val="0"/>
          <w:color w:val="auto"/>
          <w:spacing w:val="0"/>
          <w:sz w:val="32"/>
          <w:szCs w:val="32"/>
          <w:highlight w:val="none"/>
          <w:shd w:val="clear" w:fill="FFFFFF"/>
        </w:rPr>
        <w:t>六、专业名词解释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highlight w:val="none"/>
        </w:rPr>
      </w:pPr>
      <w:r>
        <w:rPr>
          <w:rFonts w:hint="default" w:ascii="方正楷体_GBK" w:hAnsi="方正楷体_GBK" w:eastAsia="方正楷体_GBK" w:cs="方正楷体_GBK"/>
          <w:i w:val="0"/>
          <w:iCs w:val="0"/>
          <w:caps w:val="0"/>
          <w:color w:val="auto"/>
          <w:spacing w:val="0"/>
          <w:sz w:val="32"/>
          <w:szCs w:val="32"/>
          <w:highlight w:val="none"/>
          <w:shd w:val="clear" w:fill="FFFFFF"/>
        </w:rPr>
        <w:t>（一）财政拨款收入</w:t>
      </w:r>
      <w:r>
        <w:rPr>
          <w:rFonts w:hint="eastAsia" w:ascii="方正仿宋_GBK" w:hAnsi="方正仿宋_GBK" w:eastAsia="方正仿宋_GBK" w:cs="方正仿宋_GBK"/>
          <w:i w:val="0"/>
          <w:iCs w:val="0"/>
          <w:caps w:val="0"/>
          <w:color w:val="auto"/>
          <w:spacing w:val="0"/>
          <w:sz w:val="32"/>
          <w:szCs w:val="32"/>
          <w:highlight w:val="none"/>
          <w:shd w:val="clear" w:fill="FFFFFF"/>
        </w:rPr>
        <w:t>：指本年度从本级财政部门取得的财政拨款，包括一般公共预算财政拨款和政府性基金预算财政拨款。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highlight w:val="none"/>
          <w:shd w:val="clear" w:fill="FFFFFF"/>
        </w:rPr>
      </w:pPr>
      <w:r>
        <w:rPr>
          <w:rFonts w:hint="default" w:ascii="方正楷体_GBK" w:hAnsi="方正楷体_GBK" w:eastAsia="方正楷体_GBK" w:cs="方正楷体_GBK"/>
          <w:i w:val="0"/>
          <w:iCs w:val="0"/>
          <w:caps w:val="0"/>
          <w:color w:val="auto"/>
          <w:spacing w:val="0"/>
          <w:sz w:val="32"/>
          <w:szCs w:val="32"/>
          <w:highlight w:val="none"/>
          <w:shd w:val="clear" w:fill="FFFFFF"/>
        </w:rPr>
        <w:t>（二）其他收入：</w:t>
      </w:r>
      <w:r>
        <w:rPr>
          <w:rFonts w:hint="default" w:ascii="方正仿宋_GBK" w:hAnsi="方正仿宋_GBK" w:eastAsia="方正仿宋_GBK" w:cs="方正仿宋_GBK"/>
          <w:i w:val="0"/>
          <w:iCs w:val="0"/>
          <w:caps w:val="0"/>
          <w:color w:val="auto"/>
          <w:spacing w:val="0"/>
          <w:sz w:val="32"/>
          <w:szCs w:val="32"/>
          <w:highlight w:val="none"/>
          <w:shd w:val="clear" w:fill="FFFFFF"/>
        </w:rPr>
        <w:t>指单位取得的除</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w:t>
      </w:r>
      <w:r>
        <w:rPr>
          <w:rFonts w:hint="default" w:ascii="方正仿宋_GBK" w:hAnsi="方正仿宋_GBK" w:eastAsia="方正仿宋_GBK" w:cs="方正仿宋_GBK"/>
          <w:i w:val="0"/>
          <w:iCs w:val="0"/>
          <w:caps w:val="0"/>
          <w:color w:val="auto"/>
          <w:spacing w:val="0"/>
          <w:sz w:val="32"/>
          <w:szCs w:val="32"/>
          <w:highlight w:val="none"/>
          <w:shd w:val="clear" w:fill="FFFFFF"/>
        </w:rPr>
        <w:t>财政拨款收入</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w:t>
      </w:r>
      <w:r>
        <w:rPr>
          <w:rFonts w:hint="default" w:ascii="方正仿宋_GBK" w:hAnsi="方正仿宋_GBK" w:eastAsia="方正仿宋_GBK" w:cs="方正仿宋_GBK"/>
          <w:i w:val="0"/>
          <w:iCs w:val="0"/>
          <w:caps w:val="0"/>
          <w:color w:val="auto"/>
          <w:spacing w:val="0"/>
          <w:sz w:val="32"/>
          <w:szCs w:val="32"/>
          <w:highlight w:val="none"/>
          <w:shd w:val="clear" w:fill="FFFFFF"/>
        </w:rPr>
        <w:t>、</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w:t>
      </w:r>
      <w:r>
        <w:rPr>
          <w:rFonts w:hint="default" w:ascii="方正仿宋_GBK" w:hAnsi="方正仿宋_GBK" w:eastAsia="方正仿宋_GBK" w:cs="方正仿宋_GBK"/>
          <w:i w:val="0"/>
          <w:iCs w:val="0"/>
          <w:caps w:val="0"/>
          <w:color w:val="auto"/>
          <w:spacing w:val="0"/>
          <w:sz w:val="32"/>
          <w:szCs w:val="32"/>
          <w:highlight w:val="none"/>
          <w:shd w:val="clear" w:fill="FFFFFF"/>
        </w:rPr>
        <w:t>事业收入</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w:t>
      </w:r>
      <w:r>
        <w:rPr>
          <w:rFonts w:hint="default" w:ascii="方正仿宋_GBK" w:hAnsi="方正仿宋_GBK" w:eastAsia="方正仿宋_GBK" w:cs="方正仿宋_GBK"/>
          <w:i w:val="0"/>
          <w:iCs w:val="0"/>
          <w:caps w:val="0"/>
          <w:color w:val="auto"/>
          <w:spacing w:val="0"/>
          <w:sz w:val="32"/>
          <w:szCs w:val="32"/>
          <w:highlight w:val="none"/>
          <w:shd w:val="clear" w:fill="FFFFFF"/>
        </w:rPr>
        <w:t>、</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w:t>
      </w:r>
      <w:r>
        <w:rPr>
          <w:rFonts w:hint="default" w:ascii="方正仿宋_GBK" w:hAnsi="方正仿宋_GBK" w:eastAsia="方正仿宋_GBK" w:cs="方正仿宋_GBK"/>
          <w:i w:val="0"/>
          <w:iCs w:val="0"/>
          <w:caps w:val="0"/>
          <w:color w:val="auto"/>
          <w:spacing w:val="0"/>
          <w:sz w:val="32"/>
          <w:szCs w:val="32"/>
          <w:highlight w:val="none"/>
          <w:shd w:val="clear" w:fill="FFFFFF"/>
        </w:rPr>
        <w:t>经营收入</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w:t>
      </w:r>
      <w:r>
        <w:rPr>
          <w:rFonts w:hint="default" w:ascii="方正仿宋_GBK" w:hAnsi="方正仿宋_GBK" w:eastAsia="方正仿宋_GBK" w:cs="方正仿宋_GBK"/>
          <w:i w:val="0"/>
          <w:iCs w:val="0"/>
          <w:caps w:val="0"/>
          <w:color w:val="auto"/>
          <w:spacing w:val="0"/>
          <w:sz w:val="32"/>
          <w:szCs w:val="32"/>
          <w:highlight w:val="none"/>
          <w:shd w:val="clear" w:fill="FFFFFF"/>
        </w:rPr>
        <w:t>等以外的收入，包括未纳入财政预算或财政专户管理的投资收益、银行存款利息收入、租金收入、捐赠收入</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w:t>
      </w:r>
      <w:r>
        <w:rPr>
          <w:rFonts w:hint="default" w:ascii="方正仿宋_GBK" w:hAnsi="方正仿宋_GBK" w:eastAsia="方正仿宋_GBK" w:cs="方正仿宋_GBK"/>
          <w:i w:val="0"/>
          <w:iCs w:val="0"/>
          <w:caps w:val="0"/>
          <w:color w:val="auto"/>
          <w:spacing w:val="0"/>
          <w:sz w:val="32"/>
          <w:szCs w:val="32"/>
          <w:highlight w:val="none"/>
          <w:shd w:val="clear" w:fill="FFFFFF"/>
        </w:rPr>
        <w:t>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highlight w:val="none"/>
          <w:shd w:val="clear" w:fill="FFFFFF"/>
        </w:rPr>
      </w:pPr>
      <w:r>
        <w:rPr>
          <w:rFonts w:hint="default" w:ascii="方正楷体_GBK" w:hAnsi="方正楷体_GBK" w:eastAsia="方正楷体_GBK" w:cs="方正楷体_GBK"/>
          <w:i w:val="0"/>
          <w:iCs w:val="0"/>
          <w:caps w:val="0"/>
          <w:color w:val="auto"/>
          <w:spacing w:val="0"/>
          <w:sz w:val="32"/>
          <w:szCs w:val="32"/>
          <w:highlight w:val="none"/>
          <w:shd w:val="clear" w:fill="FFFFFF"/>
        </w:rPr>
        <w:t>（三）基本支出：</w:t>
      </w:r>
      <w:r>
        <w:rPr>
          <w:rFonts w:hint="default" w:ascii="方正仿宋_GBK" w:hAnsi="方正仿宋_GBK" w:eastAsia="方正仿宋_GBK" w:cs="方正仿宋_GBK"/>
          <w:i w:val="0"/>
          <w:iCs w:val="0"/>
          <w:caps w:val="0"/>
          <w:color w:val="auto"/>
          <w:spacing w:val="0"/>
          <w:sz w:val="32"/>
          <w:szCs w:val="32"/>
          <w:highlight w:val="none"/>
          <w:shd w:val="clear"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w:t>
      </w:r>
      <w:r>
        <w:rPr>
          <w:rFonts w:hint="default" w:ascii="方正仿宋_GBK" w:hAnsi="方正仿宋_GBK" w:eastAsia="方正仿宋_GBK" w:cs="方正仿宋_GBK"/>
          <w:i w:val="0"/>
          <w:iCs w:val="0"/>
          <w:caps w:val="0"/>
          <w:color w:val="auto"/>
          <w:spacing w:val="0"/>
          <w:sz w:val="32"/>
          <w:szCs w:val="32"/>
          <w:highlight w:val="none"/>
          <w:shd w:val="clear" w:fill="FFFFFF"/>
        </w:rPr>
        <w:t>工资福利支出</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w:t>
      </w:r>
      <w:r>
        <w:rPr>
          <w:rFonts w:hint="default" w:ascii="方正仿宋_GBK" w:hAnsi="方正仿宋_GBK" w:eastAsia="方正仿宋_GBK" w:cs="方正仿宋_GBK"/>
          <w:i w:val="0"/>
          <w:iCs w:val="0"/>
          <w:caps w:val="0"/>
          <w:color w:val="auto"/>
          <w:spacing w:val="0"/>
          <w:sz w:val="32"/>
          <w:szCs w:val="32"/>
          <w:highlight w:val="none"/>
          <w:shd w:val="clear" w:fill="FFFFFF"/>
        </w:rPr>
        <w:t>和</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w:t>
      </w:r>
      <w:r>
        <w:rPr>
          <w:rFonts w:hint="default" w:ascii="方正仿宋_GBK" w:hAnsi="方正仿宋_GBK" w:eastAsia="方正仿宋_GBK" w:cs="方正仿宋_GBK"/>
          <w:i w:val="0"/>
          <w:iCs w:val="0"/>
          <w:caps w:val="0"/>
          <w:color w:val="auto"/>
          <w:spacing w:val="0"/>
          <w:sz w:val="32"/>
          <w:szCs w:val="32"/>
          <w:highlight w:val="none"/>
          <w:shd w:val="clear" w:fill="FFFFFF"/>
        </w:rPr>
        <w:t>对个人和家庭的补助</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w:t>
      </w:r>
      <w:r>
        <w:rPr>
          <w:rFonts w:hint="default" w:ascii="方正仿宋_GBK" w:hAnsi="方正仿宋_GBK" w:eastAsia="方正仿宋_GBK" w:cs="方正仿宋_GBK"/>
          <w:i w:val="0"/>
          <w:iCs w:val="0"/>
          <w:caps w:val="0"/>
          <w:color w:val="auto"/>
          <w:spacing w:val="0"/>
          <w:sz w:val="32"/>
          <w:szCs w:val="32"/>
          <w:highlight w:val="none"/>
          <w:shd w:val="clear" w:fill="FFFFFF"/>
        </w:rPr>
        <w:t>；公用经费指政府收支分类经济科目中除</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w:t>
      </w:r>
      <w:r>
        <w:rPr>
          <w:rFonts w:hint="default" w:ascii="方正仿宋_GBK" w:hAnsi="方正仿宋_GBK" w:eastAsia="方正仿宋_GBK" w:cs="方正仿宋_GBK"/>
          <w:i w:val="0"/>
          <w:iCs w:val="0"/>
          <w:caps w:val="0"/>
          <w:color w:val="auto"/>
          <w:spacing w:val="0"/>
          <w:sz w:val="32"/>
          <w:szCs w:val="32"/>
          <w:highlight w:val="none"/>
          <w:shd w:val="clear" w:fill="FFFFFF"/>
        </w:rPr>
        <w:t>工资福利支出</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w:t>
      </w:r>
      <w:r>
        <w:rPr>
          <w:rFonts w:hint="default" w:ascii="方正仿宋_GBK" w:hAnsi="方正仿宋_GBK" w:eastAsia="方正仿宋_GBK" w:cs="方正仿宋_GBK"/>
          <w:i w:val="0"/>
          <w:iCs w:val="0"/>
          <w:caps w:val="0"/>
          <w:color w:val="auto"/>
          <w:spacing w:val="0"/>
          <w:sz w:val="32"/>
          <w:szCs w:val="32"/>
          <w:highlight w:val="none"/>
          <w:shd w:val="clear" w:fill="FFFFFF"/>
        </w:rPr>
        <w:t>和</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w:t>
      </w:r>
      <w:r>
        <w:rPr>
          <w:rFonts w:hint="default" w:ascii="方正仿宋_GBK" w:hAnsi="方正仿宋_GBK" w:eastAsia="方正仿宋_GBK" w:cs="方正仿宋_GBK"/>
          <w:i w:val="0"/>
          <w:iCs w:val="0"/>
          <w:caps w:val="0"/>
          <w:color w:val="auto"/>
          <w:spacing w:val="0"/>
          <w:sz w:val="32"/>
          <w:szCs w:val="32"/>
          <w:highlight w:val="none"/>
          <w:shd w:val="clear" w:fill="FFFFFF"/>
        </w:rPr>
        <w:t>对个人和家庭的补助</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w:t>
      </w:r>
      <w:r>
        <w:rPr>
          <w:rFonts w:hint="default" w:ascii="方正仿宋_GBK" w:hAnsi="方正仿宋_GBK" w:eastAsia="方正仿宋_GBK" w:cs="方正仿宋_GBK"/>
          <w:i w:val="0"/>
          <w:iCs w:val="0"/>
          <w:caps w:val="0"/>
          <w:color w:val="auto"/>
          <w:spacing w:val="0"/>
          <w:sz w:val="32"/>
          <w:szCs w:val="32"/>
          <w:highlight w:val="none"/>
          <w:shd w:val="clear" w:fill="FFFFFF"/>
        </w:rPr>
        <w:t>外的其他支出。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highlight w:val="none"/>
          <w:shd w:val="clear" w:fill="FFFFFF"/>
        </w:rPr>
      </w:pPr>
      <w:r>
        <w:rPr>
          <w:rFonts w:hint="default" w:ascii="方正楷体_GBK" w:hAnsi="方正楷体_GBK" w:eastAsia="方正楷体_GBK" w:cs="方正楷体_GBK"/>
          <w:i w:val="0"/>
          <w:iCs w:val="0"/>
          <w:caps w:val="0"/>
          <w:color w:val="auto"/>
          <w:spacing w:val="0"/>
          <w:sz w:val="32"/>
          <w:szCs w:val="32"/>
          <w:highlight w:val="none"/>
          <w:shd w:val="clear" w:fill="FFFFFF"/>
        </w:rPr>
        <w:t>（四）项目支出：</w:t>
      </w:r>
      <w:r>
        <w:rPr>
          <w:rFonts w:hint="default" w:ascii="方正仿宋_GBK" w:hAnsi="方正仿宋_GBK" w:eastAsia="方正仿宋_GBK" w:cs="方正仿宋_GBK"/>
          <w:i w:val="0"/>
          <w:iCs w:val="0"/>
          <w:caps w:val="0"/>
          <w:color w:val="auto"/>
          <w:spacing w:val="0"/>
          <w:sz w:val="32"/>
          <w:szCs w:val="32"/>
          <w:highlight w:val="none"/>
          <w:shd w:val="clear" w:fill="FFFFFF"/>
        </w:rPr>
        <w:t>指在基本支出之外为完成特定行政任务和事业发展目标所发生的支出。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微软雅黑" w:cs="微软雅黑"/>
          <w:i w:val="0"/>
          <w:iCs w:val="0"/>
          <w:caps w:val="0"/>
          <w:color w:val="auto"/>
          <w:spacing w:val="0"/>
          <w:sz w:val="32"/>
          <w:szCs w:val="32"/>
          <w:highlight w:val="none"/>
        </w:rPr>
      </w:pPr>
      <w:r>
        <w:rPr>
          <w:rFonts w:hint="default" w:ascii="方正楷体_GBK" w:hAnsi="方正楷体_GBK" w:eastAsia="方正楷体_GBK" w:cs="方正楷体_GBK"/>
          <w:i w:val="0"/>
          <w:iCs w:val="0"/>
          <w:caps w:val="0"/>
          <w:color w:val="auto"/>
          <w:spacing w:val="0"/>
          <w:sz w:val="32"/>
          <w:szCs w:val="32"/>
          <w:highlight w:val="none"/>
          <w:shd w:val="clear" w:fill="FFFFFF"/>
        </w:rPr>
        <w:t>（五）经营支出：</w:t>
      </w:r>
      <w:r>
        <w:rPr>
          <w:rFonts w:hint="default" w:ascii="方正仿宋_GBK" w:hAnsi="方正仿宋_GBK" w:eastAsia="方正仿宋_GBK" w:cs="方正仿宋_GBK"/>
          <w:i w:val="0"/>
          <w:iCs w:val="0"/>
          <w:caps w:val="0"/>
          <w:color w:val="auto"/>
          <w:spacing w:val="0"/>
          <w:sz w:val="32"/>
          <w:szCs w:val="32"/>
          <w:highlight w:val="none"/>
          <w:shd w:val="clear" w:fill="FFFFFF"/>
        </w:rPr>
        <w:t>指事业单位在专业业务活动及其辅助活动之外开展非独立核算经营活动发生的支出。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highlight w:val="none"/>
          <w:shd w:val="clear" w:fill="FFFFFF"/>
        </w:rPr>
      </w:pPr>
      <w:bookmarkStart w:id="0" w:name="_GoBack"/>
      <w:r>
        <w:rPr>
          <w:rFonts w:hint="default" w:ascii="方正楷体_GBK" w:hAnsi="方正楷体_GBK" w:eastAsia="方正楷体_GBK" w:cs="方正楷体_GBK"/>
          <w:i w:val="0"/>
          <w:iCs w:val="0"/>
          <w:caps w:val="0"/>
          <w:color w:val="auto"/>
          <w:spacing w:val="0"/>
          <w:sz w:val="32"/>
          <w:szCs w:val="32"/>
          <w:highlight w:val="none"/>
          <w:shd w:val="clear" w:fill="FFFFFF"/>
        </w:rPr>
        <w:t>（六）“三公</w:t>
      </w:r>
      <w:bookmarkEnd w:id="0"/>
      <w:r>
        <w:rPr>
          <w:rFonts w:hint="default" w:ascii="方正楷体_GBK" w:hAnsi="方正楷体_GBK" w:eastAsia="方正楷体_GBK" w:cs="方正楷体_GBK"/>
          <w:i w:val="0"/>
          <w:iCs w:val="0"/>
          <w:caps w:val="0"/>
          <w:color w:val="auto"/>
          <w:spacing w:val="0"/>
          <w:sz w:val="32"/>
          <w:szCs w:val="32"/>
          <w:highlight w:val="none"/>
          <w:shd w:val="clear" w:fill="FFFFFF"/>
        </w:rPr>
        <w:t>”经费：</w:t>
      </w:r>
      <w:r>
        <w:rPr>
          <w:rFonts w:hint="default" w:ascii="方正仿宋_GBK" w:hAnsi="方正仿宋_GBK" w:eastAsia="方正仿宋_GBK" w:cs="方正仿宋_GBK"/>
          <w:i w:val="0"/>
          <w:iCs w:val="0"/>
          <w:caps w:val="0"/>
          <w:color w:val="auto"/>
          <w:spacing w:val="0"/>
          <w:sz w:val="32"/>
          <w:szCs w:val="32"/>
          <w:highlight w:val="none"/>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highlight w:val="none"/>
          <w:shd w:val="clear" w:fill="FFFFFF"/>
        </w:rPr>
      </w:pPr>
      <w:r>
        <w:rPr>
          <w:rFonts w:hint="default" w:ascii="方正楷体_GBK" w:hAnsi="方正楷体_GBK" w:eastAsia="方正楷体_GBK" w:cs="方正楷体_GBK"/>
          <w:i w:val="0"/>
          <w:iCs w:val="0"/>
          <w:caps w:val="0"/>
          <w:color w:val="auto"/>
          <w:spacing w:val="0"/>
          <w:sz w:val="32"/>
          <w:szCs w:val="32"/>
          <w:highlight w:val="none"/>
          <w:shd w:val="clear" w:fill="FFFFFF"/>
        </w:rPr>
        <w:t>（七）机关运行经费：</w:t>
      </w:r>
      <w:r>
        <w:rPr>
          <w:rFonts w:hint="default" w:ascii="方正仿宋_GBK" w:hAnsi="方正仿宋_GBK" w:eastAsia="方正仿宋_GBK" w:cs="方正仿宋_GBK"/>
          <w:i w:val="0"/>
          <w:iCs w:val="0"/>
          <w:caps w:val="0"/>
          <w:color w:val="auto"/>
          <w:spacing w:val="0"/>
          <w:sz w:val="32"/>
          <w:szCs w:val="32"/>
          <w:highlight w:val="none"/>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highlight w:val="none"/>
          <w:shd w:val="clear" w:fill="FFFFFF"/>
        </w:rPr>
      </w:pPr>
      <w:r>
        <w:rPr>
          <w:rFonts w:hint="default" w:ascii="方正楷体_GBK" w:hAnsi="方正楷体_GBK" w:eastAsia="方正楷体_GBK" w:cs="方正楷体_GBK"/>
          <w:i w:val="0"/>
          <w:iCs w:val="0"/>
          <w:caps w:val="0"/>
          <w:color w:val="auto"/>
          <w:spacing w:val="0"/>
          <w:sz w:val="32"/>
          <w:szCs w:val="32"/>
          <w:highlight w:val="none"/>
          <w:shd w:val="clear" w:fill="FFFFFF"/>
        </w:rPr>
        <w:t>（八）工资福利支出（支出经济分类科目类级）：</w:t>
      </w:r>
      <w:r>
        <w:rPr>
          <w:rFonts w:hint="default" w:ascii="方正仿宋_GBK" w:hAnsi="方正仿宋_GBK" w:eastAsia="方正仿宋_GBK" w:cs="方正仿宋_GBK"/>
          <w:i w:val="0"/>
          <w:iCs w:val="0"/>
          <w:caps w:val="0"/>
          <w:color w:val="auto"/>
          <w:spacing w:val="0"/>
          <w:sz w:val="32"/>
          <w:szCs w:val="32"/>
          <w:highlight w:val="none"/>
          <w:shd w:val="clear" w:fill="FFFFFF"/>
        </w:rPr>
        <w:t>反映单位开支的在职职工和编制外长期聘用人员的各类劳动报酬，以及为上述人员交纳的各项社会保险费等。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highlight w:val="none"/>
          <w:shd w:val="clear" w:fill="FFFFFF"/>
        </w:rPr>
      </w:pPr>
      <w:r>
        <w:rPr>
          <w:rFonts w:hint="default" w:ascii="方正楷体_GBK" w:hAnsi="方正楷体_GBK" w:eastAsia="方正楷体_GBK" w:cs="方正楷体_GBK"/>
          <w:i w:val="0"/>
          <w:iCs w:val="0"/>
          <w:caps w:val="0"/>
          <w:color w:val="auto"/>
          <w:spacing w:val="0"/>
          <w:sz w:val="32"/>
          <w:szCs w:val="32"/>
          <w:highlight w:val="none"/>
          <w:shd w:val="clear" w:fill="FFFFFF"/>
        </w:rPr>
        <w:t>（九）商品和服务支出（支出经济分类科目类级）：</w:t>
      </w:r>
      <w:r>
        <w:rPr>
          <w:rFonts w:hint="default" w:ascii="方正仿宋_GBK" w:hAnsi="方正仿宋_GBK" w:eastAsia="方正仿宋_GBK" w:cs="方正仿宋_GBK"/>
          <w:i w:val="0"/>
          <w:iCs w:val="0"/>
          <w:caps w:val="0"/>
          <w:color w:val="auto"/>
          <w:spacing w:val="0"/>
          <w:sz w:val="32"/>
          <w:szCs w:val="32"/>
          <w:highlight w:val="none"/>
          <w:shd w:val="clear" w:fill="FFFFFF"/>
        </w:rPr>
        <w:t>反映单位购买商品和服务的支出（不包括用于购置固定资产的支出、战略性和应急储备支出）。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highlight w:val="none"/>
          <w:shd w:val="clear" w:fill="FFFFFF"/>
        </w:rPr>
      </w:pPr>
      <w:r>
        <w:rPr>
          <w:rFonts w:hint="default" w:ascii="方正楷体_GBK" w:hAnsi="方正楷体_GBK" w:eastAsia="方正楷体_GBK" w:cs="方正楷体_GBK"/>
          <w:i w:val="0"/>
          <w:iCs w:val="0"/>
          <w:caps w:val="0"/>
          <w:color w:val="auto"/>
          <w:spacing w:val="0"/>
          <w:sz w:val="32"/>
          <w:szCs w:val="32"/>
          <w:highlight w:val="none"/>
          <w:shd w:val="clear" w:fill="FFFFFF"/>
        </w:rPr>
        <w:t>（十）对个人和家庭的补助（支出经济分类科目类级）：</w:t>
      </w:r>
      <w:r>
        <w:rPr>
          <w:rFonts w:hint="default" w:ascii="方正仿宋_GBK" w:hAnsi="方正仿宋_GBK" w:eastAsia="方正仿宋_GBK" w:cs="方正仿宋_GBK"/>
          <w:i w:val="0"/>
          <w:iCs w:val="0"/>
          <w:caps w:val="0"/>
          <w:color w:val="auto"/>
          <w:spacing w:val="0"/>
          <w:sz w:val="32"/>
          <w:szCs w:val="32"/>
          <w:highlight w:val="none"/>
          <w:shd w:val="clear" w:fill="FFFFFF"/>
        </w:rPr>
        <w:t>反映用于对个人和家庭的补助支出。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方正仿宋_GBK" w:hAnsi="方正仿宋_GBK" w:eastAsia="方正仿宋_GBK" w:cs="方正仿宋_GBK"/>
          <w:i w:val="0"/>
          <w:iCs w:val="0"/>
          <w:caps w:val="0"/>
          <w:color w:val="auto"/>
          <w:spacing w:val="0"/>
          <w:sz w:val="32"/>
          <w:szCs w:val="32"/>
          <w:highlight w:val="none"/>
          <w:shd w:val="clear" w:fill="FFFFFF"/>
        </w:rPr>
      </w:pPr>
      <w:r>
        <w:rPr>
          <w:rFonts w:hint="default" w:ascii="方正楷体_GBK" w:hAnsi="方正楷体_GBK" w:eastAsia="方正楷体_GBK" w:cs="方正楷体_GBK"/>
          <w:i w:val="0"/>
          <w:iCs w:val="0"/>
          <w:caps w:val="0"/>
          <w:color w:val="auto"/>
          <w:spacing w:val="0"/>
          <w:sz w:val="32"/>
          <w:szCs w:val="32"/>
          <w:highlight w:val="none"/>
          <w:shd w:val="clear" w:fill="FFFFFF"/>
        </w:rPr>
        <w:t>（十一）其他资本性支出（支出经济分类科目类级）：</w:t>
      </w:r>
      <w:r>
        <w:rPr>
          <w:rFonts w:hint="default" w:ascii="方正仿宋_GBK" w:hAnsi="方正仿宋_GBK" w:eastAsia="方正仿宋_GBK" w:cs="方正仿宋_GBK"/>
          <w:i w:val="0"/>
          <w:iCs w:val="0"/>
          <w:caps w:val="0"/>
          <w:color w:val="auto"/>
          <w:spacing w:val="0"/>
          <w:sz w:val="32"/>
          <w:szCs w:val="32"/>
          <w:highlight w:val="none"/>
          <w:shd w:val="clear" w:fill="FFFFFF"/>
        </w:rPr>
        <w:t>反映非各级发展与改革部门集中安排的用于购置固定资产、战略性和应急性储备、土地和无形资产，以及构建基础设施、大型修缮和财政支持企业更新改造所发生的支出。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联系人：</w:t>
      </w:r>
      <w:r>
        <w:rPr>
          <w:rFonts w:hint="eastAsia" w:ascii="方正仿宋_GBK" w:hAnsi="方正仿宋_GBK" w:eastAsia="方正仿宋_GBK" w:cs="方正仿宋_GBK"/>
          <w:color w:val="auto"/>
          <w:sz w:val="32"/>
          <w:szCs w:val="32"/>
          <w:highlight w:val="none"/>
          <w:lang w:val="en-US" w:eastAsia="zh-CN"/>
        </w:rPr>
        <w:t xml:space="preserve"> 刘静     </w:t>
      </w:r>
      <w:r>
        <w:rPr>
          <w:rFonts w:hint="eastAsia" w:ascii="方正仿宋_GBK" w:hAnsi="方正仿宋_GBK" w:eastAsia="方正仿宋_GBK" w:cs="方正仿宋_GBK"/>
          <w:color w:val="auto"/>
          <w:sz w:val="32"/>
          <w:szCs w:val="32"/>
          <w:highlight w:val="none"/>
          <w:lang w:eastAsia="zh-CN"/>
        </w:rPr>
        <w:t>联系方式：</w:t>
      </w:r>
      <w:r>
        <w:rPr>
          <w:rFonts w:hint="eastAsia" w:ascii="Times New Roman" w:hAnsi="Times New Roman" w:eastAsia="方正仿宋_GBK" w:cs="Times New Roman"/>
          <w:i w:val="0"/>
          <w:iCs w:val="0"/>
          <w:caps w:val="0"/>
          <w:color w:val="auto"/>
          <w:spacing w:val="0"/>
          <w:kern w:val="0"/>
          <w:sz w:val="32"/>
          <w:szCs w:val="32"/>
          <w:highlight w:val="none"/>
          <w:u w:val="none"/>
          <w:shd w:val="clear" w:fill="FFFFFF"/>
          <w:lang w:val="en-US" w:eastAsia="zh-CN" w:bidi="ar"/>
        </w:rPr>
        <w:t>023-76629515。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i w:val="0"/>
          <w:iCs w:val="0"/>
          <w:caps w:val="0"/>
          <w:color w:val="auto"/>
          <w:spacing w:val="0"/>
          <w:kern w:val="0"/>
          <w:sz w:val="32"/>
          <w:szCs w:val="32"/>
          <w:highlight w:val="none"/>
          <w:u w:val="none"/>
          <w:shd w:val="clear" w:fill="FFFFFF"/>
          <w:lang w:val="en-US" w:eastAsia="zh-CN" w:bidi="ar"/>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0285739"/>
    <w:rsid w:val="00586496"/>
    <w:rsid w:val="00AF67F0"/>
    <w:rsid w:val="01A06998"/>
    <w:rsid w:val="01D604A2"/>
    <w:rsid w:val="04002C97"/>
    <w:rsid w:val="042F5A44"/>
    <w:rsid w:val="04376941"/>
    <w:rsid w:val="05B4202B"/>
    <w:rsid w:val="05D341F2"/>
    <w:rsid w:val="05F17E9D"/>
    <w:rsid w:val="060B569D"/>
    <w:rsid w:val="06215308"/>
    <w:rsid w:val="064F1D03"/>
    <w:rsid w:val="07295976"/>
    <w:rsid w:val="080A24CE"/>
    <w:rsid w:val="083619AD"/>
    <w:rsid w:val="0AA174EB"/>
    <w:rsid w:val="0B1D1B18"/>
    <w:rsid w:val="0D47753A"/>
    <w:rsid w:val="0E6D19D9"/>
    <w:rsid w:val="10114C5B"/>
    <w:rsid w:val="10EA445F"/>
    <w:rsid w:val="11CD6A57"/>
    <w:rsid w:val="122C20A9"/>
    <w:rsid w:val="12EA342C"/>
    <w:rsid w:val="14D1325F"/>
    <w:rsid w:val="15191289"/>
    <w:rsid w:val="15A75701"/>
    <w:rsid w:val="15AD4B8E"/>
    <w:rsid w:val="16F27182"/>
    <w:rsid w:val="1772093D"/>
    <w:rsid w:val="180E0EB7"/>
    <w:rsid w:val="187B74F0"/>
    <w:rsid w:val="18EB6324"/>
    <w:rsid w:val="198547A5"/>
    <w:rsid w:val="19880209"/>
    <w:rsid w:val="198F6E75"/>
    <w:rsid w:val="19CB4546"/>
    <w:rsid w:val="1A9313AD"/>
    <w:rsid w:val="1AB867D9"/>
    <w:rsid w:val="1B1625F6"/>
    <w:rsid w:val="1B5B6CBD"/>
    <w:rsid w:val="1C365209"/>
    <w:rsid w:val="1D6D39D0"/>
    <w:rsid w:val="1D87091B"/>
    <w:rsid w:val="1DED0919"/>
    <w:rsid w:val="1EE4310A"/>
    <w:rsid w:val="1F415EEE"/>
    <w:rsid w:val="20177947"/>
    <w:rsid w:val="215513EC"/>
    <w:rsid w:val="22AC7BBA"/>
    <w:rsid w:val="22DB14ED"/>
    <w:rsid w:val="23087412"/>
    <w:rsid w:val="231D218F"/>
    <w:rsid w:val="2340333C"/>
    <w:rsid w:val="239D2AD4"/>
    <w:rsid w:val="2400780C"/>
    <w:rsid w:val="24393C7D"/>
    <w:rsid w:val="247B3F36"/>
    <w:rsid w:val="249A3A01"/>
    <w:rsid w:val="253C114B"/>
    <w:rsid w:val="262B2EED"/>
    <w:rsid w:val="274F4DF4"/>
    <w:rsid w:val="27791D14"/>
    <w:rsid w:val="27DC2B2A"/>
    <w:rsid w:val="28344A87"/>
    <w:rsid w:val="28DE0ABF"/>
    <w:rsid w:val="296E6EB4"/>
    <w:rsid w:val="298B062D"/>
    <w:rsid w:val="29CD2DBD"/>
    <w:rsid w:val="2CC061C9"/>
    <w:rsid w:val="2CC9175A"/>
    <w:rsid w:val="2D1C1EEB"/>
    <w:rsid w:val="2F3026BC"/>
    <w:rsid w:val="2F855222"/>
    <w:rsid w:val="2FF22BB3"/>
    <w:rsid w:val="302F5DA7"/>
    <w:rsid w:val="307F47A7"/>
    <w:rsid w:val="31601EE6"/>
    <w:rsid w:val="316801DB"/>
    <w:rsid w:val="3174612E"/>
    <w:rsid w:val="32066A65"/>
    <w:rsid w:val="33DB5B02"/>
    <w:rsid w:val="34C23554"/>
    <w:rsid w:val="3569299C"/>
    <w:rsid w:val="35D953B1"/>
    <w:rsid w:val="36D94214"/>
    <w:rsid w:val="36E90BE0"/>
    <w:rsid w:val="370158EA"/>
    <w:rsid w:val="37E27AAC"/>
    <w:rsid w:val="3852590B"/>
    <w:rsid w:val="38F67667"/>
    <w:rsid w:val="39587F98"/>
    <w:rsid w:val="39764E15"/>
    <w:rsid w:val="3A3F2002"/>
    <w:rsid w:val="3A824526"/>
    <w:rsid w:val="3C3E06C9"/>
    <w:rsid w:val="3DED0640"/>
    <w:rsid w:val="3E514BA2"/>
    <w:rsid w:val="3EE97537"/>
    <w:rsid w:val="3F095C77"/>
    <w:rsid w:val="40F51B3B"/>
    <w:rsid w:val="43CD0D93"/>
    <w:rsid w:val="44905611"/>
    <w:rsid w:val="44AC1DA8"/>
    <w:rsid w:val="44AC4783"/>
    <w:rsid w:val="4545698E"/>
    <w:rsid w:val="46807337"/>
    <w:rsid w:val="47C70ED4"/>
    <w:rsid w:val="47E12F43"/>
    <w:rsid w:val="48133229"/>
    <w:rsid w:val="490E5B0E"/>
    <w:rsid w:val="49154166"/>
    <w:rsid w:val="49553FB6"/>
    <w:rsid w:val="4987234F"/>
    <w:rsid w:val="49893050"/>
    <w:rsid w:val="4B4003B6"/>
    <w:rsid w:val="4C89414F"/>
    <w:rsid w:val="4D6F0FEE"/>
    <w:rsid w:val="4D9B64DE"/>
    <w:rsid w:val="4DAD0F69"/>
    <w:rsid w:val="4E0D644A"/>
    <w:rsid w:val="4E6F1A84"/>
    <w:rsid w:val="4EE45BC0"/>
    <w:rsid w:val="4F52381F"/>
    <w:rsid w:val="505B2A63"/>
    <w:rsid w:val="508E7E87"/>
    <w:rsid w:val="517F0C15"/>
    <w:rsid w:val="522B2AFD"/>
    <w:rsid w:val="527115EE"/>
    <w:rsid w:val="528C5DAE"/>
    <w:rsid w:val="53954193"/>
    <w:rsid w:val="53BB2B85"/>
    <w:rsid w:val="54144443"/>
    <w:rsid w:val="54F44281"/>
    <w:rsid w:val="55F758C3"/>
    <w:rsid w:val="55FF0CA3"/>
    <w:rsid w:val="56A06E7B"/>
    <w:rsid w:val="574E3872"/>
    <w:rsid w:val="58F61648"/>
    <w:rsid w:val="59DB7152"/>
    <w:rsid w:val="5A9C2BFA"/>
    <w:rsid w:val="5ACF0FF5"/>
    <w:rsid w:val="5BB170CB"/>
    <w:rsid w:val="5C6F1333"/>
    <w:rsid w:val="5DD15CC1"/>
    <w:rsid w:val="5F0B022A"/>
    <w:rsid w:val="5F424B60"/>
    <w:rsid w:val="5F4D57F9"/>
    <w:rsid w:val="5FD42CE6"/>
    <w:rsid w:val="60BB4293"/>
    <w:rsid w:val="614A39CB"/>
    <w:rsid w:val="617823FA"/>
    <w:rsid w:val="618E0BBB"/>
    <w:rsid w:val="61B01003"/>
    <w:rsid w:val="622E1BED"/>
    <w:rsid w:val="648A72D1"/>
    <w:rsid w:val="648D121B"/>
    <w:rsid w:val="663A108E"/>
    <w:rsid w:val="67C47E6E"/>
    <w:rsid w:val="68480129"/>
    <w:rsid w:val="69395567"/>
    <w:rsid w:val="69802BD2"/>
    <w:rsid w:val="6996667D"/>
    <w:rsid w:val="69A50B22"/>
    <w:rsid w:val="6A004630"/>
    <w:rsid w:val="6A206383"/>
    <w:rsid w:val="6AC60542"/>
    <w:rsid w:val="6B585B47"/>
    <w:rsid w:val="6C0866FB"/>
    <w:rsid w:val="6C0B11EE"/>
    <w:rsid w:val="6DB61B5C"/>
    <w:rsid w:val="6DDD0E4D"/>
    <w:rsid w:val="6E8C624D"/>
    <w:rsid w:val="6F007495"/>
    <w:rsid w:val="6FEF33FA"/>
    <w:rsid w:val="705D5DE5"/>
    <w:rsid w:val="710F3952"/>
    <w:rsid w:val="71365B1C"/>
    <w:rsid w:val="71774FB6"/>
    <w:rsid w:val="72AA6E1F"/>
    <w:rsid w:val="72C774F6"/>
    <w:rsid w:val="72D66AAC"/>
    <w:rsid w:val="730A7E3F"/>
    <w:rsid w:val="737B3BCF"/>
    <w:rsid w:val="738775B7"/>
    <w:rsid w:val="74606987"/>
    <w:rsid w:val="74AE17D7"/>
    <w:rsid w:val="75127A51"/>
    <w:rsid w:val="76E533EC"/>
    <w:rsid w:val="777A7CB1"/>
    <w:rsid w:val="79360E28"/>
    <w:rsid w:val="7A0E0DD2"/>
    <w:rsid w:val="7AE61C5A"/>
    <w:rsid w:val="7B2B181F"/>
    <w:rsid w:val="7BAF3E73"/>
    <w:rsid w:val="7CCF6D3D"/>
    <w:rsid w:val="7EB42D3C"/>
    <w:rsid w:val="7EFC0AAB"/>
    <w:rsid w:val="7F7B055E"/>
    <w:rsid w:val="7FBA4D0C"/>
    <w:rsid w:val="7FC8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刘静</cp:lastModifiedBy>
  <dcterms:modified xsi:type="dcterms:W3CDTF">2025-02-08T05:34:24Z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F44D2AF8A2C742C2BD20A5082B04F5CC</vt:lpwstr>
  </property>
</Properties>
</file>