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suppressLineNumbers w:val="0"/>
        <w:wordWrap/>
        <w:autoSpaceDE w:val="0"/>
        <w:autoSpaceDN/>
        <w:bidi w:val="0"/>
        <w:adjustRightInd/>
        <w:spacing w:before="0" w:beforeAutospacing="0" w:after="0" w:afterAutospacing="0" w:line="560" w:lineRule="exact"/>
        <w:ind w:left="0" w:leftChars="0" w:right="0"/>
        <w:jc w:val="center"/>
        <w:outlineLvl w:val="9"/>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秀山土家族苗族自治县峨溶镇综合行政执法大队</w:t>
      </w:r>
      <w:r>
        <w:rPr>
          <w:rFonts w:hint="default" w:ascii="Times New Roman" w:hAnsi="Times New Roman" w:eastAsia="方正小标宋_GBK" w:cs="Times New Roman"/>
          <w:b w:val="0"/>
          <w:bCs w:val="0"/>
          <w:color w:val="auto"/>
          <w:kern w:val="0"/>
          <w:sz w:val="44"/>
          <w:szCs w:val="44"/>
        </w:rPr>
        <w:t>2023</w:t>
      </w:r>
      <w:r>
        <w:rPr>
          <w:rFonts w:hint="eastAsia" w:ascii="方正小标宋_GBK" w:hAnsi="方正小标宋_GBK" w:eastAsia="方正小标宋_GBK" w:cs="方正小标宋_GBK"/>
          <w:b w:val="0"/>
          <w:bCs w:val="0"/>
          <w:color w:val="auto"/>
          <w:kern w:val="0"/>
          <w:sz w:val="44"/>
          <w:szCs w:val="44"/>
        </w:rPr>
        <w:t>年度决算公开说明</w:t>
      </w:r>
    </w:p>
    <w:p>
      <w:pPr>
        <w:pStyle w:val="18"/>
        <w:keepNext w:val="0"/>
        <w:keepLines w:val="0"/>
        <w:pageBreakBefore w:val="0"/>
        <w:widowControl w:val="0"/>
        <w:suppressLineNumbers w:val="0"/>
        <w:wordWrap/>
        <w:autoSpaceDE w:val="0"/>
        <w:autoSpaceDN/>
        <w:bidi w:val="0"/>
        <w:adjustRightInd/>
        <w:spacing w:before="0" w:beforeAutospacing="0" w:after="0" w:afterAutospacing="0" w:line="560" w:lineRule="exact"/>
        <w:ind w:left="0" w:leftChars="0" w:right="0"/>
        <w:jc w:val="both"/>
        <w:outlineLvl w:val="9"/>
        <w:rPr>
          <w:rFonts w:hint="default" w:ascii="方正小标宋_GBK" w:hAnsi="方正小标宋_GBK" w:eastAsia="方正小标宋_GBK" w:cs="方正小标宋_GBK"/>
          <w:color w:val="auto"/>
          <w:kern w:val="0"/>
          <w:sz w:val="44"/>
          <w:szCs w:val="44"/>
        </w:rPr>
      </w:pPr>
    </w:p>
    <w:p>
      <w:pPr>
        <w:pStyle w:val="19"/>
        <w:keepNext w:val="0"/>
        <w:keepLines w:val="0"/>
        <w:pageBreakBefore w:val="0"/>
        <w:widowControl/>
        <w:suppressLineNumbers w:val="0"/>
        <w:kinsoku/>
        <w:wordWrap/>
        <w:overflowPunct/>
        <w:topLinePunct/>
        <w:autoSpaceDE w:val="0"/>
        <w:autoSpaceDN/>
        <w:bidi w:val="0"/>
        <w:adjustRightInd/>
        <w:spacing w:before="0" w:beforeAutospacing="0" w:after="0" w:afterAutospacing="0" w:line="560" w:lineRule="exact"/>
        <w:ind w:left="0" w:leftChars="0" w:firstLine="640" w:firstLineChars="200"/>
        <w:jc w:val="both"/>
        <w:textAlignment w:val="auto"/>
        <w:outlineLvl w:val="9"/>
        <w:rPr>
          <w:rStyle w:val="20"/>
          <w:rFonts w:hint="eastAsia" w:ascii="方正黑体_GBK" w:hAnsi="方正黑体_GBK" w:eastAsia="方正黑体_GBK" w:cs="方正黑体_GBK"/>
          <w:b w:val="0"/>
          <w:bCs w:val="0"/>
          <w:color w:val="auto"/>
          <w:kern w:val="44"/>
          <w:sz w:val="32"/>
          <w:szCs w:val="32"/>
          <w:highlight w:val="none"/>
        </w:rPr>
      </w:pPr>
      <w:r>
        <w:rPr>
          <w:rStyle w:val="20"/>
          <w:rFonts w:hint="eastAsia" w:ascii="方正黑体_GBK" w:hAnsi="方正黑体_GBK" w:eastAsia="方正黑体_GBK" w:cs="方正黑体_GBK"/>
          <w:b w:val="0"/>
          <w:bCs w:val="0"/>
          <w:color w:val="auto"/>
          <w:kern w:val="44"/>
          <w:sz w:val="32"/>
          <w:szCs w:val="32"/>
          <w:highlight w:val="none"/>
        </w:rPr>
        <w:t>一、单位基本情况</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jc w:val="both"/>
        <w:textAlignment w:val="auto"/>
        <w:rPr>
          <w:rStyle w:val="10"/>
          <w:rFonts w:hint="eastAsia" w:ascii="方正楷体_GBK" w:hAnsi="方正楷体_GBK" w:eastAsia="方正楷体_GBK" w:cs="方正楷体_GBK"/>
          <w:b w:val="0"/>
          <w:bCs/>
          <w:color w:val="auto"/>
          <w:sz w:val="32"/>
          <w:szCs w:val="32"/>
          <w:highlight w:val="none"/>
          <w:shd w:val="clear" w:color="auto" w:fill="FFFFFF"/>
        </w:rPr>
      </w:pPr>
      <w:r>
        <w:rPr>
          <w:rStyle w:val="10"/>
          <w:rFonts w:hint="eastAsia" w:ascii="方正楷体_GBK" w:hAnsi="方正楷体_GBK" w:eastAsia="方正楷体_GBK" w:cs="方正楷体_GBK"/>
          <w:b w:val="0"/>
          <w:bCs/>
          <w:color w:val="auto"/>
          <w:sz w:val="32"/>
          <w:szCs w:val="32"/>
          <w:highlight w:val="none"/>
          <w:shd w:val="clear" w:color="auto" w:fill="FFFFFF"/>
        </w:rPr>
        <w:t>（一）职能职责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0"/>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kern w:val="2"/>
          <w:sz w:val="32"/>
          <w:szCs w:val="32"/>
          <w:highlight w:val="none"/>
          <w:u w:val="none"/>
          <w:lang w:val="en-US" w:eastAsia="zh-CN" w:bidi="ar-SA"/>
        </w:rPr>
        <w:t>集中行使依法授权或委托乡镇政府承担的各项行政执法权；协调、配合县级有关单位及派驻机构开展其他领域的联合执法。</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本单位</w:t>
      </w:r>
      <w:r>
        <w:rPr>
          <w:rFonts w:hint="default" w:ascii="Times New Roman" w:hAnsi="Times New Roman" w:eastAsia="方正仿宋_GBK" w:cs="Times New Roman"/>
          <w:i w:val="0"/>
          <w:iCs w:val="0"/>
          <w:caps w:val="0"/>
          <w:color w:val="auto"/>
          <w:spacing w:val="0"/>
          <w:sz w:val="32"/>
          <w:szCs w:val="32"/>
          <w:highlight w:val="none"/>
          <w:shd w:val="clear" w:fill="FFFFFF"/>
        </w:rPr>
        <w:t>是秀山土家族苗族自治县</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峨溶</w:t>
      </w:r>
      <w:r>
        <w:rPr>
          <w:rFonts w:hint="default" w:ascii="Times New Roman" w:hAnsi="Times New Roman" w:eastAsia="方正仿宋_GBK" w:cs="Times New Roman"/>
          <w:i w:val="0"/>
          <w:iCs w:val="0"/>
          <w:caps w:val="0"/>
          <w:color w:val="auto"/>
          <w:spacing w:val="0"/>
          <w:sz w:val="32"/>
          <w:szCs w:val="32"/>
          <w:highlight w:val="none"/>
          <w:shd w:val="clear" w:fill="FFFFFF"/>
        </w:rPr>
        <w:t>镇人民政府</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统一设置的事业站所之一，单位构成为综合行政执法大队</w:t>
      </w:r>
      <w:r>
        <w:rPr>
          <w:rFonts w:hint="default" w:ascii="Times New Roman" w:hAnsi="Times New Roman" w:eastAsia="方正仿宋_GBK" w:cs="Times New Roman"/>
          <w:color w:val="auto"/>
          <w:sz w:val="32"/>
          <w:szCs w:val="32"/>
          <w:highlight w:val="none"/>
          <w:shd w:val="clear" w:color="auto" w:fill="FFFFFF"/>
          <w:lang w:eastAsia="zh-CN"/>
        </w:rPr>
        <w:t>，无下属机构</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pStyle w:val="19"/>
        <w:keepNext w:val="0"/>
        <w:keepLines w:val="0"/>
        <w:pageBreakBefore w:val="0"/>
        <w:widowControl/>
        <w:suppressLineNumbers w:val="0"/>
        <w:kinsoku/>
        <w:wordWrap/>
        <w:overflowPunct/>
        <w:topLinePunct/>
        <w:autoSpaceDE w:val="0"/>
        <w:autoSpaceDN/>
        <w:bidi w:val="0"/>
        <w:adjustRightInd/>
        <w:spacing w:before="0" w:beforeAutospacing="0" w:after="0" w:afterAutospacing="0" w:line="560" w:lineRule="exact"/>
        <w:ind w:left="0" w:leftChars="0" w:firstLine="640" w:firstLineChars="200"/>
        <w:jc w:val="both"/>
        <w:textAlignment w:val="auto"/>
        <w:outlineLvl w:val="9"/>
        <w:rPr>
          <w:rStyle w:val="20"/>
          <w:rFonts w:hint="eastAsia" w:ascii="方正黑体_GBK" w:hAnsi="方正黑体_GBK" w:eastAsia="方正黑体_GBK" w:cs="方正黑体_GBK"/>
          <w:b w:val="0"/>
          <w:bCs w:val="0"/>
          <w:color w:val="auto"/>
          <w:kern w:val="44"/>
          <w:sz w:val="32"/>
          <w:szCs w:val="32"/>
          <w:highlight w:val="none"/>
        </w:rPr>
      </w:pPr>
      <w:r>
        <w:rPr>
          <w:rStyle w:val="20"/>
          <w:rFonts w:hint="eastAsia" w:ascii="方正黑体_GBK" w:hAnsi="方正黑体_GBK" w:eastAsia="方正黑体_GBK" w:cs="方正黑体_GBK"/>
          <w:b w:val="0"/>
          <w:bCs w:val="0"/>
          <w:color w:val="auto"/>
          <w:kern w:val="44"/>
          <w:sz w:val="32"/>
          <w:szCs w:val="32"/>
          <w:highlight w:val="none"/>
        </w:rPr>
        <w:t>二、单位决算情况说明</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（一）收入支出决算总体情况说明</w:t>
      </w:r>
    </w:p>
    <w:p>
      <w:pPr>
        <w:pStyle w:val="8"/>
        <w:keepNext w:val="0"/>
        <w:keepLines w:val="0"/>
        <w:pageBreakBefore w:val="0"/>
        <w:shd w:val="clear" w:color="auto" w:fill="FFFFFF"/>
        <w:kinsoku/>
        <w:wordWrap/>
        <w:overflowPunct/>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2023年度收入总计64.56万元，支出总计</w:t>
      </w:r>
      <w:r>
        <w:rPr>
          <w:rFonts w:hint="default" w:ascii="Times New Roman" w:hAnsi="Times New Roman" w:eastAsia="方正仿宋_GBK" w:cs="Times New Roman"/>
          <w:color w:val="auto"/>
          <w:sz w:val="32"/>
          <w:szCs w:val="32"/>
          <w:highlight w:val="none"/>
        </w:rPr>
        <w:t>64.56</w:t>
      </w:r>
      <w:r>
        <w:rPr>
          <w:rFonts w:hint="default" w:ascii="Times New Roman" w:hAnsi="Times New Roman" w:eastAsia="方正仿宋_GBK" w:cs="Times New Roman"/>
          <w:color w:val="auto"/>
          <w:sz w:val="32"/>
          <w:szCs w:val="32"/>
          <w:highlight w:val="none"/>
          <w:shd w:val="clear" w:color="auto" w:fill="FFFFFF"/>
        </w:rPr>
        <w:t>万元。收支较上年决算数增加64.56万元，增长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8"/>
        <w:keepNext w:val="0"/>
        <w:keepLines w:val="0"/>
        <w:pageBreakBefore w:val="0"/>
        <w:shd w:val="clear" w:color="auto" w:fill="FFFFFF"/>
        <w:kinsoku/>
        <w:wordWrap/>
        <w:overflowPunct/>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2023年度收入合计64.56万元，较上年决算数增加64.56万元，增长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64.56</w:t>
      </w:r>
      <w:r>
        <w:rPr>
          <w:rFonts w:hint="default" w:ascii="Times New Roman" w:hAnsi="Times New Roman" w:eastAsia="方正仿宋_GBK" w:cs="Times New Roman"/>
          <w:color w:val="auto"/>
          <w:sz w:val="32"/>
          <w:szCs w:val="32"/>
          <w:highlight w:val="none"/>
          <w:shd w:val="clear" w:color="auto" w:fill="FFFFFF"/>
        </w:rPr>
        <w:t>万元，占</w:t>
      </w:r>
      <w:r>
        <w:rPr>
          <w:rFonts w:hint="eastAsia" w:ascii="Times New Roman" w:hAnsi="Times New Roman" w:eastAsia="方正仿宋_GBK" w:cs="Times New Roman"/>
          <w:color w:val="auto"/>
          <w:sz w:val="32"/>
          <w:szCs w:val="32"/>
          <w:highlight w:val="none"/>
          <w:lang w:eastAsia="zh-CN"/>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占0.00%</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占0.00%</w:t>
      </w:r>
      <w:r>
        <w:rPr>
          <w:rFonts w:hint="default" w:ascii="Times New Roman" w:hAnsi="Times New Roman" w:eastAsia="方正仿宋_GBK" w:cs="Times New Roman"/>
          <w:color w:val="auto"/>
          <w:sz w:val="32"/>
          <w:szCs w:val="32"/>
          <w:highlight w:val="none"/>
          <w:shd w:val="clear" w:color="auto" w:fill="FFFFFF"/>
        </w:rPr>
        <w:t>；其他收入</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占0.00%</w:t>
      </w:r>
      <w:r>
        <w:rPr>
          <w:rFonts w:hint="default" w:ascii="Times New Roman" w:hAnsi="Times New Roman" w:eastAsia="方正仿宋_GBK" w:cs="Times New Roman"/>
          <w:color w:val="auto"/>
          <w:sz w:val="32"/>
          <w:szCs w:val="32"/>
          <w:highlight w:val="none"/>
          <w:shd w:val="clear" w:color="auto" w:fill="FFFFFF"/>
        </w:rPr>
        <w:t>。此外，使用非财政拨款结余和专用结余</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，年初结转和结余</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shd w:val="clear" w:color="auto" w:fill="FFFFFF"/>
        <w:kinsoku/>
        <w:wordWrap/>
        <w:overflowPunct/>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64.56</w:t>
      </w:r>
      <w:r>
        <w:rPr>
          <w:rFonts w:hint="default" w:ascii="Times New Roman" w:hAnsi="Times New Roman" w:eastAsia="方正仿宋_GBK" w:cs="Times New Roman"/>
          <w:color w:val="auto"/>
          <w:sz w:val="32"/>
          <w:szCs w:val="32"/>
          <w:highlight w:val="none"/>
          <w:shd w:val="clear" w:color="auto" w:fill="FFFFFF"/>
        </w:rPr>
        <w:t>万元，较上年决算数增加64.56万元，增长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64.56</w:t>
      </w:r>
      <w:r>
        <w:rPr>
          <w:rFonts w:hint="default" w:ascii="Times New Roman" w:hAnsi="Times New Roman" w:eastAsia="方正仿宋_GBK" w:cs="Times New Roman"/>
          <w:color w:val="auto"/>
          <w:sz w:val="32"/>
          <w:szCs w:val="32"/>
          <w:highlight w:val="none"/>
          <w:shd w:val="clear" w:color="auto" w:fill="FFFFFF"/>
        </w:rPr>
        <w:t>万元，占</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；项目支出</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占0.00%</w:t>
      </w:r>
      <w:r>
        <w:rPr>
          <w:rFonts w:hint="default" w:ascii="Times New Roman" w:hAnsi="Times New Roman" w:eastAsia="方正仿宋_GBK" w:cs="Times New Roman"/>
          <w:color w:val="auto"/>
          <w:sz w:val="32"/>
          <w:szCs w:val="32"/>
          <w:highlight w:val="none"/>
          <w:shd w:val="clear" w:color="auto" w:fill="FFFFFF"/>
        </w:rPr>
        <w:t>；经营支出</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占0.00%</w:t>
      </w:r>
      <w:r>
        <w:rPr>
          <w:rFonts w:hint="default" w:ascii="Times New Roman" w:hAnsi="Times New Roman" w:eastAsia="方正仿宋_GBK" w:cs="Times New Roman"/>
          <w:color w:val="auto"/>
          <w:sz w:val="32"/>
          <w:szCs w:val="32"/>
          <w:highlight w:val="none"/>
          <w:shd w:val="clear" w:color="auto" w:fill="FFFFFF"/>
        </w:rPr>
        <w:t>。此外，结余分配</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，较上年决算数无增减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b w:val="0"/>
          <w:bCs/>
          <w:color w:val="auto"/>
          <w:kern w:val="0"/>
          <w:sz w:val="32"/>
          <w:szCs w:val="32"/>
          <w:highlight w:val="none"/>
          <w:shd w:val="clear" w:color="auto" w:fill="FFFFFF"/>
          <w:lang w:bidi="ar"/>
        </w:rPr>
        <w:t>主要原因是2022年度本单位与部门合并编报决算，按照市财政局要求，2023年度独立编报决算，本年度财政收支平衡零结转结余。</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2023年度财政拨款收、支总计64.56万元。与2022年相比，财政拨款收、支总计各增加64.56万元，增长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b w:val="0"/>
          <w:bCs/>
          <w:color w:val="auto"/>
          <w:kern w:val="0"/>
          <w:sz w:val="32"/>
          <w:szCs w:val="32"/>
          <w:highlight w:val="none"/>
          <w:shd w:val="clear" w:color="auto" w:fill="FFFFFF"/>
          <w:lang w:bidi="ar"/>
        </w:rPr>
      </w:pPr>
      <w:r>
        <w:rPr>
          <w:rFonts w:hint="default" w:ascii="Times New Roman" w:hAnsi="Times New Roman" w:eastAsia="方正仿宋_GBK" w:cs="Times New Roman"/>
          <w:b/>
          <w:bCs w:val="0"/>
          <w:color w:val="auto"/>
          <w:kern w:val="0"/>
          <w:sz w:val="32"/>
          <w:szCs w:val="32"/>
          <w:highlight w:val="none"/>
          <w:shd w:val="clear" w:color="auto" w:fill="FFFFFF"/>
          <w:lang w:bidi="ar"/>
        </w:rPr>
        <w:t>1.收入情况。</w:t>
      </w:r>
      <w:r>
        <w:rPr>
          <w:rFonts w:hint="default" w:ascii="Times New Roman" w:hAnsi="Times New Roman" w:eastAsia="方正仿宋_GBK" w:cs="Times New Roman"/>
          <w:b w:val="0"/>
          <w:bCs/>
          <w:color w:val="auto"/>
          <w:kern w:val="0"/>
          <w:sz w:val="32"/>
          <w:szCs w:val="32"/>
          <w:highlight w:val="none"/>
          <w:shd w:val="clear" w:color="auto" w:fill="FFFFFF"/>
          <w:lang w:bidi="ar"/>
        </w:rPr>
        <w:t>2023年度一般公共预算财政拨款收入64.56万元，较上年决算数增加64.56万元，增长</w:t>
      </w:r>
      <w:r>
        <w:rPr>
          <w:rFonts w:hint="eastAsia" w:ascii="Times New Roman" w:hAnsi="Times New Roman" w:eastAsia="方正仿宋_GBK" w:cs="Times New Roman"/>
          <w:b w:val="0"/>
          <w:bCs/>
          <w:color w:val="auto"/>
          <w:kern w:val="0"/>
          <w:sz w:val="32"/>
          <w:szCs w:val="32"/>
          <w:highlight w:val="none"/>
          <w:shd w:val="clear" w:color="auto" w:fill="FFFFFF"/>
          <w:lang w:eastAsia="zh-CN" w:bidi="ar"/>
        </w:rPr>
        <w:t>100.00%</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color w:val="auto"/>
          <w:kern w:val="0"/>
          <w:sz w:val="32"/>
          <w:szCs w:val="32"/>
          <w:highlight w:val="none"/>
          <w:shd w:val="clear" w:color="auto" w:fill="FFFFFF"/>
          <w:lang w:bidi="ar"/>
        </w:rPr>
        <w:t>主要原因是</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2022年度本单位与部门合并编报决算，按照市财政局要求，2023年独立编报决算，故与上年对比增长</w:t>
      </w:r>
      <w:r>
        <w:rPr>
          <w:rFonts w:hint="eastAsia" w:ascii="Times New Roman" w:hAnsi="Times New Roman" w:eastAsia="方正仿宋_GBK" w:cs="Times New Roman"/>
          <w:b w:val="0"/>
          <w:bCs/>
          <w:color w:val="auto"/>
          <w:kern w:val="0"/>
          <w:sz w:val="32"/>
          <w:szCs w:val="32"/>
          <w:highlight w:val="none"/>
          <w:shd w:val="clear" w:color="auto" w:fill="FFFFFF"/>
          <w:lang w:val="en-US" w:eastAsia="zh-CN" w:bidi="ar"/>
        </w:rPr>
        <w:t>100.00%</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w:t>
      </w:r>
      <w:r>
        <w:rPr>
          <w:rFonts w:hint="default" w:ascii="Times New Roman" w:hAnsi="Times New Roman" w:eastAsia="方正仿宋_GBK" w:cs="Times New Roman"/>
          <w:b w:val="0"/>
          <w:bCs/>
          <w:color w:val="auto"/>
          <w:kern w:val="0"/>
          <w:sz w:val="32"/>
          <w:szCs w:val="32"/>
          <w:highlight w:val="none"/>
          <w:shd w:val="clear" w:color="auto" w:fill="FFFFFF"/>
          <w:lang w:bidi="ar"/>
        </w:rPr>
        <w:t>较年初预算数减少7.16万元，下降9.98%</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color w:val="auto"/>
          <w:kern w:val="0"/>
          <w:sz w:val="32"/>
          <w:szCs w:val="32"/>
          <w:highlight w:val="none"/>
          <w:shd w:val="clear" w:color="auto" w:fill="FFFFFF"/>
          <w:lang w:bidi="ar"/>
        </w:rPr>
        <w:t>主要原因是</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参考线内超额绩效（年终考核）清算核减、养老保险、职业年金清算核减。</w:t>
      </w:r>
      <w:r>
        <w:rPr>
          <w:rFonts w:hint="default" w:ascii="Times New Roman" w:hAnsi="Times New Roman" w:eastAsia="方正仿宋_GBK" w:cs="Times New Roman"/>
          <w:b w:val="0"/>
          <w:bCs/>
          <w:color w:val="auto"/>
          <w:kern w:val="0"/>
          <w:sz w:val="32"/>
          <w:szCs w:val="32"/>
          <w:highlight w:val="none"/>
          <w:shd w:val="clear" w:color="auto" w:fill="FFFFFF"/>
          <w:lang w:bidi="ar"/>
        </w:rPr>
        <w:t>此外，年初财政拨款结转和结余</w:t>
      </w:r>
      <w:r>
        <w:rPr>
          <w:rFonts w:hint="eastAsia" w:ascii="Times New Roman" w:hAnsi="Times New Roman" w:eastAsia="方正仿宋_GBK" w:cs="Times New Roman"/>
          <w:b w:val="0"/>
          <w:bCs/>
          <w:color w:val="auto"/>
          <w:kern w:val="0"/>
          <w:sz w:val="32"/>
          <w:szCs w:val="32"/>
          <w:highlight w:val="none"/>
          <w:shd w:val="clear" w:color="auto" w:fill="FFFFFF"/>
          <w:lang w:eastAsia="zh-CN" w:bidi="ar"/>
        </w:rPr>
        <w:t>0.00万元</w:t>
      </w:r>
      <w:r>
        <w:rPr>
          <w:rFonts w:hint="default" w:ascii="Times New Roman" w:hAnsi="Times New Roman" w:eastAsia="方正仿宋_GBK" w:cs="Times New Roman"/>
          <w:b w:val="0"/>
          <w:bCs/>
          <w:color w:val="auto"/>
          <w:kern w:val="0"/>
          <w:sz w:val="32"/>
          <w:szCs w:val="32"/>
          <w:highlight w:val="none"/>
          <w:shd w:val="clear" w:color="auto" w:fill="FFFFFF"/>
          <w:lang w:bidi="ar"/>
        </w:rPr>
        <w:t>。</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b w:val="0"/>
          <w:bCs/>
          <w:color w:val="auto"/>
          <w:kern w:val="0"/>
          <w:sz w:val="32"/>
          <w:szCs w:val="32"/>
          <w:highlight w:val="none"/>
          <w:shd w:val="clear" w:color="auto" w:fill="FFFFFF"/>
          <w:lang w:eastAsia="zh-CN" w:bidi="ar"/>
        </w:rPr>
      </w:pPr>
      <w:r>
        <w:rPr>
          <w:rFonts w:hint="default" w:ascii="Times New Roman" w:hAnsi="Times New Roman" w:eastAsia="方正仿宋_GBK" w:cs="Times New Roman"/>
          <w:b/>
          <w:bCs w:val="0"/>
          <w:color w:val="auto"/>
          <w:kern w:val="0"/>
          <w:sz w:val="32"/>
          <w:szCs w:val="32"/>
          <w:highlight w:val="none"/>
          <w:shd w:val="clear" w:color="auto" w:fill="FFFFFF"/>
          <w:lang w:bidi="ar"/>
        </w:rPr>
        <w:t>2.支出情况。</w:t>
      </w:r>
      <w:r>
        <w:rPr>
          <w:rFonts w:hint="default" w:ascii="Times New Roman" w:hAnsi="Times New Roman" w:eastAsia="方正仿宋_GBK" w:cs="Times New Roman"/>
          <w:b w:val="0"/>
          <w:bCs/>
          <w:color w:val="auto"/>
          <w:kern w:val="0"/>
          <w:sz w:val="32"/>
          <w:szCs w:val="32"/>
          <w:highlight w:val="none"/>
          <w:shd w:val="clear" w:color="auto" w:fill="FFFFFF"/>
          <w:lang w:bidi="ar"/>
        </w:rPr>
        <w:t>2023年度一般公共预算财政拨款支出64.56万元，较上年决算数增加64.56万元，增长</w:t>
      </w:r>
      <w:r>
        <w:rPr>
          <w:rFonts w:hint="eastAsia" w:ascii="Times New Roman" w:hAnsi="Times New Roman" w:eastAsia="方正仿宋_GBK" w:cs="Times New Roman"/>
          <w:b w:val="0"/>
          <w:bCs/>
          <w:color w:val="auto"/>
          <w:kern w:val="0"/>
          <w:sz w:val="32"/>
          <w:szCs w:val="32"/>
          <w:highlight w:val="none"/>
          <w:shd w:val="clear" w:color="auto" w:fill="FFFFFF"/>
          <w:lang w:eastAsia="zh-CN" w:bidi="ar"/>
        </w:rPr>
        <w:t>100.00%</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color w:val="auto"/>
          <w:kern w:val="0"/>
          <w:sz w:val="32"/>
          <w:szCs w:val="32"/>
          <w:highlight w:val="none"/>
          <w:shd w:val="clear" w:color="auto" w:fill="FFFFFF"/>
          <w:lang w:bidi="ar"/>
        </w:rPr>
        <w:t>主要原因是</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2022年度本单位与部门合并编报决算，按照市财政局要求，2023年独立编报决算，故与上年对比增长</w:t>
      </w:r>
      <w:r>
        <w:rPr>
          <w:rFonts w:hint="eastAsia" w:ascii="Times New Roman" w:hAnsi="Times New Roman" w:eastAsia="方正仿宋_GBK" w:cs="Times New Roman"/>
          <w:b w:val="0"/>
          <w:bCs/>
          <w:color w:val="auto"/>
          <w:kern w:val="0"/>
          <w:sz w:val="32"/>
          <w:szCs w:val="32"/>
          <w:highlight w:val="none"/>
          <w:shd w:val="clear" w:color="auto" w:fill="FFFFFF"/>
          <w:lang w:val="en-US" w:eastAsia="zh-CN" w:bidi="ar"/>
        </w:rPr>
        <w:t>100.00%</w:t>
      </w:r>
      <w:r>
        <w:rPr>
          <w:rFonts w:hint="default" w:ascii="Times New Roman" w:hAnsi="Times New Roman" w:eastAsia="方正仿宋_GBK" w:cs="Times New Roman"/>
          <w:b w:val="0"/>
          <w:bCs/>
          <w:color w:val="auto"/>
          <w:kern w:val="0"/>
          <w:sz w:val="32"/>
          <w:szCs w:val="32"/>
          <w:highlight w:val="none"/>
          <w:shd w:val="clear" w:color="auto" w:fill="FFFFFF"/>
          <w:lang w:val="en-US" w:eastAsia="zh-CN" w:bidi="ar"/>
        </w:rPr>
        <w:t>。</w:t>
      </w:r>
      <w:r>
        <w:rPr>
          <w:rFonts w:hint="default" w:ascii="Times New Roman" w:hAnsi="Times New Roman" w:eastAsia="方正仿宋_GBK" w:cs="Times New Roman"/>
          <w:b w:val="0"/>
          <w:bCs/>
          <w:color w:val="auto"/>
          <w:kern w:val="0"/>
          <w:sz w:val="32"/>
          <w:szCs w:val="32"/>
          <w:highlight w:val="none"/>
          <w:shd w:val="clear" w:color="auto" w:fill="FFFFFF"/>
          <w:lang w:bidi="ar"/>
        </w:rPr>
        <w:t>较年初预算数减少8.77万元，下降11.96%</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color w:val="auto"/>
          <w:kern w:val="0"/>
          <w:sz w:val="32"/>
          <w:szCs w:val="32"/>
          <w:highlight w:val="none"/>
          <w:shd w:val="clear" w:color="auto" w:fill="FFFFFF"/>
          <w:lang w:bidi="ar"/>
        </w:rPr>
        <w:t>主要原因是</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参考线内超额绩效（年终考核）清算核减、养老保险、职业年金清算核减。</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b w:val="0"/>
          <w:bCs/>
          <w:color w:val="auto"/>
          <w:kern w:val="0"/>
          <w:sz w:val="32"/>
          <w:szCs w:val="32"/>
          <w:highlight w:val="none"/>
          <w:shd w:val="clear" w:color="auto" w:fill="FFFFFF"/>
          <w:lang w:bidi="ar"/>
        </w:rPr>
      </w:pPr>
      <w:r>
        <w:rPr>
          <w:rFonts w:hint="default" w:ascii="Times New Roman" w:hAnsi="Times New Roman" w:eastAsia="方正仿宋_GBK" w:cs="Times New Roman"/>
          <w:b/>
          <w:bCs w:val="0"/>
          <w:color w:val="auto"/>
          <w:kern w:val="0"/>
          <w:sz w:val="32"/>
          <w:szCs w:val="32"/>
          <w:highlight w:val="none"/>
          <w:shd w:val="clear" w:color="auto" w:fill="FFFFFF"/>
          <w:lang w:bidi="ar"/>
        </w:rPr>
        <w:t>3.结转结余情况。</w:t>
      </w:r>
      <w:r>
        <w:rPr>
          <w:rFonts w:hint="default" w:ascii="Times New Roman" w:hAnsi="Times New Roman" w:eastAsia="方正仿宋_GBK" w:cs="Times New Roman"/>
          <w:b w:val="0"/>
          <w:bCs/>
          <w:color w:val="auto"/>
          <w:kern w:val="0"/>
          <w:sz w:val="32"/>
          <w:szCs w:val="32"/>
          <w:highlight w:val="none"/>
          <w:shd w:val="clear" w:color="auto" w:fill="FFFFFF"/>
          <w:lang w:bidi="ar"/>
        </w:rPr>
        <w:t>2023年度年末一般公共预算财政拨款结转和结余</w:t>
      </w:r>
      <w:r>
        <w:rPr>
          <w:rFonts w:hint="eastAsia" w:ascii="Times New Roman" w:hAnsi="Times New Roman" w:eastAsia="方正仿宋_GBK" w:cs="Times New Roman"/>
          <w:b w:val="0"/>
          <w:bCs/>
          <w:color w:val="auto"/>
          <w:kern w:val="0"/>
          <w:sz w:val="32"/>
          <w:szCs w:val="32"/>
          <w:highlight w:val="none"/>
          <w:shd w:val="clear" w:color="auto" w:fill="FFFFFF"/>
          <w:lang w:eastAsia="zh-CN" w:bidi="ar"/>
        </w:rPr>
        <w:t>0.00万元</w:t>
      </w:r>
      <w:r>
        <w:rPr>
          <w:rFonts w:hint="default" w:ascii="Times New Roman" w:hAnsi="Times New Roman" w:eastAsia="方正仿宋_GBK" w:cs="Times New Roman"/>
          <w:b w:val="0"/>
          <w:bCs/>
          <w:color w:val="auto"/>
          <w:kern w:val="0"/>
          <w:sz w:val="32"/>
          <w:szCs w:val="32"/>
          <w:highlight w:val="none"/>
          <w:shd w:val="clear" w:color="auto" w:fill="FFFFFF"/>
          <w:lang w:bidi="ar"/>
        </w:rPr>
        <w:t>，较上年决算数无增减</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color w:val="auto"/>
          <w:kern w:val="0"/>
          <w:sz w:val="32"/>
          <w:szCs w:val="32"/>
          <w:highlight w:val="none"/>
          <w:shd w:val="clear" w:color="auto" w:fill="FFFFFF"/>
          <w:lang w:bidi="ar"/>
        </w:rPr>
        <w:t>主要原因是2022年度本单位与部门合并编报决算，按照市财政局要求，2023年度独立编报决算，本年度财政收支平衡零结转结余。</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right="0" w:firstLine="643" w:firstLineChars="200"/>
        <w:jc w:val="both"/>
        <w:textAlignment w:val="auto"/>
        <w:outlineLvl w:val="9"/>
        <w:rPr>
          <w:rFonts w:hint="default" w:ascii="Times New Roman" w:hAnsi="Times New Roman" w:eastAsia="方正仿宋_GBK" w:cs="Times New Roman"/>
          <w:b w:val="0"/>
          <w:bCs/>
          <w:color w:val="auto"/>
          <w:kern w:val="0"/>
          <w:sz w:val="32"/>
          <w:szCs w:val="32"/>
          <w:highlight w:val="none"/>
          <w:shd w:val="clear" w:color="auto" w:fill="FFFFFF"/>
          <w:lang w:bidi="ar"/>
        </w:rPr>
      </w:pPr>
      <w:r>
        <w:rPr>
          <w:rFonts w:hint="default" w:ascii="Times New Roman" w:hAnsi="Times New Roman" w:eastAsia="方正仿宋_GBK" w:cs="Times New Roman"/>
          <w:b/>
          <w:bCs w:val="0"/>
          <w:color w:val="auto"/>
          <w:kern w:val="0"/>
          <w:sz w:val="32"/>
          <w:szCs w:val="32"/>
          <w:highlight w:val="none"/>
          <w:shd w:val="clear" w:color="auto" w:fill="FFFFFF"/>
          <w:lang w:bidi="ar"/>
        </w:rPr>
        <w:t>4.比较情况。</w:t>
      </w:r>
      <w:r>
        <w:rPr>
          <w:rFonts w:hint="default" w:ascii="Times New Roman" w:hAnsi="Times New Roman" w:eastAsia="方正仿宋_GBK" w:cs="Times New Roman"/>
          <w:b w:val="0"/>
          <w:bCs/>
          <w:color w:val="auto"/>
          <w:kern w:val="0"/>
          <w:sz w:val="32"/>
          <w:szCs w:val="32"/>
          <w:highlight w:val="none"/>
          <w:shd w:val="clear" w:color="auto" w:fill="FFFFFF"/>
          <w:lang w:bidi="ar"/>
        </w:rPr>
        <w:t>本单位2023年度一般公共预算财政拨款支出主要用于以下</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四</w:t>
      </w:r>
      <w:r>
        <w:rPr>
          <w:rFonts w:hint="default" w:ascii="Times New Roman" w:hAnsi="Times New Roman" w:eastAsia="方正仿宋_GBK" w:cs="Times New Roman"/>
          <w:b w:val="0"/>
          <w:bCs/>
          <w:color w:val="auto"/>
          <w:kern w:val="0"/>
          <w:sz w:val="32"/>
          <w:szCs w:val="32"/>
          <w:highlight w:val="none"/>
          <w:shd w:val="clear" w:color="auto" w:fill="FFFFFF"/>
          <w:lang w:bidi="ar"/>
        </w:rPr>
        <w:t>个方面：</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6.53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10.12</w:t>
      </w:r>
      <w:r>
        <w:rPr>
          <w:rFonts w:hint="default" w:ascii="Times New Roman" w:hAnsi="Times New Roman" w:eastAsia="方正仿宋_GBK" w:cs="Times New Roman"/>
          <w:color w:val="auto"/>
          <w:sz w:val="32"/>
          <w:szCs w:val="32"/>
          <w:highlight w:val="none"/>
          <w:shd w:val="clear" w:color="auto" w:fill="FFFFFF"/>
        </w:rPr>
        <w:t>%，较年初预算数减少2.7</w:t>
      </w:r>
      <w:r>
        <w:rPr>
          <w:rFonts w:hint="eastAsia" w:ascii="Times New Roman" w:hAnsi="Times New Roman" w:eastAsia="方正仿宋_GBK" w:cs="Times New Roman"/>
          <w:color w:val="auto"/>
          <w:sz w:val="32"/>
          <w:szCs w:val="32"/>
          <w:highlight w:val="none"/>
          <w:shd w:val="clear" w:color="auto" w:fill="FFFFFF"/>
          <w:lang w:eastAsia="zh-CN"/>
        </w:rPr>
        <w:t>0万元</w:t>
      </w:r>
      <w:r>
        <w:rPr>
          <w:rFonts w:hint="default" w:ascii="Times New Roman" w:hAnsi="Times New Roman" w:eastAsia="方正仿宋_GBK" w:cs="Times New Roman"/>
          <w:color w:val="auto"/>
          <w:sz w:val="32"/>
          <w:szCs w:val="32"/>
          <w:highlight w:val="none"/>
          <w:shd w:val="clear" w:color="auto" w:fill="FFFFFF"/>
        </w:rPr>
        <w:t>，下降29.25%，主要原因是</w:t>
      </w:r>
      <w:r>
        <w:rPr>
          <w:rFonts w:hint="default" w:ascii="Times New Roman" w:hAnsi="Times New Roman" w:eastAsia="方正仿宋_GBK" w:cs="Times New Roman"/>
          <w:color w:val="auto"/>
          <w:sz w:val="32"/>
          <w:szCs w:val="32"/>
          <w:highlight w:val="none"/>
          <w:shd w:val="clear" w:color="auto" w:fill="FFFFFF"/>
          <w:lang w:eastAsia="zh-CN"/>
        </w:rPr>
        <w:t>养老保险、职业年金清算核减。</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2.64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4.08</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eastAsia="zh-CN"/>
        </w:rPr>
        <w:t>严格按照年初预算执行。</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）城乡社区支出</w:t>
      </w:r>
      <w:r>
        <w:rPr>
          <w:rFonts w:hint="default" w:ascii="Times New Roman" w:hAnsi="Times New Roman" w:eastAsia="方正仿宋_GBK" w:cs="Times New Roman"/>
          <w:color w:val="auto"/>
          <w:sz w:val="32"/>
          <w:szCs w:val="32"/>
          <w:highlight w:val="none"/>
        </w:rPr>
        <w:t>51.61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79.94</w:t>
      </w:r>
      <w:r>
        <w:rPr>
          <w:rFonts w:hint="default" w:ascii="Times New Roman" w:hAnsi="Times New Roman" w:eastAsia="方正仿宋_GBK" w:cs="Times New Roman"/>
          <w:color w:val="auto"/>
          <w:sz w:val="32"/>
          <w:szCs w:val="32"/>
          <w:highlight w:val="none"/>
          <w:shd w:val="clear" w:color="auto" w:fill="FFFFFF"/>
        </w:rPr>
        <w:t>%，较年初预算数减少4.43万元，下降7.91%，主要原因是</w:t>
      </w:r>
      <w:r>
        <w:rPr>
          <w:rFonts w:hint="default" w:ascii="Times New Roman" w:hAnsi="Times New Roman" w:eastAsia="方正仿宋_GBK" w:cs="Times New Roman"/>
          <w:b w:val="0"/>
          <w:bCs/>
          <w:color w:val="auto"/>
          <w:kern w:val="0"/>
          <w:sz w:val="32"/>
          <w:szCs w:val="32"/>
          <w:highlight w:val="none"/>
          <w:shd w:val="clear" w:color="auto" w:fill="FFFFFF"/>
          <w:lang w:eastAsia="zh-CN" w:bidi="ar"/>
        </w:rPr>
        <w:t>参考线内超额绩效（年终考核）清算核减。</w:t>
      </w:r>
    </w:p>
    <w:p>
      <w:pPr>
        <w:keepNext w:val="0"/>
        <w:keepLines w:val="0"/>
        <w:pageBreakBefore w:val="0"/>
        <w:kinsoku/>
        <w:wordWrap/>
        <w:overflowPunct/>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住房保障支出3.78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5.86</w:t>
      </w:r>
      <w:r>
        <w:rPr>
          <w:rFonts w:hint="default" w:ascii="Times New Roman" w:hAnsi="Times New Roman" w:eastAsia="方正仿宋_GBK" w:cs="Times New Roman"/>
          <w:color w:val="auto"/>
          <w:sz w:val="32"/>
          <w:szCs w:val="32"/>
          <w:highlight w:val="none"/>
          <w:shd w:val="clear" w:color="auto" w:fill="FFFFFF"/>
        </w:rPr>
        <w:t>%，较年初预算数减少1.64万元，下降30.26%，主要原因是</w:t>
      </w:r>
      <w:r>
        <w:rPr>
          <w:rFonts w:hint="default" w:ascii="Times New Roman" w:hAnsi="Times New Roman" w:eastAsia="方正仿宋_GBK" w:cs="Times New Roman"/>
          <w:color w:val="auto"/>
          <w:sz w:val="32"/>
          <w:szCs w:val="32"/>
          <w:highlight w:val="none"/>
          <w:shd w:val="clear" w:color="auto" w:fill="FFFFFF"/>
          <w:lang w:eastAsia="zh-CN"/>
        </w:rPr>
        <w:t>住房公积金清算核减。</w:t>
      </w:r>
    </w:p>
    <w:p>
      <w:pPr>
        <w:pStyle w:val="19"/>
        <w:keepNext w:val="0"/>
        <w:keepLines w:val="0"/>
        <w:pageBreakBefore w:val="0"/>
        <w:widowControl/>
        <w:suppressLineNumbers w:val="0"/>
        <w:kinsoku/>
        <w:wordWrap/>
        <w:overflowPunct/>
        <w:topLinePunct/>
        <w:autoSpaceDE w:val="0"/>
        <w:autoSpaceDN/>
        <w:bidi w:val="0"/>
        <w:adjustRightInd/>
        <w:spacing w:before="0" w:beforeAutospacing="0" w:after="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kern w:val="0"/>
          <w:sz w:val="32"/>
          <w:szCs w:val="32"/>
          <w:highlight w:val="none"/>
        </w:rPr>
      </w:pPr>
      <w:r>
        <w:rPr>
          <w:rFonts w:hint="eastAsia" w:ascii="方正楷体_GBK" w:hAnsi="方正楷体_GBK" w:eastAsia="方正楷体_GBK" w:cs="方正楷体_GBK"/>
          <w:b w:val="0"/>
          <w:bCs w:val="0"/>
          <w:color w:val="auto"/>
          <w:kern w:val="0"/>
          <w:sz w:val="32"/>
          <w:szCs w:val="32"/>
          <w:highlight w:val="none"/>
        </w:rPr>
        <w:t>（四）一般公共预算财政拨款基本支出决算情况说明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2023年度一般公共财政拨款基本支出</w:t>
      </w:r>
      <w:r>
        <w:rPr>
          <w:rFonts w:hint="default" w:ascii="Times New Roman" w:hAnsi="Times New Roman" w:eastAsia="方正仿宋_GBK" w:cs="Times New Roman"/>
          <w:color w:val="auto"/>
          <w:sz w:val="32"/>
          <w:szCs w:val="32"/>
          <w:highlight w:val="none"/>
        </w:rPr>
        <w:t>64.56</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57.0</w:t>
      </w:r>
      <w:r>
        <w:rPr>
          <w:rFonts w:hint="eastAsia" w:ascii="Times New Roman" w:hAnsi="Times New Roman" w:eastAsia="方正仿宋_GBK" w:cs="Times New Roman"/>
          <w:color w:val="auto"/>
          <w:sz w:val="32"/>
          <w:szCs w:val="32"/>
          <w:highlight w:val="none"/>
          <w:lang w:eastAsia="zh-CN"/>
        </w:rPr>
        <w:t>0万元</w:t>
      </w:r>
      <w:r>
        <w:rPr>
          <w:rFonts w:hint="default" w:ascii="Times New Roman" w:hAnsi="Times New Roman" w:eastAsia="方正仿宋_GBK" w:cs="Times New Roman"/>
          <w:color w:val="auto"/>
          <w:sz w:val="32"/>
          <w:szCs w:val="32"/>
          <w:highlight w:val="none"/>
          <w:shd w:val="clear" w:color="auto" w:fill="FFFFFF"/>
        </w:rPr>
        <w:t>，较上年决算数增加57.0</w:t>
      </w:r>
      <w:r>
        <w:rPr>
          <w:rFonts w:hint="eastAsia" w:ascii="Times New Roman" w:hAnsi="Times New Roman" w:eastAsia="方正仿宋_GBK" w:cs="Times New Roman"/>
          <w:color w:val="auto"/>
          <w:sz w:val="32"/>
          <w:szCs w:val="32"/>
          <w:highlight w:val="none"/>
          <w:shd w:val="clear" w:color="auto" w:fill="FFFFFF"/>
          <w:lang w:eastAsia="zh-CN"/>
        </w:rPr>
        <w:t>0万元</w:t>
      </w:r>
      <w:r>
        <w:rPr>
          <w:rFonts w:hint="default" w:ascii="Times New Roman" w:hAnsi="Times New Roman" w:eastAsia="方正仿宋_GBK" w:cs="Times New Roman"/>
          <w:color w:val="auto"/>
          <w:sz w:val="32"/>
          <w:szCs w:val="32"/>
          <w:highlight w:val="none"/>
          <w:shd w:val="clear" w:color="auto" w:fill="FFFFFF"/>
        </w:rPr>
        <w:t>，增长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人员经费用途主要包括基本工资</w:t>
      </w:r>
      <w:r>
        <w:rPr>
          <w:rFonts w:hint="default" w:ascii="Times New Roman" w:hAnsi="Times New Roman" w:eastAsia="方正仿宋_GBK" w:cs="Times New Roman"/>
          <w:color w:val="auto"/>
          <w:sz w:val="32"/>
          <w:szCs w:val="32"/>
          <w:highlight w:val="none"/>
          <w:shd w:val="clear" w:color="auto" w:fill="FFFFFF"/>
          <w:lang w:eastAsia="zh-CN"/>
        </w:rPr>
        <w:t>、津贴补贴、绩效工资、社会保障缴费、住房公积金等。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7.56</w:t>
      </w:r>
      <w:r>
        <w:rPr>
          <w:rFonts w:hint="default" w:ascii="Times New Roman" w:hAnsi="Times New Roman" w:eastAsia="方正仿宋_GBK" w:cs="Times New Roman"/>
          <w:color w:val="auto"/>
          <w:sz w:val="32"/>
          <w:szCs w:val="32"/>
          <w:highlight w:val="none"/>
          <w:shd w:val="clear" w:color="auto" w:fill="FFFFFF"/>
        </w:rPr>
        <w:t>万元，较上年决算数增加7.56万元，增长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公用经费用途主要包括办公费</w:t>
      </w:r>
      <w:r>
        <w:rPr>
          <w:rFonts w:hint="default" w:ascii="Times New Roman" w:hAnsi="Times New Roman" w:eastAsia="方正仿宋_GBK" w:cs="Times New Roman"/>
          <w:color w:val="auto"/>
          <w:sz w:val="32"/>
          <w:szCs w:val="32"/>
          <w:highlight w:val="none"/>
          <w:shd w:val="clear" w:color="auto" w:fill="FFFFFF"/>
          <w:lang w:eastAsia="zh-CN"/>
        </w:rPr>
        <w:t>、邮电费、会议费、培训费、劳务费、委托业务费、工会经费。</w:t>
      </w:r>
    </w:p>
    <w:p>
      <w:pPr>
        <w:pStyle w:val="19"/>
        <w:keepNext w:val="0"/>
        <w:keepLines w:val="0"/>
        <w:pageBreakBefore w:val="0"/>
        <w:widowControl/>
        <w:suppressLineNumbers w:val="0"/>
        <w:kinsoku/>
        <w:wordWrap/>
        <w:overflowPunct/>
        <w:topLinePunct/>
        <w:autoSpaceDE w:val="0"/>
        <w:autoSpaceDN/>
        <w:bidi w:val="0"/>
        <w:adjustRightIn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color w:val="auto"/>
          <w:kern w:val="0"/>
          <w:sz w:val="32"/>
          <w:szCs w:val="32"/>
          <w:highlight w:val="none"/>
        </w:rPr>
      </w:pPr>
      <w:r>
        <w:rPr>
          <w:rFonts w:hint="eastAsia" w:ascii="方正楷体_GBK" w:hAnsi="方正楷体_GBK" w:eastAsia="方正楷体_GBK" w:cs="方正楷体_GBK"/>
          <w:b w:val="0"/>
          <w:bCs w:val="0"/>
          <w:color w:val="auto"/>
          <w:kern w:val="0"/>
          <w:sz w:val="32"/>
          <w:szCs w:val="32"/>
          <w:highlight w:val="none"/>
        </w:rPr>
        <w:t>（五）政府性基金预算收支决算情况说明</w:t>
      </w:r>
    </w:p>
    <w:p>
      <w:pPr>
        <w:pStyle w:val="19"/>
        <w:keepNext w:val="0"/>
        <w:keepLines w:val="0"/>
        <w:pageBreakBefore w:val="0"/>
        <w:widowControl/>
        <w:suppressLineNumbers w:val="0"/>
        <w:kinsoku/>
        <w:wordWrap/>
        <w:overflowPunct/>
        <w:topLinePunct/>
        <w:autoSpaceDE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本单位2023年度无政府性基金预算财政拨款收支。</w:t>
      </w:r>
    </w:p>
    <w:p>
      <w:pPr>
        <w:pStyle w:val="19"/>
        <w:keepNext w:val="0"/>
        <w:keepLines w:val="0"/>
        <w:pageBreakBefore w:val="0"/>
        <w:widowControl/>
        <w:suppressLineNumbers w:val="0"/>
        <w:kinsoku/>
        <w:wordWrap/>
        <w:overflowPunct/>
        <w:topLinePunct/>
        <w:autoSpaceDE w:val="0"/>
        <w:autoSpaceDN/>
        <w:bidi w:val="0"/>
        <w:adjustRightInd/>
        <w:spacing w:before="0" w:beforeAutospacing="0" w:after="0" w:afterAutospacing="0" w:line="560" w:lineRule="exact"/>
        <w:ind w:left="0" w:firstLine="640" w:firstLineChars="200"/>
        <w:jc w:val="both"/>
        <w:textAlignment w:val="auto"/>
        <w:outlineLvl w:val="9"/>
        <w:rPr>
          <w:rFonts w:hint="default" w:ascii="方正楷体_GBK" w:hAnsi="方正楷体_GBK" w:eastAsia="方正楷体_GBK" w:cs="方正楷体_GBK"/>
          <w:b w:val="0"/>
          <w:bCs w:val="0"/>
          <w:color w:val="auto"/>
          <w:kern w:val="0"/>
          <w:sz w:val="32"/>
          <w:szCs w:val="32"/>
          <w:highlight w:val="none"/>
        </w:rPr>
      </w:pPr>
      <w:r>
        <w:rPr>
          <w:rFonts w:hint="default" w:ascii="方正楷体_GBK" w:hAnsi="方正楷体_GBK" w:eastAsia="方正楷体_GBK" w:cs="方正楷体_GBK"/>
          <w:b w:val="0"/>
          <w:bCs w:val="0"/>
          <w:color w:val="auto"/>
          <w:kern w:val="0"/>
          <w:sz w:val="32"/>
          <w:szCs w:val="32"/>
          <w:highlight w:val="none"/>
        </w:rPr>
        <w:t>（六）国有资本经营预算财政拨款支出决算情况说明</w:t>
      </w:r>
    </w:p>
    <w:p>
      <w:pPr>
        <w:pStyle w:val="19"/>
        <w:keepNext w:val="0"/>
        <w:keepLines w:val="0"/>
        <w:pageBreakBefore w:val="0"/>
        <w:widowControl/>
        <w:suppressLineNumbers w:val="0"/>
        <w:kinsoku/>
        <w:wordWrap/>
        <w:overflowPunct/>
        <w:topLinePunct/>
        <w:autoSpaceDE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b w:val="0"/>
          <w:color w:val="auto"/>
          <w:kern w:val="0"/>
          <w:sz w:val="32"/>
          <w:szCs w:val="32"/>
          <w:highlight w:val="none"/>
        </w:rPr>
      </w:pPr>
      <w:r>
        <w:rPr>
          <w:rFonts w:hint="default" w:ascii="Times New Roman" w:hAnsi="Times New Roman" w:eastAsia="方正仿宋_GBK" w:cs="Times New Roman"/>
          <w:b w:val="0"/>
          <w:color w:val="auto"/>
          <w:kern w:val="0"/>
          <w:sz w:val="32"/>
          <w:szCs w:val="32"/>
          <w:highlight w:val="none"/>
        </w:rPr>
        <w:t>本单位2023年度无国有资本经营预算财政拨款支出。</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三、</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“三公”</w:t>
      </w:r>
      <w:r>
        <w:rPr>
          <w:rStyle w:val="10"/>
          <w:rFonts w:hint="eastAsia" w:ascii="方正黑体_GBK" w:hAnsi="方正黑体_GBK" w:eastAsia="方正黑体_GBK" w:cs="方正黑体_GBK"/>
          <w:b w:val="0"/>
          <w:bCs/>
          <w:color w:val="auto"/>
          <w:sz w:val="32"/>
          <w:szCs w:val="32"/>
          <w:highlight w:val="none"/>
          <w:shd w:val="clear" w:color="auto" w:fill="FFFFFF"/>
        </w:rPr>
        <w:t>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zh-CN"/>
        </w:rPr>
      </w:pPr>
      <w:r>
        <w:rPr>
          <w:rStyle w:val="10"/>
          <w:rFonts w:hint="default" w:ascii="Times New Roman" w:hAnsi="Times New Roman" w:eastAsia="方正仿宋_GBK" w:cs="Times New Roman"/>
          <w:b w:val="0"/>
          <w:bCs/>
          <w:color w:val="auto"/>
          <w:sz w:val="32"/>
          <w:szCs w:val="32"/>
          <w:highlight w:val="none"/>
          <w:shd w:val="clear" w:color="auto" w:fill="FFFFFF"/>
          <w:lang w:val="zh-CN" w:eastAsia="zh-CN"/>
        </w:rPr>
        <w:t>本单位属于</w:t>
      </w:r>
      <w:r>
        <w:rPr>
          <w:rStyle w:val="10"/>
          <w:rFonts w:hint="default" w:ascii="Times New Roman" w:hAnsi="Times New Roman" w:eastAsia="方正仿宋_GBK" w:cs="Times New Roman"/>
          <w:b w:val="0"/>
          <w:bCs/>
          <w:color w:val="auto"/>
          <w:sz w:val="32"/>
          <w:szCs w:val="32"/>
          <w:highlight w:val="none"/>
          <w:shd w:val="clear" w:color="auto" w:fill="FFFFFF"/>
          <w:lang w:eastAsia="zh-CN"/>
        </w:rPr>
        <w:t>峨溶镇人民政府的下属事业单位，</w:t>
      </w:r>
      <w:r>
        <w:rPr>
          <w:rFonts w:hint="eastAsia" w:ascii="Times New Roman" w:hAnsi="Times New Roman" w:eastAsia="方正仿宋_GBK" w:cs="Times New Roman"/>
          <w:color w:val="auto"/>
          <w:sz w:val="32"/>
          <w:szCs w:val="32"/>
          <w:highlight w:val="none"/>
          <w:shd w:val="clear" w:color="auto" w:fill="FFFFFF"/>
          <w:lang w:eastAsia="zh-CN"/>
        </w:rPr>
        <w:t>“三公”</w:t>
      </w:r>
      <w:r>
        <w:rPr>
          <w:rFonts w:hint="default" w:ascii="Times New Roman" w:hAnsi="Times New Roman" w:eastAsia="方正仿宋_GBK" w:cs="Times New Roman"/>
          <w:color w:val="auto"/>
          <w:sz w:val="32"/>
          <w:szCs w:val="32"/>
          <w:highlight w:val="none"/>
          <w:lang w:val="zh-CN"/>
        </w:rPr>
        <w:t>经费预算安排在政府本级，由政府本级统筹管理、统一核算，故本单位无：</w:t>
      </w:r>
      <w:r>
        <w:rPr>
          <w:rFonts w:hint="eastAsia" w:ascii="Times New Roman" w:hAnsi="Times New Roman" w:eastAsia="方正仿宋_GBK" w:cs="Times New Roman"/>
          <w:color w:val="auto"/>
          <w:sz w:val="32"/>
          <w:szCs w:val="32"/>
          <w:highlight w:val="none"/>
          <w:lang w:val="zh-CN"/>
        </w:rPr>
        <w:t>“三公”</w:t>
      </w:r>
      <w:r>
        <w:rPr>
          <w:rFonts w:hint="default" w:ascii="Times New Roman" w:hAnsi="Times New Roman" w:eastAsia="方正仿宋_GBK" w:cs="Times New Roman"/>
          <w:color w:val="auto"/>
          <w:sz w:val="32"/>
          <w:szCs w:val="32"/>
          <w:highlight w:val="none"/>
          <w:lang w:val="zh-CN"/>
        </w:rPr>
        <w:t>经费预算及支出。</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eastAsia" w:ascii="方正楷体_GBK" w:hAnsi="方正楷体_GBK" w:eastAsia="方正楷体_GBK" w:cs="方正楷体_GBK"/>
          <w:b w:val="0"/>
          <w:bCs w:val="0"/>
          <w:color w:val="auto"/>
          <w:sz w:val="32"/>
          <w:szCs w:val="32"/>
          <w:highlight w:val="none"/>
          <w:shd w:val="clear" w:color="auto" w:fill="FFFFFF"/>
        </w:rPr>
        <w:t>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“三公”</w:t>
      </w:r>
      <w:r>
        <w:rPr>
          <w:rFonts w:hint="default" w:ascii="Times New Roman" w:hAnsi="Times New Roman" w:eastAsia="方正仿宋_GBK" w:cs="Times New Roman"/>
          <w:color w:val="auto"/>
          <w:sz w:val="32"/>
          <w:szCs w:val="32"/>
          <w:highlight w:val="none"/>
          <w:shd w:val="clear" w:color="auto" w:fill="FFFFFF"/>
        </w:rPr>
        <w:t>经费支出共计</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eastAsia" w:ascii="方正楷体_GBK" w:hAnsi="方正楷体_GBK" w:eastAsia="方正楷体_GBK" w:cs="方正楷体_GBK"/>
          <w:b w:val="0"/>
          <w:bCs w:val="0"/>
          <w:color w:val="auto"/>
          <w:sz w:val="32"/>
          <w:szCs w:val="32"/>
          <w:highlight w:val="none"/>
          <w:shd w:val="clear" w:color="auto" w:fill="FFFFFF"/>
        </w:rPr>
        <w:t>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2023年度本单位因公出国（境）费用</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公务车购置费</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 公务车运行维护费</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公务接待费</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eastAsia="zh-CN"/>
        </w:rPr>
        <w:t>较</w:t>
      </w:r>
      <w:r>
        <w:rPr>
          <w:rFonts w:hint="default" w:ascii="Times New Roman" w:hAnsi="Times New Roman" w:eastAsia="方正仿宋_GBK" w:cs="Times New Roman"/>
          <w:color w:val="auto"/>
          <w:sz w:val="32"/>
          <w:szCs w:val="32"/>
          <w:highlight w:val="none"/>
          <w:shd w:val="clear" w:color="auto" w:fill="FFFFFF"/>
        </w:rPr>
        <w:t>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eastAsia" w:ascii="方正楷体_GBK" w:hAnsi="方正楷体_GBK" w:eastAsia="方正楷体_GBK" w:cs="方正楷体_GBK"/>
          <w:b w:val="0"/>
          <w:bCs w:val="0"/>
          <w:color w:val="auto"/>
          <w:sz w:val="32"/>
          <w:szCs w:val="32"/>
          <w:highlight w:val="none"/>
          <w:shd w:val="clear" w:color="auto" w:fill="FFFFFF"/>
        </w:rPr>
        <w:t>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.00万</w:t>
      </w:r>
      <w:r>
        <w:rPr>
          <w:rFonts w:hint="default" w:ascii="Times New Roman" w:hAnsi="Times New Roman" w:eastAsia="方正仿宋_GBK" w:cs="Times New Roman"/>
          <w:color w:val="auto"/>
          <w:sz w:val="32"/>
          <w:szCs w:val="32"/>
          <w:highlight w:val="none"/>
          <w:shd w:val="clear" w:color="auto" w:fill="FFFFFF"/>
        </w:rPr>
        <w:t>元，车均购置费</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，车均维护费</w:t>
      </w:r>
      <w:r>
        <w:rPr>
          <w:rFonts w:hint="eastAsia" w:ascii="Times New Roman" w:hAnsi="Times New Roman" w:eastAsia="方正仿宋_GBK" w:cs="Times New Roman"/>
          <w:color w:val="auto"/>
          <w:sz w:val="32"/>
          <w:szCs w:val="32"/>
          <w:highlight w:val="none"/>
          <w:lang w:eastAsia="zh-CN"/>
        </w:rPr>
        <w:t>0.00万元</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（一）财政拨款会议费和培训费情况说明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w:t>
      </w:r>
      <w:r>
        <w:rPr>
          <w:rFonts w:hint="default" w:ascii="Times New Roman" w:hAnsi="Times New Roman" w:eastAsia="方正仿宋_GBK" w:cs="Times New Roman"/>
          <w:color w:val="auto"/>
          <w:sz w:val="32"/>
          <w:szCs w:val="32"/>
          <w:highlight w:val="none"/>
        </w:rPr>
        <w:t>0.11</w:t>
      </w:r>
      <w:r>
        <w:rPr>
          <w:rFonts w:hint="default" w:ascii="Times New Roman" w:hAnsi="Times New Roman" w:eastAsia="方正仿宋_GBK" w:cs="Times New Roman"/>
          <w:color w:val="auto"/>
          <w:sz w:val="32"/>
          <w:szCs w:val="32"/>
          <w:highlight w:val="none"/>
          <w:shd w:val="clear" w:color="auto" w:fill="FFFFFF"/>
        </w:rPr>
        <w:t>万元，较上年决算数增加0.11万元，增长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0.36</w:t>
      </w:r>
      <w:r>
        <w:rPr>
          <w:rFonts w:hint="default" w:ascii="Times New Roman" w:hAnsi="Times New Roman" w:eastAsia="方正仿宋_GBK" w:cs="Times New Roman"/>
          <w:color w:val="auto"/>
          <w:sz w:val="32"/>
          <w:szCs w:val="32"/>
          <w:highlight w:val="none"/>
          <w:shd w:val="clear" w:color="auto" w:fill="FFFFFF"/>
        </w:rPr>
        <w:t>万元，较上年决算数增加0.36万元，增长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highlight w:val="none"/>
          <w:shd w:val="clear" w:color="auto" w:fill="FFFFFF"/>
          <w:lang w:val="en-US" w:eastAsia="zh-CN"/>
        </w:rPr>
        <w:t>100.00%</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截至2023年12月31日，本单位共有车辆</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w:t>
      </w:r>
      <w:r>
        <w:rPr>
          <w:rFonts w:hint="eastAsia" w:ascii="Times New Roman" w:hAnsi="Times New Roman" w:eastAsia="方正仿宋_GBK" w:cs="Times New Roman"/>
          <w:color w:val="auto"/>
          <w:sz w:val="32"/>
          <w:szCs w:val="32"/>
          <w:highlight w:val="none"/>
          <w:shd w:val="clear" w:color="auto" w:fill="FFFFFF"/>
          <w:lang w:eastAsia="zh-CN"/>
        </w:rPr>
        <w:t>0.00万元</w:t>
      </w:r>
      <w:r>
        <w:rPr>
          <w:rFonts w:hint="default" w:ascii="Times New Roman" w:hAnsi="Times New Roman" w:eastAsia="方正仿宋_GBK" w:cs="Times New Roman"/>
          <w:color w:val="auto"/>
          <w:sz w:val="32"/>
          <w:szCs w:val="32"/>
          <w:highlight w:val="none"/>
          <w:shd w:val="clear" w:color="auto" w:fill="FFFFFF"/>
        </w:rPr>
        <w:t>（含）以上专用设备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2023年度我单位未发生政府采购事项，无相关经费支出。</w:t>
      </w:r>
    </w:p>
    <w:p>
      <w:pPr>
        <w:pStyle w:val="8"/>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lang w:eastAsia="zh-CN"/>
        </w:rPr>
      </w:pPr>
      <w:r>
        <w:rPr>
          <w:rFonts w:hint="default" w:ascii="Times New Roman" w:hAnsi="Times New Roman" w:eastAsia="方正仿宋_GBK" w:cs="Times New Roman"/>
          <w:b w:val="0"/>
          <w:bCs w:val="0"/>
          <w:color w:val="auto"/>
          <w:sz w:val="32"/>
          <w:szCs w:val="32"/>
          <w:highlight w:val="none"/>
          <w:shd w:val="clear" w:color="auto" w:fill="FFFFFF"/>
          <w:lang w:eastAsia="zh-CN"/>
        </w:rPr>
        <w:t>我单位无项目支出，故无单位自评。</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（二）单位绩效评价情况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我单位未组织开展绩效评价。</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eastAsia" w:ascii="Times New Roman" w:hAnsi="Times New Roman" w:eastAsia="方正仿宋_GBK" w:cs="Times New Roman"/>
          <w:b w:val="0"/>
          <w:bCs w:val="0"/>
          <w:color w:val="auto"/>
          <w:sz w:val="32"/>
          <w:szCs w:val="32"/>
          <w:highlight w:val="none"/>
          <w:shd w:val="clear" w:color="auto" w:fill="FFFFFF"/>
          <w:lang w:eastAsia="zh-CN"/>
        </w:rPr>
        <w:t>县</w:t>
      </w:r>
      <w:r>
        <w:rPr>
          <w:rFonts w:hint="default" w:ascii="Times New Roman" w:hAnsi="Times New Roman" w:eastAsia="方正仿宋_GBK" w:cs="Times New Roman"/>
          <w:b w:val="0"/>
          <w:bCs w:val="0"/>
          <w:color w:val="auto"/>
          <w:sz w:val="32"/>
          <w:szCs w:val="32"/>
          <w:highlight w:val="none"/>
          <w:shd w:val="clear" w:color="auto" w:fill="FFFFFF"/>
        </w:rPr>
        <w:t>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eastAsia" w:ascii="方正楷体_GBK" w:hAnsi="方正楷体_GBK" w:eastAsia="方正楷体_GBK" w:cs="方正楷体_GBK"/>
          <w:b w:val="0"/>
          <w:bCs/>
          <w:sz w:val="32"/>
          <w:szCs w:val="32"/>
          <w:shd w:val="clear" w:color="auto" w:fill="FFFFFF"/>
        </w:rPr>
        <w:t>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bookmarkStart w:id="0" w:name="_GoBack"/>
      <w:bookmarkEnd w:id="0"/>
      <w:r>
        <w:rPr>
          <w:rStyle w:val="10"/>
          <w:rFonts w:hint="eastAsia" w:ascii="方正黑体_GBK" w:hAnsi="方正黑体_GBK" w:eastAsia="方正黑体_GBK" w:cs="方正黑体_GBK"/>
          <w:b w:val="0"/>
          <w:bCs/>
          <w:color w:val="auto"/>
          <w:sz w:val="32"/>
          <w:szCs w:val="32"/>
          <w:highlight w:val="none"/>
          <w:shd w:val="clear" w:color="auto" w:fill="FFFFFF"/>
        </w:rPr>
        <w:t>七、决算公开联系方式及信息反馈渠道</w:t>
      </w:r>
    </w:p>
    <w:p>
      <w:pPr>
        <w:pStyle w:val="8"/>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rPr>
        <w:sectPr>
          <w:footerReference r:id="rId3" w:type="default"/>
          <w:pgSz w:w="11915" w:h="16840"/>
          <w:pgMar w:top="2098" w:right="1474" w:bottom="1984" w:left="1588"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r>
        <w:rPr>
          <w:rFonts w:hint="eastAsia" w:ascii="Times New Roman" w:hAnsi="Times New Roman" w:eastAsia="方正仿宋_GBK" w:cs="Times New Roman"/>
          <w:color w:val="auto"/>
          <w:sz w:val="32"/>
          <w:szCs w:val="32"/>
          <w:highlight w:val="none"/>
          <w:shd w:val="clear" w:color="auto" w:fill="FFFFFF"/>
          <w:lang w:eastAsia="zh-CN"/>
        </w:rPr>
        <w:t>刘静</w:t>
      </w:r>
      <w:r>
        <w:rPr>
          <w:rFonts w:hint="default" w:ascii="Times New Roman" w:hAnsi="Times New Roman" w:eastAsia="方正仿宋_GBK" w:cs="Times New Roman"/>
          <w:color w:val="auto"/>
          <w:sz w:val="32"/>
          <w:szCs w:val="32"/>
          <w:highlight w:val="none"/>
          <w:shd w:val="clear" w:color="auto" w:fill="FFFFFF"/>
          <w:lang w:val="en-US" w:eastAsia="zh-CN"/>
        </w:rPr>
        <w:t>023-76629515</w:t>
      </w:r>
      <w:r>
        <w:rPr>
          <w:rFonts w:hint="eastAsia" w:ascii="Times New Roman" w:hAnsi="Times New Roman" w:eastAsia="方正仿宋_GBK" w:cs="Times New Roman"/>
          <w:color w:val="auto"/>
          <w:sz w:val="32"/>
          <w:szCs w:val="32"/>
          <w:highlight w:val="none"/>
          <w:shd w:val="clear" w:color="auto" w:fill="FFFFFF"/>
          <w:lang w:val="en-US" w:eastAsia="zh-CN"/>
        </w:rPr>
        <w:t>。</w:t>
      </w:r>
    </w:p>
    <w:tbl>
      <w:tblPr>
        <w:tblStyle w:val="11"/>
        <w:tblpPr w:leftFromText="180" w:rightFromText="180" w:vertAnchor="text" w:horzAnchor="page" w:tblpX="1026" w:tblpY="86"/>
        <w:tblOverlap w:val="never"/>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重庆市秀山土家族苗族自治县峨溶镇综合行政执法大队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64.56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64.56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64.56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64.56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64.56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重庆市秀山土家族苗族自治县峨溶镇综合行政执法大队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64.56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64.56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重庆市秀山土家族苗族自治县峨溶镇综合行政执法大队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64.56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64.56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57.00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重庆市秀山土家族苗族自治县峨溶镇综合行政执法大队</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“三公”</w:t>
            </w:r>
            <w:r>
              <w:rPr>
                <w:rFonts w:cs="宋体"/>
                <w:color w:val="000000"/>
                <w:sz w:val="20"/>
                <w:szCs w:val="20"/>
              </w:rPr>
              <w:t>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w:t>
            </w:r>
            <w:r>
              <w:rPr>
                <w:rFonts w:hint="eastAsia" w:cs="宋体"/>
                <w:color w:val="000000"/>
                <w:sz w:val="20"/>
                <w:szCs w:val="20"/>
                <w:lang w:eastAsia="zh-CN"/>
              </w:rPr>
              <w:t>0.00万元</w:t>
            </w:r>
            <w:r>
              <w:rPr>
                <w:rFonts w:cs="宋体"/>
                <w:color w:val="000000"/>
                <w:sz w:val="20"/>
                <w:szCs w:val="20"/>
              </w:rPr>
              <w:t>（含）以上设备（不含车辆）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0.11</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w:t>
      </w:r>
      <w:r>
        <w:rPr>
          <w:rFonts w:hint="eastAsia" w:cs="宋体"/>
          <w:sz w:val="20"/>
          <w:szCs w:val="20"/>
          <w:lang w:eastAsia="zh-CN"/>
        </w:rPr>
        <w:t>“三公”</w:t>
      </w:r>
      <w:r>
        <w:rPr>
          <w:rFonts w:cs="宋体"/>
          <w:sz w:val="20"/>
          <w:szCs w:val="20"/>
        </w:rPr>
        <w:t>经费支出预决算情况。其中，预算数为</w:t>
      </w:r>
      <w:r>
        <w:rPr>
          <w:rFonts w:hint="eastAsia" w:cs="宋体"/>
          <w:sz w:val="20"/>
          <w:szCs w:val="20"/>
          <w:lang w:eastAsia="zh-CN"/>
        </w:rPr>
        <w:t>“三公”</w:t>
      </w:r>
      <w:r>
        <w:rPr>
          <w:rFonts w:cs="宋体"/>
          <w:sz w:val="20"/>
          <w:szCs w:val="20"/>
        </w:rPr>
        <w:t>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3D0ABD"/>
    <w:rsid w:val="044C50BA"/>
    <w:rsid w:val="05BC6D49"/>
    <w:rsid w:val="06194FF1"/>
    <w:rsid w:val="06A2550B"/>
    <w:rsid w:val="06F80EE2"/>
    <w:rsid w:val="07001CCA"/>
    <w:rsid w:val="075678DB"/>
    <w:rsid w:val="079D7CC7"/>
    <w:rsid w:val="08051BCA"/>
    <w:rsid w:val="086C12F4"/>
    <w:rsid w:val="08705944"/>
    <w:rsid w:val="08BA052C"/>
    <w:rsid w:val="08DB07BA"/>
    <w:rsid w:val="08FB3DA3"/>
    <w:rsid w:val="094C621A"/>
    <w:rsid w:val="0969353F"/>
    <w:rsid w:val="098305D0"/>
    <w:rsid w:val="0A3317EA"/>
    <w:rsid w:val="0A5C4B69"/>
    <w:rsid w:val="0A86124A"/>
    <w:rsid w:val="0AB54CC0"/>
    <w:rsid w:val="0B23312D"/>
    <w:rsid w:val="0B9335CE"/>
    <w:rsid w:val="0BF2311A"/>
    <w:rsid w:val="0C7927C4"/>
    <w:rsid w:val="0C9B098C"/>
    <w:rsid w:val="0D01354B"/>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DB1B28"/>
    <w:rsid w:val="13FD55AB"/>
    <w:rsid w:val="14200702"/>
    <w:rsid w:val="163A6CEE"/>
    <w:rsid w:val="171373B2"/>
    <w:rsid w:val="173708E3"/>
    <w:rsid w:val="17C374FC"/>
    <w:rsid w:val="182E4AB6"/>
    <w:rsid w:val="189079DC"/>
    <w:rsid w:val="189B0D0B"/>
    <w:rsid w:val="18B43F7C"/>
    <w:rsid w:val="18C93E20"/>
    <w:rsid w:val="194A1770"/>
    <w:rsid w:val="195E4CD1"/>
    <w:rsid w:val="19A356E4"/>
    <w:rsid w:val="19B906A4"/>
    <w:rsid w:val="1B367068"/>
    <w:rsid w:val="1B6F15B6"/>
    <w:rsid w:val="1BAA2EDC"/>
    <w:rsid w:val="1C667025"/>
    <w:rsid w:val="1CA55E64"/>
    <w:rsid w:val="1CDF36A1"/>
    <w:rsid w:val="1D014A01"/>
    <w:rsid w:val="1D022362"/>
    <w:rsid w:val="1D1B04B0"/>
    <w:rsid w:val="1DA52501"/>
    <w:rsid w:val="1DBD6767"/>
    <w:rsid w:val="1DC52125"/>
    <w:rsid w:val="1DD26311"/>
    <w:rsid w:val="1E374ACB"/>
    <w:rsid w:val="1ECF0A66"/>
    <w:rsid w:val="1EF67CA4"/>
    <w:rsid w:val="1F020D3A"/>
    <w:rsid w:val="1F2C5189"/>
    <w:rsid w:val="1F4B0B02"/>
    <w:rsid w:val="1F661CFC"/>
    <w:rsid w:val="1F9B56F8"/>
    <w:rsid w:val="1FBB35CD"/>
    <w:rsid w:val="1FCD26AF"/>
    <w:rsid w:val="20642787"/>
    <w:rsid w:val="20C701DF"/>
    <w:rsid w:val="21556F04"/>
    <w:rsid w:val="22403BD3"/>
    <w:rsid w:val="226961BF"/>
    <w:rsid w:val="24220132"/>
    <w:rsid w:val="24B92327"/>
    <w:rsid w:val="24C14514"/>
    <w:rsid w:val="24E32946"/>
    <w:rsid w:val="2533755C"/>
    <w:rsid w:val="25791755"/>
    <w:rsid w:val="26340098"/>
    <w:rsid w:val="26396DF4"/>
    <w:rsid w:val="27167136"/>
    <w:rsid w:val="271B442C"/>
    <w:rsid w:val="276230C2"/>
    <w:rsid w:val="27B23302"/>
    <w:rsid w:val="29310A5F"/>
    <w:rsid w:val="29C37A35"/>
    <w:rsid w:val="2A076083"/>
    <w:rsid w:val="2A114C6C"/>
    <w:rsid w:val="2A73162E"/>
    <w:rsid w:val="2AB12BFD"/>
    <w:rsid w:val="2B167953"/>
    <w:rsid w:val="2B200583"/>
    <w:rsid w:val="2B8209DE"/>
    <w:rsid w:val="2C636760"/>
    <w:rsid w:val="2C6762A3"/>
    <w:rsid w:val="2FCA4B37"/>
    <w:rsid w:val="2FE029D7"/>
    <w:rsid w:val="2FF06E00"/>
    <w:rsid w:val="301B1305"/>
    <w:rsid w:val="302375B3"/>
    <w:rsid w:val="30586FEC"/>
    <w:rsid w:val="315F0B22"/>
    <w:rsid w:val="31D84415"/>
    <w:rsid w:val="32285F6F"/>
    <w:rsid w:val="32770556"/>
    <w:rsid w:val="329C0913"/>
    <w:rsid w:val="32AA0460"/>
    <w:rsid w:val="3337290D"/>
    <w:rsid w:val="33577434"/>
    <w:rsid w:val="339F5887"/>
    <w:rsid w:val="33E31118"/>
    <w:rsid w:val="33EF7674"/>
    <w:rsid w:val="342D7BC6"/>
    <w:rsid w:val="352930DB"/>
    <w:rsid w:val="35573069"/>
    <w:rsid w:val="355F6038"/>
    <w:rsid w:val="356352C8"/>
    <w:rsid w:val="358C217E"/>
    <w:rsid w:val="364D048A"/>
    <w:rsid w:val="36C9128A"/>
    <w:rsid w:val="37841E99"/>
    <w:rsid w:val="37BF1123"/>
    <w:rsid w:val="383C3F15"/>
    <w:rsid w:val="38837CDF"/>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1330C5"/>
    <w:rsid w:val="3D2757A1"/>
    <w:rsid w:val="3D3D4FC4"/>
    <w:rsid w:val="3D722D01"/>
    <w:rsid w:val="3DDF3AB1"/>
    <w:rsid w:val="3E1D0952"/>
    <w:rsid w:val="3E367098"/>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8401C4"/>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40328F"/>
    <w:rsid w:val="4A6F6675"/>
    <w:rsid w:val="4B135857"/>
    <w:rsid w:val="4B7951CB"/>
    <w:rsid w:val="4B7C315C"/>
    <w:rsid w:val="4B9C6CD7"/>
    <w:rsid w:val="4CCD2EC0"/>
    <w:rsid w:val="4DAC4ACA"/>
    <w:rsid w:val="4DBE01D2"/>
    <w:rsid w:val="4F0C6BA3"/>
    <w:rsid w:val="4F186D58"/>
    <w:rsid w:val="4FF80322"/>
    <w:rsid w:val="50E12CB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4462BB"/>
    <w:rsid w:val="56530F5D"/>
    <w:rsid w:val="567700D3"/>
    <w:rsid w:val="56FF7E9E"/>
    <w:rsid w:val="578867FC"/>
    <w:rsid w:val="5842572D"/>
    <w:rsid w:val="58EF0FBD"/>
    <w:rsid w:val="5970338F"/>
    <w:rsid w:val="5A3B59D6"/>
    <w:rsid w:val="5ACA5F9B"/>
    <w:rsid w:val="5AD134D8"/>
    <w:rsid w:val="5C263CE4"/>
    <w:rsid w:val="5C5D2777"/>
    <w:rsid w:val="5CF66BF3"/>
    <w:rsid w:val="5D290C69"/>
    <w:rsid w:val="5E8A5447"/>
    <w:rsid w:val="5E9F6857"/>
    <w:rsid w:val="5F2D4A41"/>
    <w:rsid w:val="5F9B01E5"/>
    <w:rsid w:val="60C74F6C"/>
    <w:rsid w:val="61025A59"/>
    <w:rsid w:val="613D5BBC"/>
    <w:rsid w:val="61536C39"/>
    <w:rsid w:val="626A3520"/>
    <w:rsid w:val="628F69EF"/>
    <w:rsid w:val="62944DD7"/>
    <w:rsid w:val="6319381F"/>
    <w:rsid w:val="63C25DC5"/>
    <w:rsid w:val="63C62057"/>
    <w:rsid w:val="63DC46F9"/>
    <w:rsid w:val="64571EF5"/>
    <w:rsid w:val="64FB113D"/>
    <w:rsid w:val="656152C6"/>
    <w:rsid w:val="6587477F"/>
    <w:rsid w:val="658C3A08"/>
    <w:rsid w:val="65C031CA"/>
    <w:rsid w:val="65CE6852"/>
    <w:rsid w:val="65FD67B1"/>
    <w:rsid w:val="66267C04"/>
    <w:rsid w:val="663F505A"/>
    <w:rsid w:val="66BF4ABB"/>
    <w:rsid w:val="66EE5541"/>
    <w:rsid w:val="67924660"/>
    <w:rsid w:val="68107835"/>
    <w:rsid w:val="68407834"/>
    <w:rsid w:val="6883293E"/>
    <w:rsid w:val="688412AD"/>
    <w:rsid w:val="68EB1B71"/>
    <w:rsid w:val="6A6C7940"/>
    <w:rsid w:val="6AAD2300"/>
    <w:rsid w:val="6B2716F7"/>
    <w:rsid w:val="6B395369"/>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4331E1"/>
    <w:rsid w:val="71C34D91"/>
    <w:rsid w:val="724B39ED"/>
    <w:rsid w:val="72DB435C"/>
    <w:rsid w:val="72E2613A"/>
    <w:rsid w:val="72F771F4"/>
    <w:rsid w:val="73934AD2"/>
    <w:rsid w:val="746062F7"/>
    <w:rsid w:val="750837F0"/>
    <w:rsid w:val="754758CF"/>
    <w:rsid w:val="764F62AB"/>
    <w:rsid w:val="765C45EC"/>
    <w:rsid w:val="768A7619"/>
    <w:rsid w:val="772E1EBA"/>
    <w:rsid w:val="773141CD"/>
    <w:rsid w:val="781926BC"/>
    <w:rsid w:val="78AD6478"/>
    <w:rsid w:val="796D60A4"/>
    <w:rsid w:val="79A031D5"/>
    <w:rsid w:val="7A1525F7"/>
    <w:rsid w:val="7B420052"/>
    <w:rsid w:val="7BD06A28"/>
    <w:rsid w:val="7C0A2859"/>
    <w:rsid w:val="7C3A7C0B"/>
    <w:rsid w:val="7C5248E4"/>
    <w:rsid w:val="7C566698"/>
    <w:rsid w:val="7C5866A3"/>
    <w:rsid w:val="7C6A6E8E"/>
    <w:rsid w:val="7D1E681C"/>
    <w:rsid w:val="7D7406BB"/>
    <w:rsid w:val="7DE94331"/>
    <w:rsid w:val="7F446A19"/>
    <w:rsid w:val="7F60088D"/>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方正小标宋GBK"/>
    <w:basedOn w:val="1"/>
    <w:qFormat/>
    <w:uiPriority w:val="0"/>
    <w:pPr>
      <w:spacing w:before="0" w:beforeAutospacing="0" w:after="0" w:afterAutospacing="0" w:line="600" w:lineRule="exact"/>
      <w:ind w:left="0" w:right="0"/>
      <w:jc w:val="center"/>
    </w:pPr>
    <w:rPr>
      <w:rFonts w:hint="eastAsia" w:ascii="Times New Roman" w:hAnsi="Times New Roman" w:eastAsia="方正小标宋_GBK" w:cs="方正小标宋_GBK"/>
      <w:kern w:val="0"/>
      <w:sz w:val="44"/>
      <w:szCs w:val="44"/>
      <w:lang w:val="en-US" w:eastAsia="zh-CN" w:bidi="ar"/>
    </w:rPr>
  </w:style>
  <w:style w:type="paragraph" w:customStyle="1" w:styleId="19">
    <w:name w:val="普通(网站) Char Char"/>
    <w:basedOn w:val="1"/>
    <w:qFormat/>
    <w:uiPriority w:val="0"/>
    <w:pPr>
      <w:spacing w:before="100" w:beforeAutospacing="1" w:after="100" w:afterAutospacing="1" w:line="600" w:lineRule="exact"/>
      <w:ind w:left="0" w:right="0" w:firstLine="880" w:firstLineChars="200"/>
      <w:jc w:val="left"/>
    </w:pPr>
    <w:rPr>
      <w:rFonts w:hint="eastAsia" w:ascii="宋体" w:hAnsi="宋体" w:eastAsia="宋体" w:cs="宋体"/>
      <w:kern w:val="0"/>
      <w:sz w:val="24"/>
      <w:szCs w:val="24"/>
      <w:lang w:val="en-US" w:eastAsia="zh-CN" w:bidi="ar"/>
    </w:rPr>
  </w:style>
  <w:style w:type="character" w:customStyle="1" w:styleId="20">
    <w:name w:val="16"/>
    <w:basedOn w:val="9"/>
    <w:qFormat/>
    <w:uiPriority w:val="0"/>
    <w:rPr>
      <w:rFonts w:hint="eastAsia" w:ascii="宋体" w:hAnsi="宋体" w:eastAsia="方正黑体_GBK" w:cs="宋体"/>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刘静</cp:lastModifiedBy>
  <dcterms:modified xsi:type="dcterms:W3CDTF">2024-09-29T09:34:58Z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