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center"/>
        <w:textAlignment w:val="auto"/>
        <w:outlineLvl w:val="9"/>
        <w:rPr>
          <w:rFonts w:ascii="方正小标宋_GBK" w:hAnsi="方正小标宋_GBK" w:eastAsia="方正小标宋_GBK" w:cs="方正小标宋_GBK"/>
          <w:b w:val="0"/>
          <w:bCs w:val="0"/>
          <w:sz w:val="44"/>
          <w:szCs w:val="44"/>
          <w:shd w:val="clear" w:color="auto" w:fill="FFFFFF"/>
        </w:rPr>
      </w:pPr>
      <w:r>
        <w:rPr>
          <w:rFonts w:ascii="方正小标宋_GBK" w:hAnsi="方正小标宋_GBK" w:eastAsia="方正小标宋_GBK" w:cs="方正小标宋_GBK"/>
          <w:b w:val="0"/>
          <w:bCs w:val="0"/>
          <w:sz w:val="44"/>
          <w:szCs w:val="44"/>
        </w:rPr>
        <w:t>秀山土家族苗族自治县峨溶镇财政办公室</w:t>
      </w:r>
      <w:r>
        <w:rPr>
          <w:rFonts w:hint="default" w:ascii="Times New Roman" w:hAnsi="Times New Roman" w:eastAsia="方正小标宋_GBK" w:cs="Times New Roman"/>
          <w:b w:val="0"/>
          <w:bCs w:val="0"/>
          <w:sz w:val="44"/>
          <w:szCs w:val="44"/>
          <w:shd w:val="clear" w:color="auto" w:fill="FFFFFF"/>
        </w:rPr>
        <w:t>2023</w:t>
      </w:r>
      <w:r>
        <w:rPr>
          <w:rFonts w:ascii="方正小标宋_GBK" w:hAnsi="方正小标宋_GBK" w:eastAsia="方正小标宋_GBK" w:cs="方正小标宋_GBK"/>
          <w:b w:val="0"/>
          <w:bCs w:val="0"/>
          <w:sz w:val="44"/>
          <w:szCs w:val="44"/>
          <w:shd w:val="clear" w:color="auto" w:fill="FFFFFF"/>
        </w:rPr>
        <w:t>年度决算公开说明</w:t>
      </w:r>
    </w:p>
    <w:p>
      <w:pPr>
        <w:pStyle w:val="8"/>
        <w:keepNext w:val="0"/>
        <w:keepLines w:val="0"/>
        <w:pageBreakBefore w:val="0"/>
        <w:widowControl/>
        <w:kinsoku/>
        <w:wordWrap/>
        <w:overflowPunct/>
        <w:topLinePunct w:val="0"/>
        <w:autoSpaceDE/>
        <w:autoSpaceDN/>
        <w:bidi w:val="0"/>
        <w:adjustRightInd/>
        <w:snapToGrid/>
        <w:spacing w:before="0" w:beforeAutospacing="0" w:line="560" w:lineRule="exact"/>
        <w:ind w:firstLine="880" w:firstLineChars="200"/>
        <w:jc w:val="center"/>
        <w:textAlignment w:val="auto"/>
        <w:outlineLvl w:val="9"/>
        <w:rPr>
          <w:rFonts w:hint="eastAsia" w:ascii="方正黑体_GBK" w:hAnsi="方正黑体_GBK" w:eastAsia="方正黑体_GBK" w:cs="方正黑体_GBK"/>
          <w:b w:val="0"/>
          <w:bCs w:val="0"/>
          <w:sz w:val="44"/>
          <w:szCs w:val="44"/>
          <w:shd w:val="clear" w:color="auto" w:fill="FFFFFF"/>
        </w:rPr>
      </w:pP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textAlignment w:val="auto"/>
        <w:rPr>
          <w:rFonts w:hint="eastAsia" w:ascii="方正黑体_GBK" w:hAnsi="方正黑体_GBK" w:eastAsia="方正黑体_GBK" w:cs="方正黑体_GBK"/>
          <w:b w:val="0"/>
          <w:bCs w:val="0"/>
          <w:sz w:val="32"/>
          <w:szCs w:val="32"/>
        </w:rPr>
      </w:pPr>
      <w:r>
        <w:rPr>
          <w:rStyle w:val="10"/>
          <w:rFonts w:hint="eastAsia" w:ascii="方正黑体_GBK" w:hAnsi="方正黑体_GBK" w:eastAsia="方正黑体_GBK" w:cs="方正黑体_GBK"/>
          <w:b w:val="0"/>
          <w:bCs w:val="0"/>
          <w:sz w:val="32"/>
          <w:szCs w:val="32"/>
          <w:shd w:val="clear" w:color="auto" w:fill="FFFFFF"/>
        </w:rPr>
        <w:t>一、单位基本情况</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贯彻财经方针政策，执行财政法规、财经制度，指导监督辖区内单位财务活动；负责本级财政收支、预决算、总会计、惠农资金兑付、财政资金监督检查、绩效评价、债权债务和村级财务管理（“村财委托乡代理”）等工作；负责国有资产的购置、登记、处置、保值增值和政府采购监督管理等工作；协调税务等部门组织财政收入；加强项目审核；承担其他财政财务管理职责。</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本单位</w:t>
      </w:r>
      <w:r>
        <w:rPr>
          <w:rFonts w:hint="default" w:ascii="Times New Roman" w:hAnsi="Times New Roman" w:eastAsia="方正仿宋_GBK" w:cs="Times New Roman"/>
          <w:i w:val="0"/>
          <w:iCs w:val="0"/>
          <w:caps w:val="0"/>
          <w:color w:val="auto"/>
          <w:spacing w:val="0"/>
          <w:sz w:val="32"/>
          <w:szCs w:val="32"/>
          <w:shd w:val="clear" w:fill="FFFFFF"/>
        </w:rPr>
        <w:t>是秀山土家族苗族自治县</w:t>
      </w:r>
      <w:r>
        <w:rPr>
          <w:rFonts w:hint="default" w:ascii="Times New Roman" w:hAnsi="Times New Roman" w:eastAsia="方正仿宋_GBK" w:cs="Times New Roman"/>
          <w:i w:val="0"/>
          <w:iCs w:val="0"/>
          <w:caps w:val="0"/>
          <w:color w:val="auto"/>
          <w:spacing w:val="0"/>
          <w:sz w:val="32"/>
          <w:szCs w:val="32"/>
          <w:shd w:val="clear" w:fill="FFFFFF"/>
          <w:lang w:eastAsia="zh-CN"/>
        </w:rPr>
        <w:t>峨溶</w:t>
      </w:r>
      <w:r>
        <w:rPr>
          <w:rFonts w:hint="default" w:ascii="Times New Roman" w:hAnsi="Times New Roman" w:eastAsia="方正仿宋_GBK" w:cs="Times New Roman"/>
          <w:i w:val="0"/>
          <w:iCs w:val="0"/>
          <w:caps w:val="0"/>
          <w:color w:val="auto"/>
          <w:spacing w:val="0"/>
          <w:sz w:val="32"/>
          <w:szCs w:val="32"/>
          <w:shd w:val="clear" w:fill="FFFFFF"/>
        </w:rPr>
        <w:t>镇人民政府</w:t>
      </w:r>
      <w:r>
        <w:rPr>
          <w:rFonts w:hint="default" w:ascii="Times New Roman" w:hAnsi="Times New Roman" w:eastAsia="方正仿宋_GBK" w:cs="Times New Roman"/>
          <w:i w:val="0"/>
          <w:iCs w:val="0"/>
          <w:caps w:val="0"/>
          <w:color w:val="auto"/>
          <w:spacing w:val="0"/>
          <w:sz w:val="32"/>
          <w:szCs w:val="32"/>
          <w:shd w:val="clear" w:fill="FFFFFF"/>
          <w:lang w:eastAsia="zh-CN"/>
        </w:rPr>
        <w:t>统一设置的二级机构，单位构成为财政办公室</w:t>
      </w:r>
      <w:r>
        <w:rPr>
          <w:rFonts w:hint="default" w:ascii="Times New Roman" w:hAnsi="Times New Roman" w:eastAsia="方正仿宋_GBK" w:cs="Times New Roman"/>
          <w:color w:val="auto"/>
          <w:sz w:val="32"/>
          <w:szCs w:val="32"/>
          <w:shd w:val="clear" w:color="auto" w:fill="FFFFFF"/>
          <w:lang w:eastAsia="zh-CN"/>
        </w:rPr>
        <w:t>，无下属机构</w:t>
      </w:r>
      <w:r>
        <w:rPr>
          <w:rFonts w:hint="default" w:ascii="Times New Roman" w:hAnsi="Times New Roman" w:eastAsia="方正仿宋_GBK" w:cs="Times New Roman"/>
          <w:i w:val="0"/>
          <w:iCs w:val="0"/>
          <w:caps w:val="0"/>
          <w:color w:val="auto"/>
          <w:spacing w:val="0"/>
          <w:sz w:val="32"/>
          <w:szCs w:val="32"/>
          <w:shd w:val="clear" w:fill="FFFFFF"/>
        </w:rPr>
        <w:t>。</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8"/>
        <w:keepNext w:val="0"/>
        <w:keepLines w:val="0"/>
        <w:pageBreakBefore w:val="0"/>
        <w:shd w:val="clear" w:color="auto" w:fill="FFFFFF"/>
        <w:kinsoku/>
        <w:wordWrap/>
        <w:overflowPunct/>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2023年度收入总计65.87万元，支出总计</w:t>
      </w:r>
      <w:r>
        <w:rPr>
          <w:rFonts w:hint="default" w:ascii="Times New Roman" w:hAnsi="Times New Roman" w:eastAsia="方正仿宋_GBK" w:cs="Times New Roman"/>
          <w:sz w:val="32"/>
          <w:szCs w:val="32"/>
        </w:rPr>
        <w:t>65.87</w:t>
      </w:r>
      <w:r>
        <w:rPr>
          <w:rFonts w:hint="default" w:ascii="Times New Roman" w:hAnsi="Times New Roman" w:eastAsia="方正仿宋_GBK" w:cs="Times New Roman"/>
          <w:sz w:val="32"/>
          <w:szCs w:val="32"/>
          <w:shd w:val="clear" w:color="auto" w:fill="FFFFFF"/>
        </w:rPr>
        <w:t>万元。收支较上年决算数增加65.87万元</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增长100.00%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2022年度本单位与部门合并编报决算，按照市财政局要求，2023年独立编报决算，故与上年对比</w:t>
      </w:r>
      <w:r>
        <w:rPr>
          <w:rFonts w:hint="eastAsia" w:ascii="Times New Roman" w:hAnsi="Times New Roman" w:eastAsia="方正仿宋_GBK" w:cs="Times New Roman"/>
          <w:color w:val="auto"/>
          <w:sz w:val="32"/>
          <w:szCs w:val="32"/>
          <w:shd w:val="clear" w:color="auto" w:fill="FFFFFF"/>
          <w:lang w:val="en-US" w:eastAsia="zh-CN"/>
        </w:rPr>
        <w:t>增长100.00%</w:t>
      </w:r>
      <w:r>
        <w:rPr>
          <w:rFonts w:hint="default" w:ascii="Times New Roman" w:hAnsi="Times New Roman" w:eastAsia="方正仿宋_GBK" w:cs="Times New Roman"/>
          <w:color w:val="auto"/>
          <w:sz w:val="32"/>
          <w:szCs w:val="32"/>
          <w:shd w:val="clear" w:color="auto" w:fill="FFFFFF"/>
          <w:lang w:val="en-US" w:eastAsia="zh-CN"/>
        </w:rPr>
        <w:t>。</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2023年度收入合计65.87万元，较上年决算数增加65.87万元，增长100.00%，主要原因是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2022年度本单位与部门合并编报决算，按照市财政局要求，2023年独立编报决算，故与上年对比</w:t>
      </w:r>
      <w:r>
        <w:rPr>
          <w:rFonts w:hint="eastAsia" w:ascii="Times New Roman" w:hAnsi="Times New Roman" w:eastAsia="方正仿宋_GBK" w:cs="Times New Roman"/>
          <w:sz w:val="32"/>
          <w:szCs w:val="32"/>
          <w:shd w:val="clear" w:color="auto" w:fill="FFFFFF"/>
          <w:lang w:val="en-US" w:eastAsia="zh-CN"/>
        </w:rPr>
        <w:t>增长100.00%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65.87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shd w:val="clear" w:color="auto" w:fill="FFFFFF"/>
        <w:kinsoku/>
        <w:wordWrap/>
        <w:overflowPunct/>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65.87</w:t>
      </w:r>
      <w:r>
        <w:rPr>
          <w:rFonts w:hint="default" w:ascii="Times New Roman" w:hAnsi="Times New Roman" w:eastAsia="方正仿宋_GBK" w:cs="Times New Roman"/>
          <w:sz w:val="32"/>
          <w:szCs w:val="32"/>
          <w:shd w:val="clear" w:color="auto" w:fill="FFFFFF"/>
        </w:rPr>
        <w:t>万元，较上年决算数增加65.87万元，增长100.00%，主要原因是</w:t>
      </w:r>
      <w:r>
        <w:rPr>
          <w:rFonts w:hint="default"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2022年度本单位与部门合并编报决算，按照市财政局要求，2023年独立编报决算，故与上年对比</w:t>
      </w:r>
      <w:r>
        <w:rPr>
          <w:rFonts w:hint="eastAsia" w:ascii="Times New Roman" w:hAnsi="Times New Roman" w:eastAsia="方正仿宋_GBK" w:cs="Times New Roman"/>
          <w:color w:val="auto"/>
          <w:sz w:val="32"/>
          <w:szCs w:val="32"/>
          <w:shd w:val="clear" w:color="auto" w:fill="FFFFFF"/>
          <w:lang w:val="en-US" w:eastAsia="zh-CN"/>
        </w:rPr>
        <w:t>增长100.00%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65.87</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b w:val="0"/>
          <w:bCs/>
          <w:color w:val="auto"/>
          <w:kern w:val="0"/>
          <w:sz w:val="32"/>
          <w:szCs w:val="32"/>
          <w:shd w:val="clear" w:color="auto" w:fill="FFFFFF"/>
          <w:lang w:bidi="ar"/>
        </w:rPr>
        <w:t>2022年度本单位与部门合并编报决算，按照市财政局要求，2023年度独立编报决算，本年度财政收支平衡零结转结余。</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2023年度财政拨款收、支总计65.87万元。与2022年相比，财政拨款收、支总计各增加65.87万元，增长100.00%。主要原因是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w:t>
      </w:r>
      <w:r>
        <w:rPr>
          <w:rFonts w:hint="eastAsia" w:ascii="Times New Roman" w:hAnsi="Times New Roman" w:eastAsia="方正仿宋_GBK" w:cs="Times New Roman"/>
          <w:b w:val="0"/>
          <w:bCs/>
          <w:kern w:val="0"/>
          <w:sz w:val="32"/>
          <w:szCs w:val="32"/>
          <w:shd w:val="clear" w:color="auto" w:fill="FFFFFF"/>
          <w:lang w:val="en-US" w:eastAsia="zh-CN" w:bidi="ar"/>
        </w:rPr>
        <w:t>增长100.00%</w:t>
      </w:r>
      <w:r>
        <w:rPr>
          <w:rFonts w:hint="default" w:ascii="Times New Roman" w:hAnsi="Times New Roman" w:eastAsia="方正仿宋_GBK" w:cs="Times New Roman"/>
          <w:b w:val="0"/>
          <w:bCs/>
          <w:kern w:val="0"/>
          <w:sz w:val="32"/>
          <w:szCs w:val="32"/>
          <w:shd w:val="clear" w:color="auto" w:fill="FFFFFF"/>
          <w:lang w:val="en-US" w:eastAsia="zh-CN" w:bidi="ar"/>
        </w:rPr>
        <w:t>。</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65.87</w:t>
      </w:r>
      <w:r>
        <w:rPr>
          <w:rFonts w:hint="default" w:ascii="Times New Roman" w:hAnsi="Times New Roman" w:eastAsia="方正仿宋_GBK" w:cs="Times New Roman"/>
          <w:sz w:val="32"/>
          <w:szCs w:val="32"/>
          <w:shd w:val="clear" w:color="auto" w:fill="FFFFFF"/>
        </w:rPr>
        <w:t>万元，较上年决算数增加65.87万元，增长100.00%。主要原因是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w:t>
      </w:r>
      <w:r>
        <w:rPr>
          <w:rFonts w:hint="eastAsia" w:ascii="Times New Roman" w:hAnsi="Times New Roman" w:eastAsia="方正仿宋_GBK" w:cs="Times New Roman"/>
          <w:b w:val="0"/>
          <w:bCs/>
          <w:kern w:val="0"/>
          <w:sz w:val="32"/>
          <w:szCs w:val="32"/>
          <w:shd w:val="clear" w:color="auto" w:fill="FFFFFF"/>
          <w:lang w:val="en-US" w:eastAsia="zh-CN" w:bidi="ar"/>
        </w:rPr>
        <w:t>增长100.00%</w:t>
      </w:r>
      <w:r>
        <w:rPr>
          <w:rFonts w:hint="default" w:ascii="Times New Roman" w:hAnsi="Times New Roman" w:eastAsia="方正仿宋_GBK" w:cs="Times New Roman"/>
          <w:b w:val="0"/>
          <w:bCs/>
          <w:kern w:val="0"/>
          <w:sz w:val="32"/>
          <w:szCs w:val="32"/>
          <w:shd w:val="clear" w:color="auto" w:fill="FFFFFF"/>
          <w:lang w:val="en-US" w:eastAsia="zh-CN" w:bidi="ar"/>
        </w:rPr>
        <w:t>。</w:t>
      </w:r>
      <w:r>
        <w:rPr>
          <w:rFonts w:hint="default" w:ascii="Times New Roman" w:hAnsi="Times New Roman" w:eastAsia="方正仿宋_GBK" w:cs="Times New Roman"/>
          <w:sz w:val="32"/>
          <w:szCs w:val="32"/>
          <w:shd w:val="clear" w:color="auto" w:fill="FFFFFF"/>
        </w:rPr>
        <w:t>较年初预算数增加1.95万元，增长3.05%。主要原因是</w:t>
      </w:r>
      <w:r>
        <w:rPr>
          <w:rFonts w:hint="default" w:ascii="Times New Roman" w:hAnsi="Times New Roman" w:eastAsia="方正仿宋_GBK" w:cs="Times New Roman"/>
          <w:sz w:val="32"/>
          <w:szCs w:val="32"/>
          <w:shd w:val="clear" w:color="auto" w:fill="FFFFFF"/>
          <w:lang w:val="en-US" w:eastAsia="zh-CN"/>
        </w:rPr>
        <w:t>2023年度新增1人。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8"/>
        <w:keepNext w:val="0"/>
        <w:keepLines w:val="0"/>
        <w:pageBreakBefore w:val="0"/>
        <w:kinsoku/>
        <w:wordWrap/>
        <w:overflowPunct/>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65.87</w:t>
      </w:r>
      <w:r>
        <w:rPr>
          <w:rFonts w:hint="default" w:ascii="Times New Roman" w:hAnsi="Times New Roman" w:eastAsia="方正仿宋_GBK" w:cs="Times New Roman"/>
          <w:sz w:val="32"/>
          <w:szCs w:val="32"/>
          <w:shd w:val="clear" w:color="auto" w:fill="FFFFFF"/>
        </w:rPr>
        <w:t>万元，较上年决算数增加65.87万元，增长100.00%。主要原因是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w:t>
      </w:r>
      <w:r>
        <w:rPr>
          <w:rFonts w:hint="eastAsia" w:ascii="Times New Roman" w:hAnsi="Times New Roman" w:eastAsia="方正仿宋_GBK" w:cs="Times New Roman"/>
          <w:b w:val="0"/>
          <w:bCs/>
          <w:kern w:val="0"/>
          <w:sz w:val="32"/>
          <w:szCs w:val="32"/>
          <w:shd w:val="clear" w:color="auto" w:fill="FFFFFF"/>
          <w:lang w:val="en-US" w:eastAsia="zh-CN" w:bidi="ar"/>
        </w:rPr>
        <w:t>增长100.00%</w:t>
      </w:r>
      <w:r>
        <w:rPr>
          <w:rFonts w:hint="default" w:ascii="Times New Roman" w:hAnsi="Times New Roman" w:eastAsia="方正仿宋_GBK" w:cs="Times New Roman"/>
          <w:b w:val="0"/>
          <w:bCs/>
          <w:kern w:val="0"/>
          <w:sz w:val="32"/>
          <w:szCs w:val="32"/>
          <w:shd w:val="clear" w:color="auto" w:fill="FFFFFF"/>
          <w:lang w:val="en-US" w:eastAsia="zh-CN" w:bidi="ar"/>
        </w:rPr>
        <w:t>。</w:t>
      </w:r>
      <w:r>
        <w:rPr>
          <w:rFonts w:hint="default" w:ascii="Times New Roman" w:hAnsi="Times New Roman" w:eastAsia="方正仿宋_GBK" w:cs="Times New Roman"/>
          <w:sz w:val="32"/>
          <w:szCs w:val="32"/>
          <w:shd w:val="clear" w:color="auto" w:fill="FFFFFF"/>
        </w:rPr>
        <w:t>较年初预算数增加0.93万元，增长1.43%。主要原因是</w:t>
      </w:r>
      <w:r>
        <w:rPr>
          <w:rFonts w:hint="default" w:ascii="Times New Roman" w:hAnsi="Times New Roman" w:eastAsia="方正仿宋_GBK" w:cs="Times New Roman"/>
          <w:sz w:val="32"/>
          <w:szCs w:val="32"/>
          <w:shd w:val="clear" w:color="auto" w:fill="FFFFFF"/>
          <w:lang w:val="en-US" w:eastAsia="zh-CN"/>
        </w:rPr>
        <w:t>政策性追加人员经费。</w:t>
      </w:r>
    </w:p>
    <w:p>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b w:val="0"/>
          <w:bCs/>
          <w:kern w:val="0"/>
          <w:sz w:val="32"/>
          <w:szCs w:val="32"/>
          <w:shd w:val="clear" w:color="auto" w:fill="FFFFFF"/>
          <w:lang w:bidi="ar"/>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b w:val="0"/>
          <w:bCs/>
          <w:kern w:val="0"/>
          <w:sz w:val="32"/>
          <w:szCs w:val="32"/>
          <w:shd w:val="clear" w:color="auto" w:fill="FFFFFF"/>
          <w:lang w:bidi="ar"/>
        </w:rPr>
        <w:t>2022年度本单位与部门合并编报决算，按照市财政局要求，2023年度独立编报决算，本年度财政收支平衡零结转结余。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w:t>
      </w:r>
      <w:r>
        <w:rPr>
          <w:rFonts w:hint="default" w:ascii="Times New Roman" w:hAnsi="Times New Roman" w:eastAsia="方正仿宋_GBK" w:cs="Times New Roman"/>
          <w:sz w:val="32"/>
          <w:szCs w:val="32"/>
          <w:shd w:val="clear" w:color="auto" w:fill="FFFFFF"/>
          <w:lang w:eastAsia="zh-CN"/>
        </w:rPr>
        <w:t>四</w:t>
      </w:r>
      <w:r>
        <w:rPr>
          <w:rFonts w:hint="default" w:ascii="Times New Roman" w:hAnsi="Times New Roman" w:eastAsia="方正仿宋_GBK" w:cs="Times New Roman"/>
          <w:sz w:val="32"/>
          <w:szCs w:val="32"/>
          <w:shd w:val="clear" w:color="auto" w:fill="FFFFFF"/>
        </w:rPr>
        <w:t>个方面：</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50.72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76.99</w:t>
      </w:r>
      <w:r>
        <w:rPr>
          <w:rFonts w:hint="default" w:ascii="Times New Roman" w:hAnsi="Times New Roman" w:eastAsia="方正仿宋_GBK" w:cs="Times New Roman"/>
          <w:sz w:val="32"/>
          <w:szCs w:val="32"/>
          <w:shd w:val="clear" w:color="auto" w:fill="FFFFFF"/>
        </w:rPr>
        <w:t>%，较年初预算数增加0.93万元，增长1.87%，主要原因是</w:t>
      </w:r>
      <w:r>
        <w:rPr>
          <w:rFonts w:hint="default" w:ascii="Times New Roman" w:hAnsi="Times New Roman" w:eastAsia="方正仿宋_GBK" w:cs="Times New Roman"/>
          <w:sz w:val="32"/>
          <w:szCs w:val="32"/>
          <w:shd w:val="clear" w:color="auto" w:fill="FFFFFF"/>
          <w:lang w:val="en-US" w:eastAsia="zh-CN"/>
        </w:rPr>
        <w:t>政策性追加人员经费。</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8.26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12.54</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eastAsia="zh-CN"/>
        </w:rPr>
        <w:t>严格按照年初预算执行。</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3.44</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eastAsia="zh-CN"/>
        </w:rPr>
        <w:t>严格按照年初预算执行。</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住房保障支出4.63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7.02</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eastAsia="zh-CN"/>
        </w:rPr>
        <w:t>严格按照年初预算执行。</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65.87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57.53</w:t>
      </w:r>
      <w:r>
        <w:rPr>
          <w:rFonts w:hint="default" w:ascii="Times New Roman" w:hAnsi="Times New Roman" w:eastAsia="方正仿宋_GBK" w:cs="Times New Roman"/>
          <w:sz w:val="32"/>
          <w:szCs w:val="32"/>
          <w:shd w:val="clear" w:color="auto" w:fill="FFFFFF"/>
        </w:rPr>
        <w:t>万元，较上年决算数增加57.53万元，增长100.00%，主要原因是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w:t>
      </w:r>
      <w:r>
        <w:rPr>
          <w:rFonts w:hint="eastAsia" w:ascii="Times New Roman" w:hAnsi="Times New Roman" w:eastAsia="方正仿宋_GBK" w:cs="Times New Roman"/>
          <w:b w:val="0"/>
          <w:bCs/>
          <w:kern w:val="0"/>
          <w:sz w:val="32"/>
          <w:szCs w:val="32"/>
          <w:shd w:val="clear" w:color="auto" w:fill="FFFFFF"/>
          <w:lang w:val="en-US" w:eastAsia="zh-CN" w:bidi="ar"/>
        </w:rPr>
        <w:t>增长100.00%</w:t>
      </w:r>
      <w:r>
        <w:rPr>
          <w:rFonts w:hint="default" w:ascii="Times New Roman" w:hAnsi="Times New Roman" w:eastAsia="方正仿宋_GBK" w:cs="Times New Roman"/>
          <w:b w:val="0"/>
          <w:bCs/>
          <w:kern w:val="0"/>
          <w:sz w:val="32"/>
          <w:szCs w:val="32"/>
          <w:shd w:val="clear" w:color="auto" w:fill="FFFFFF"/>
          <w:lang w:val="en-US" w:eastAsia="zh-CN" w:bidi="ar"/>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rPr>
        <w:t>基本工资</w:t>
      </w:r>
      <w:r>
        <w:rPr>
          <w:rFonts w:hint="default" w:ascii="Times New Roman" w:hAnsi="Times New Roman" w:eastAsia="方正仿宋_GBK" w:cs="Times New Roman"/>
          <w:color w:val="auto"/>
          <w:sz w:val="32"/>
          <w:szCs w:val="32"/>
          <w:shd w:val="clear" w:color="auto" w:fill="FFFFFF"/>
          <w:lang w:eastAsia="zh-CN"/>
        </w:rPr>
        <w:t>、津贴补贴、奖金、社会保障缴费、住房公积金等。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8.35</w:t>
      </w:r>
      <w:r>
        <w:rPr>
          <w:rFonts w:hint="default" w:ascii="Times New Roman" w:hAnsi="Times New Roman" w:eastAsia="方正仿宋_GBK" w:cs="Times New Roman"/>
          <w:sz w:val="32"/>
          <w:szCs w:val="32"/>
          <w:shd w:val="clear" w:color="auto" w:fill="FFFFFF"/>
        </w:rPr>
        <w:t>万元，较上年决算数增加8.35万元，增长100.00%，主要原因是</w:t>
      </w:r>
      <w:r>
        <w:rPr>
          <w:rFonts w:hint="default" w:ascii="Times New Roman" w:hAnsi="Times New Roman" w:eastAsia="方正仿宋_GBK" w:cs="Times New Roman"/>
          <w:b w:val="0"/>
          <w:bCs/>
          <w:kern w:val="0"/>
          <w:sz w:val="32"/>
          <w:szCs w:val="32"/>
          <w:shd w:val="clear" w:color="auto" w:fill="FFFFFF"/>
          <w:lang w:val="en-US" w:eastAsia="zh-CN" w:bidi="ar"/>
        </w:rPr>
        <w:t>2022年度本单位与部门合并编报决算，按照市财政局要求，2023年独立编报决算，故与上年对比</w:t>
      </w:r>
      <w:r>
        <w:rPr>
          <w:rFonts w:hint="eastAsia" w:ascii="Times New Roman" w:hAnsi="Times New Roman" w:eastAsia="方正仿宋_GBK" w:cs="Times New Roman"/>
          <w:b w:val="0"/>
          <w:bCs/>
          <w:kern w:val="0"/>
          <w:sz w:val="32"/>
          <w:szCs w:val="32"/>
          <w:shd w:val="clear" w:color="auto" w:fill="FFFFFF"/>
          <w:lang w:val="en-US" w:eastAsia="zh-CN" w:bidi="ar"/>
        </w:rPr>
        <w:t>增长100.00%</w:t>
      </w:r>
      <w:r>
        <w:rPr>
          <w:rFonts w:hint="default" w:ascii="Times New Roman" w:hAnsi="Times New Roman" w:eastAsia="方正仿宋_GBK" w:cs="Times New Roman"/>
          <w:b w:val="0"/>
          <w:bCs/>
          <w:kern w:val="0"/>
          <w:sz w:val="32"/>
          <w:szCs w:val="32"/>
          <w:shd w:val="clear" w:color="auto" w:fill="FFFFFF"/>
          <w:lang w:val="en-US" w:eastAsia="zh-CN" w:bidi="ar"/>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rPr>
        <w:t>办公费</w:t>
      </w:r>
      <w:r>
        <w:rPr>
          <w:rFonts w:hint="default" w:ascii="Times New Roman" w:hAnsi="Times New Roman" w:eastAsia="方正仿宋_GBK" w:cs="Times New Roman"/>
          <w:color w:val="auto"/>
          <w:sz w:val="32"/>
          <w:szCs w:val="32"/>
          <w:shd w:val="clear" w:color="auto" w:fill="FFFFFF"/>
          <w:lang w:eastAsia="zh-CN"/>
        </w:rPr>
        <w:t>、邮电费、会议费、培训费、劳务费、工会经费。</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default" w:ascii="Times New Roman" w:hAnsi="Times New Roman" w:eastAsia="方正仿宋_GBK" w:cs="Times New Roman"/>
          <w:b/>
          <w:bCs/>
          <w:color w:val="auto"/>
          <w:sz w:val="32"/>
          <w:szCs w:val="32"/>
          <w:shd w:val="clear" w:color="auto" w:fill="auto"/>
        </w:rPr>
      </w:pPr>
      <w:r>
        <w:rPr>
          <w:rFonts w:hint="eastAsia" w:ascii="方正楷体_GBK" w:hAnsi="方正楷体_GBK" w:eastAsia="方正楷体_GBK" w:cs="方正楷体_GBK"/>
          <w:b w:val="0"/>
          <w:bCs w:val="0"/>
          <w:color w:val="auto"/>
          <w:sz w:val="32"/>
          <w:szCs w:val="32"/>
          <w:shd w:val="clear" w:color="auto" w:fill="auto"/>
        </w:rPr>
        <w:t>（五）政府性基金预算收支决算情况说明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本单位2023年度无政府性基金预算财政拨款收支。</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textAlignment w:val="auto"/>
        <w:rPr>
          <w:rFonts w:hint="default" w:ascii="Times New Roman" w:hAnsi="Times New Roman" w:eastAsia="方正仿宋_GBK" w:cs="Times New Roman"/>
          <w:b/>
          <w:bCs/>
          <w:color w:val="auto"/>
          <w:sz w:val="32"/>
          <w:szCs w:val="32"/>
          <w:shd w:val="clear" w:color="auto" w:fill="auto"/>
        </w:rPr>
      </w:pPr>
      <w:r>
        <w:rPr>
          <w:rFonts w:hint="eastAsia" w:ascii="方正楷体_GBK" w:hAnsi="方正楷体_GBK" w:eastAsia="方正楷体_GBK" w:cs="方正楷体_GBK"/>
          <w:b w:val="0"/>
          <w:bCs w:val="0"/>
          <w:color w:val="auto"/>
          <w:sz w:val="32"/>
          <w:szCs w:val="32"/>
          <w:shd w:val="clear" w:color="auto" w:fill="auto"/>
        </w:rPr>
        <w:t>（六）国有资本经营预算财政拨款支出决算情况说明</w:t>
      </w:r>
    </w:p>
    <w:p>
      <w:pPr>
        <w:pStyle w:val="8"/>
        <w:keepNext w:val="0"/>
        <w:keepLines w:val="0"/>
        <w:pageBreakBefore w:val="0"/>
        <w:kinsoku/>
        <w:wordWrap/>
        <w:overflowPunct/>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仿宋_GBK" w:cs="Times New Roman"/>
          <w:b w:val="0"/>
          <w:bCs/>
          <w:color w:val="auto"/>
          <w:sz w:val="32"/>
          <w:szCs w:val="32"/>
          <w:shd w:val="clear" w:color="auto" w:fill="auto"/>
        </w:rPr>
      </w:pPr>
      <w:r>
        <w:rPr>
          <w:rStyle w:val="10"/>
          <w:rFonts w:hint="default" w:ascii="Times New Roman" w:hAnsi="Times New Roman" w:eastAsia="方正仿宋_GBK" w:cs="Times New Roman"/>
          <w:b w:val="0"/>
          <w:bCs/>
          <w:color w:val="auto"/>
          <w:sz w:val="32"/>
          <w:szCs w:val="32"/>
          <w:shd w:val="clear" w:color="auto" w:fill="auto"/>
        </w:rPr>
        <w:t>本单位2023年度无国有资本经营预算财政拨款支出。</w:t>
      </w:r>
    </w:p>
    <w:p>
      <w:pPr>
        <w:pStyle w:val="8"/>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“三公”</w:t>
      </w:r>
      <w:r>
        <w:rPr>
          <w:rStyle w:val="10"/>
          <w:rFonts w:hint="eastAsia" w:ascii="方正黑体_GBK" w:hAnsi="方正黑体_GBK" w:eastAsia="方正黑体_GBK" w:cs="方正黑体_GBK"/>
          <w:b w:val="0"/>
          <w:bCs/>
          <w:sz w:val="32"/>
          <w:szCs w:val="32"/>
          <w:shd w:val="clear" w:color="auto" w:fill="FFFFFF"/>
        </w:rPr>
        <w:t>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zh-CN"/>
        </w:rPr>
      </w:pPr>
      <w:r>
        <w:rPr>
          <w:rStyle w:val="10"/>
          <w:rFonts w:hint="default" w:ascii="Times New Roman" w:hAnsi="Times New Roman" w:eastAsia="方正仿宋_GBK" w:cs="Times New Roman"/>
          <w:b w:val="0"/>
          <w:bCs/>
          <w:color w:val="auto"/>
          <w:sz w:val="32"/>
          <w:szCs w:val="32"/>
          <w:highlight w:val="none"/>
          <w:shd w:val="clear" w:color="auto" w:fill="FFFFFF"/>
          <w:lang w:val="zh-CN" w:eastAsia="zh-CN"/>
        </w:rPr>
        <w:t>本单位属于</w:t>
      </w:r>
      <w:r>
        <w:rPr>
          <w:rStyle w:val="10"/>
          <w:rFonts w:hint="default" w:ascii="Times New Roman" w:hAnsi="Times New Roman" w:eastAsia="方正仿宋_GBK" w:cs="Times New Roman"/>
          <w:b w:val="0"/>
          <w:bCs/>
          <w:color w:val="auto"/>
          <w:sz w:val="32"/>
          <w:szCs w:val="32"/>
          <w:highlight w:val="none"/>
          <w:shd w:val="clear" w:color="auto" w:fill="FFFFFF"/>
          <w:lang w:eastAsia="zh-CN"/>
        </w:rPr>
        <w:t>峨溶镇人民政府的下级单位，</w:t>
      </w:r>
      <w:r>
        <w:rPr>
          <w:rFonts w:hint="eastAsia" w:ascii="Times New Roman" w:hAnsi="Times New Roman" w:eastAsia="方正仿宋_GBK" w:cs="Times New Roman"/>
          <w:color w:val="auto"/>
          <w:sz w:val="32"/>
          <w:szCs w:val="32"/>
          <w:shd w:val="clear" w:color="auto" w:fill="FFFFFF"/>
          <w:lang w:eastAsia="zh-CN"/>
        </w:rPr>
        <w:t>“三公”</w:t>
      </w:r>
      <w:r>
        <w:rPr>
          <w:rFonts w:hint="default" w:ascii="Times New Roman" w:hAnsi="Times New Roman" w:eastAsia="方正仿宋_GBK" w:cs="Times New Roman"/>
          <w:color w:val="auto"/>
          <w:sz w:val="32"/>
          <w:szCs w:val="32"/>
          <w:highlight w:val="none"/>
          <w:lang w:val="zh-CN"/>
        </w:rPr>
        <w:t>经费预算安排在政府本级，由政府本级统筹管理、统一核算，故本单位无：</w:t>
      </w:r>
      <w:r>
        <w:rPr>
          <w:rFonts w:hint="eastAsia" w:ascii="Times New Roman" w:hAnsi="Times New Roman" w:eastAsia="方正仿宋_GBK" w:cs="Times New Roman"/>
          <w:color w:val="auto"/>
          <w:sz w:val="32"/>
          <w:szCs w:val="32"/>
          <w:highlight w:val="none"/>
          <w:lang w:val="zh-CN"/>
        </w:rPr>
        <w:t>“三公”</w:t>
      </w:r>
      <w:r>
        <w:rPr>
          <w:rFonts w:hint="default" w:ascii="Times New Roman" w:hAnsi="Times New Roman" w:eastAsia="方正仿宋_GBK" w:cs="Times New Roman"/>
          <w:color w:val="auto"/>
          <w:sz w:val="32"/>
          <w:szCs w:val="32"/>
          <w:highlight w:val="none"/>
          <w:lang w:val="zh-CN"/>
        </w:rPr>
        <w:t>经费预算及支出。</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“三公”</w:t>
      </w:r>
      <w:r>
        <w:rPr>
          <w:rFonts w:hint="eastAsia" w:ascii="方正楷体_GBK" w:hAnsi="方正楷体_GBK" w:eastAsia="方正楷体_GBK" w:cs="方正楷体_GBK"/>
          <w:b w:val="0"/>
          <w:bCs w:val="0"/>
          <w:sz w:val="32"/>
          <w:szCs w:val="32"/>
          <w:shd w:val="clear" w:color="auto" w:fill="FFFFFF"/>
        </w:rPr>
        <w:t>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2023年度</w:t>
      </w:r>
      <w:r>
        <w:rPr>
          <w:rFonts w:hint="eastAsia" w:ascii="Times New Roman" w:hAnsi="Times New Roman" w:eastAsia="方正仿宋_GBK" w:cs="Times New Roman"/>
          <w:color w:val="auto"/>
          <w:sz w:val="32"/>
          <w:szCs w:val="32"/>
          <w:shd w:val="clear" w:color="auto" w:fill="FFFFFF"/>
          <w:lang w:eastAsia="zh-CN"/>
        </w:rPr>
        <w:t>“三公”</w:t>
      </w:r>
      <w:r>
        <w:rPr>
          <w:rFonts w:hint="default" w:ascii="Times New Roman" w:hAnsi="Times New Roman" w:eastAsia="方正仿宋_GBK" w:cs="Times New Roman"/>
          <w:color w:val="auto"/>
          <w:sz w:val="32"/>
          <w:szCs w:val="32"/>
          <w:shd w:val="clear" w:color="auto" w:fill="FFFFFF"/>
        </w:rPr>
        <w:t>经费支出共计</w:t>
      </w:r>
      <w:r>
        <w:rPr>
          <w:rFonts w:hint="default" w:ascii="Times New Roman" w:hAnsi="Times New Roman" w:eastAsia="方正仿宋_GBK" w:cs="Times New Roman"/>
          <w:color w:val="auto"/>
          <w:sz w:val="32"/>
          <w:szCs w:val="32"/>
          <w:lang w:eastAsia="zh-CN"/>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万元，较年初预算数无增减</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lang w:eastAsia="zh-CN"/>
        </w:rPr>
        <w:t>“三公”</w:t>
      </w:r>
      <w:r>
        <w:rPr>
          <w:rFonts w:hint="eastAsia" w:ascii="方正楷体_GBK" w:hAnsi="方正楷体_GBK" w:eastAsia="方正楷体_GBK" w:cs="方正楷体_GBK"/>
          <w:b w:val="0"/>
          <w:bCs w:val="0"/>
          <w:sz w:val="32"/>
          <w:szCs w:val="32"/>
          <w:shd w:val="clear" w:color="auto" w:fill="FFFFFF"/>
        </w:rPr>
        <w:t>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lang w:eastAsia="zh-CN"/>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lang w:eastAsia="zh-CN"/>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lang w:eastAsia="zh-CN"/>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lang w:eastAsia="zh-CN"/>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较</w:t>
      </w:r>
      <w:r>
        <w:rPr>
          <w:rFonts w:hint="default" w:ascii="Times New Roman" w:hAnsi="Times New Roman" w:eastAsia="方正仿宋_GBK" w:cs="Times New Roman"/>
          <w:color w:val="auto"/>
          <w:sz w:val="32"/>
          <w:szCs w:val="32"/>
          <w:shd w:val="clear" w:color="auto" w:fill="FFFFFF"/>
        </w:rPr>
        <w:t>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较上年支出数无增减</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w:t>
      </w:r>
      <w:r>
        <w:rPr>
          <w:rFonts w:hint="eastAsia" w:ascii="方正楷体_GBK" w:hAnsi="方正楷体_GBK" w:eastAsia="方正楷体_GBK" w:cs="方正楷体_GBK"/>
          <w:b w:val="0"/>
          <w:bCs w:val="0"/>
          <w:sz w:val="32"/>
          <w:szCs w:val="32"/>
          <w:shd w:val="clear" w:color="auto" w:fill="FFFFFF"/>
          <w:lang w:eastAsia="zh-CN"/>
        </w:rPr>
        <w:t>“三公”</w:t>
      </w:r>
      <w:r>
        <w:rPr>
          <w:rFonts w:hint="eastAsia" w:ascii="方正楷体_GBK" w:hAnsi="方正楷体_GBK" w:eastAsia="方正楷体_GBK" w:cs="方正楷体_GBK"/>
          <w:b w:val="0"/>
          <w:bCs w:val="0"/>
          <w:sz w:val="32"/>
          <w:szCs w:val="32"/>
          <w:shd w:val="clear" w:color="auto" w:fill="FFFFFF"/>
        </w:rPr>
        <w:t>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color w:val="auto"/>
          <w:sz w:val="32"/>
          <w:szCs w:val="32"/>
          <w:lang w:eastAsia="zh-CN"/>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sz w:val="32"/>
          <w:szCs w:val="32"/>
          <w:shd w:val="clear" w:color="auto" w:fill="FFFFFF"/>
        </w:rPr>
        <w:t>，车均购置费</w:t>
      </w:r>
      <w:r>
        <w:rPr>
          <w:rFonts w:hint="default" w:ascii="Times New Roman" w:hAnsi="Times New Roman" w:eastAsia="方正仿宋_GBK" w:cs="Times New Roman"/>
          <w:color w:val="auto"/>
          <w:sz w:val="32"/>
          <w:szCs w:val="32"/>
          <w:lang w:eastAsia="zh-CN"/>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sz w:val="32"/>
          <w:szCs w:val="32"/>
          <w:shd w:val="clear" w:color="auto" w:fill="FFFFFF"/>
        </w:rPr>
        <w:t>，车均维护费</w:t>
      </w:r>
      <w:r>
        <w:rPr>
          <w:rFonts w:hint="default" w:ascii="Times New Roman" w:hAnsi="Times New Roman" w:eastAsia="方正仿宋_GBK" w:cs="Times New Roman"/>
          <w:color w:val="auto"/>
          <w:sz w:val="32"/>
          <w:szCs w:val="32"/>
          <w:lang w:eastAsia="zh-CN"/>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sz w:val="32"/>
          <w:szCs w:val="32"/>
          <w:shd w:val="clear" w:color="auto" w:fill="FFFFFF"/>
        </w:rPr>
        <w:t>。</w:t>
      </w:r>
    </w:p>
    <w:p>
      <w:pPr>
        <w:pStyle w:val="8"/>
        <w:keepNext w:val="0"/>
        <w:keepLines w:val="0"/>
        <w:pageBreakBefore w:val="0"/>
        <w:shd w:val="clear" w:color="auto" w:fill="FFFFFF"/>
        <w:kinsoku/>
        <w:wordWrap/>
        <w:overflowPunct/>
        <w:bidi w:val="0"/>
        <w:adjustRightIn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default" w:ascii="Times New Roman" w:hAnsi="Times New Roman" w:eastAsia="方正仿宋_GBK" w:cs="Times New Roman"/>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万元，较上年决算数增加0.16万元，增长100.00%，主要原因是</w:t>
      </w:r>
      <w:r>
        <w:rPr>
          <w:rFonts w:hint="default"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2022年度本单位与部门合并编报决算，按照市财政局要求，2023年独立编报决算，故与上年对比</w:t>
      </w:r>
      <w:r>
        <w:rPr>
          <w:rFonts w:hint="eastAsia" w:ascii="Times New Roman" w:hAnsi="Times New Roman" w:eastAsia="方正仿宋_GBK" w:cs="Times New Roman"/>
          <w:color w:val="auto"/>
          <w:sz w:val="32"/>
          <w:szCs w:val="32"/>
          <w:shd w:val="clear" w:color="auto" w:fill="FFFFFF"/>
          <w:lang w:val="en-US" w:eastAsia="zh-CN"/>
        </w:rPr>
        <w:t>增长100.00%</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0.28</w:t>
      </w:r>
      <w:r>
        <w:rPr>
          <w:rFonts w:hint="default" w:ascii="Times New Roman" w:hAnsi="Times New Roman" w:eastAsia="方正仿宋_GBK" w:cs="Times New Roman"/>
          <w:sz w:val="32"/>
          <w:szCs w:val="32"/>
          <w:shd w:val="clear" w:color="auto" w:fill="FFFFFF"/>
        </w:rPr>
        <w:t>万元，较上年决算数增加0.28万元，增长100.00%，主要原因是</w:t>
      </w:r>
      <w:r>
        <w:rPr>
          <w:rFonts w:hint="default"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2022年度本单位与部门合并编报决算，按照市财政局要求，2023年独立编报决算，故与上年对比</w:t>
      </w:r>
      <w:r>
        <w:rPr>
          <w:rFonts w:hint="eastAsia" w:ascii="Times New Roman" w:hAnsi="Times New Roman" w:eastAsia="方正仿宋_GBK" w:cs="Times New Roman"/>
          <w:color w:val="auto"/>
          <w:sz w:val="32"/>
          <w:szCs w:val="32"/>
          <w:shd w:val="clear" w:color="auto" w:fill="FFFFFF"/>
          <w:lang w:val="en-US" w:eastAsia="zh-CN"/>
        </w:rPr>
        <w:t>增长100.00%</w:t>
      </w:r>
      <w:r>
        <w:rPr>
          <w:rFonts w:hint="default" w:ascii="Times New Roman" w:hAnsi="Times New Roman" w:eastAsia="方正仿宋_GBK" w:cs="Times New Roman"/>
          <w:color w:val="auto"/>
          <w:sz w:val="32"/>
          <w:szCs w:val="32"/>
          <w:shd w:val="clear" w:color="auto" w:fill="FFFFFF"/>
          <w:lang w:val="en-US" w:eastAsia="zh-CN"/>
        </w:rPr>
        <w:t>。</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w:t>
      </w:r>
      <w:r>
        <w:rPr>
          <w:rFonts w:hint="default" w:ascii="Times New Roman" w:hAnsi="Times New Roman" w:eastAsia="方正仿宋_GBK" w:cs="Times New Roman"/>
          <w:color w:val="auto"/>
          <w:sz w:val="32"/>
          <w:szCs w:val="32"/>
          <w:lang w:eastAsia="zh-CN"/>
        </w:rPr>
        <w:t>0</w:t>
      </w:r>
      <w:r>
        <w:rPr>
          <w:rFonts w:hint="eastAsia"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shd w:val="clear" w:color="auto" w:fill="FFFFFF"/>
        </w:rPr>
        <w:t>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outlineLvl w:val="9"/>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8"/>
        <w:keepNext w:val="0"/>
        <w:keepLines w:val="0"/>
        <w:pageBreakBefore w:val="0"/>
        <w:numPr>
          <w:ilvl w:val="0"/>
          <w:numId w:val="1"/>
        </w:numPr>
        <w:shd w:val="clear" w:color="auto" w:fill="FFFFFF"/>
        <w:kinsoku/>
        <w:wordWrap/>
        <w:overflowPunct/>
        <w:bidi w:val="0"/>
        <w:adjustRightInd/>
        <w:spacing w:beforeAutospacing="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（一）单位自评情况</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color w:val="auto"/>
          <w:sz w:val="32"/>
          <w:szCs w:val="32"/>
          <w:shd w:val="clear" w:color="auto" w:fill="FFFFFF"/>
          <w:lang w:eastAsia="zh-CN"/>
        </w:rPr>
        <w:t>我单位无项目支出，故无单位自评。</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yellow"/>
          <w:shd w:val="clear" w:color="auto" w:fill="FFFFFF"/>
        </w:rPr>
      </w:pPr>
      <w:r>
        <w:rPr>
          <w:rFonts w:hint="eastAsia" w:ascii="方正楷体_GBK" w:hAnsi="方正楷体_GBK" w:eastAsia="方正楷体_GBK" w:cs="方正楷体_GBK"/>
          <w:b w:val="0"/>
          <w:bCs w:val="0"/>
          <w:color w:val="auto"/>
          <w:sz w:val="32"/>
          <w:szCs w:val="32"/>
          <w:shd w:val="clear" w:color="auto" w:fill="FFFFFF"/>
        </w:rPr>
        <w:t>（二）单位绩效评价情况</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我单位未组织开展绩效评价。</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color w:val="auto"/>
          <w:sz w:val="32"/>
          <w:szCs w:val="32"/>
          <w:highlight w:val="none"/>
          <w:shd w:val="clear" w:color="auto" w:fill="FFFFFF"/>
        </w:rPr>
      </w:pPr>
      <w:r>
        <w:rPr>
          <w:rFonts w:hint="eastAsia" w:ascii="方正楷体_GBK" w:hAnsi="方正楷体_GBK" w:eastAsia="方正楷体_GBK" w:cs="方正楷体_GBK"/>
          <w:b w:val="0"/>
          <w:bCs w:val="0"/>
          <w:color w:val="auto"/>
          <w:sz w:val="32"/>
          <w:szCs w:val="32"/>
          <w:highlight w:val="none"/>
          <w:shd w:val="clear" w:color="auto" w:fill="FFFFFF"/>
        </w:rPr>
        <w:t>（三）财政绩效评价情况</w:t>
      </w:r>
    </w:p>
    <w:p>
      <w:pPr>
        <w:pStyle w:val="13"/>
        <w:keepNext w:val="0"/>
        <w:keepLines w:val="0"/>
        <w:pageBreakBefore w:val="0"/>
        <w:kinsoku/>
        <w:wordWrap/>
        <w:overflowPunct/>
        <w:autoSpaceDE w:val="0"/>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eastAsia" w:ascii="Times New Roman" w:hAnsi="Times New Roman" w:eastAsia="方正仿宋_GBK" w:cs="Times New Roman"/>
          <w:b w:val="0"/>
          <w:bCs w:val="0"/>
          <w:color w:val="auto"/>
          <w:sz w:val="32"/>
          <w:szCs w:val="32"/>
          <w:highlight w:val="none"/>
          <w:shd w:val="clear" w:color="auto" w:fill="FFFFFF"/>
          <w:lang w:eastAsia="zh-CN"/>
        </w:rPr>
        <w:t>县</w:t>
      </w:r>
      <w:r>
        <w:rPr>
          <w:rFonts w:hint="default" w:ascii="Times New Roman" w:hAnsi="Times New Roman" w:eastAsia="方正仿宋_GBK" w:cs="Times New Roman"/>
          <w:b w:val="0"/>
          <w:bCs w:val="0"/>
          <w:color w:val="auto"/>
          <w:sz w:val="32"/>
          <w:szCs w:val="32"/>
          <w:highlight w:val="none"/>
          <w:shd w:val="clear" w:color="auto" w:fill="FFFFFF"/>
        </w:rPr>
        <w:t>财政局未委托第三方对我单位开展绩效评价。</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3" w:firstLineChars="200"/>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Style w:val="10"/>
          <w:rFonts w:hint="eastAsia" w:ascii="方正黑体_GBK" w:hAnsi="方正黑体_GBK" w:eastAsia="方正黑体_GBK" w:cs="方正黑体_GBK"/>
          <w:b w:val="0"/>
          <w:bCs/>
          <w:sz w:val="32"/>
          <w:szCs w:val="32"/>
          <w:shd w:val="clear" w:color="auto" w:fill="FFFFFF"/>
        </w:rPr>
        <w:t>六、专业名词解释</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bookmarkStart w:id="0" w:name="_GoBack"/>
      <w:bookmarkEnd w:id="0"/>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（十二）</w:t>
      </w:r>
      <w:r>
        <w:rPr>
          <w:rStyle w:val="10"/>
          <w:rFonts w:hint="eastAsia" w:ascii="方正楷体_GBK" w:hAnsi="方正楷体_GBK" w:eastAsia="方正楷体_GBK" w:cs="方正楷体_GBK"/>
          <w:b w:val="0"/>
          <w:bCs/>
          <w:sz w:val="32"/>
          <w:szCs w:val="32"/>
          <w:shd w:val="clear" w:color="auto" w:fill="FFFFFF"/>
          <w:lang w:eastAsia="zh-CN"/>
        </w:rPr>
        <w:t>“三公”</w:t>
      </w:r>
      <w:r>
        <w:rPr>
          <w:rStyle w:val="10"/>
          <w:rFonts w:hint="eastAsia" w:ascii="方正楷体_GBK" w:hAnsi="方正楷体_GBK" w:eastAsia="方正楷体_GBK" w:cs="方正楷体_GBK"/>
          <w:b w:val="0"/>
          <w:bCs/>
          <w:sz w:val="32"/>
          <w:szCs w:val="32"/>
          <w:shd w:val="clear" w:color="auto" w:fill="FFFFFF"/>
        </w:rPr>
        <w:t>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N/>
        <w:bidi w:val="0"/>
        <w:adjustRightInd/>
        <w:snapToGrid/>
        <w:spacing w:beforeAutospacing="0" w:afterAutospacing="0" w:line="560" w:lineRule="exact"/>
        <w:ind w:firstLine="640" w:firstLineChars="200"/>
        <w:textAlignment w:val="auto"/>
        <w:outlineLvl w:val="9"/>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13"/>
        <w:keepNext w:val="0"/>
        <w:keepLines w:val="0"/>
        <w:pageBreakBefore w:val="0"/>
        <w:widowControl/>
        <w:kinsoku/>
        <w:wordWrap w:val="0"/>
        <w:overflowPunct/>
        <w:topLinePunct w:val="0"/>
        <w:autoSpaceDE w:val="0"/>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eastAsia="zh-CN"/>
        </w:rPr>
        <w:t>刘静</w:t>
      </w:r>
      <w:r>
        <w:rPr>
          <w:rFonts w:hint="default" w:ascii="Times New Roman" w:hAnsi="Times New Roman" w:eastAsia="方正仿宋_GBK" w:cs="Times New Roman"/>
          <w:color w:val="auto"/>
          <w:sz w:val="32"/>
          <w:szCs w:val="32"/>
          <w:shd w:val="clear" w:color="auto" w:fill="FFFFFF"/>
          <w:lang w:val="en-US" w:eastAsia="zh-CN"/>
        </w:rPr>
        <w:t>023-76629515。</w:t>
      </w:r>
    </w:p>
    <w:p>
      <w:pPr>
        <w:pStyle w:val="13"/>
        <w:keepNext w:val="0"/>
        <w:keepLines w:val="0"/>
        <w:pageBreakBefore w:val="0"/>
        <w:widowControl/>
        <w:kinsoku/>
        <w:wordWrap w:val="0"/>
        <w:overflowPunct/>
        <w:topLinePunct w:val="0"/>
        <w:autoSpaceDE w:val="0"/>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Times New Roman"/>
          <w:color w:val="auto"/>
          <w:sz w:val="32"/>
          <w:szCs w:val="32"/>
          <w:shd w:val="clear" w:color="auto" w:fill="FFFFFF"/>
          <w:lang w:val="en-US" w:eastAsia="zh-CN"/>
        </w:rPr>
        <w:sectPr>
          <w:footerReference r:id="rId3" w:type="default"/>
          <w:pgSz w:w="11915" w:h="16840"/>
          <w:pgMar w:top="2098" w:right="1474" w:bottom="1984" w:left="1588" w:header="851" w:footer="992" w:gutter="0"/>
          <w:pgNumType w:fmt="numberInDash"/>
          <w:cols w:space="720" w:num="1"/>
          <w:docGrid w:type="lines" w:linePitch="312" w:charSpace="0"/>
        </w:sectPr>
      </w:pP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重庆市秀山土家族苗族自治县峨溶镇财政办公室</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65.87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重庆市秀山土家族苗族自治县峨溶镇财政办公室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重庆市秀山土家族苗族自治县峨溶镇财政办公室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重庆市秀山土家族苗族自治县峨溶镇财政办公室</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65.87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重庆市秀山土家族苗族自治县峨溶镇财政办公室</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57.53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重庆市秀山土家族苗族自治县峨溶镇财政办公室</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重庆市秀山土家族苗族自治县峨溶镇财政办公室</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w:t>
            </w:r>
            <w:r>
              <w:rPr>
                <w:rFonts w:hint="eastAsia" w:cs="宋体"/>
                <w:color w:val="000000"/>
                <w:sz w:val="20"/>
                <w:szCs w:val="20"/>
                <w:lang w:eastAsia="zh-CN"/>
              </w:rPr>
              <w:t>“三公”</w:t>
            </w:r>
            <w:r>
              <w:rPr>
                <w:rFonts w:cs="宋体"/>
                <w:color w:val="000000"/>
                <w:sz w:val="20"/>
                <w:szCs w:val="20"/>
              </w:rPr>
              <w:t>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8.35</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8.35</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0.16</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0.28</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w:t>
      </w:r>
      <w:r>
        <w:rPr>
          <w:rFonts w:hint="eastAsia" w:cs="宋体"/>
          <w:sz w:val="20"/>
          <w:szCs w:val="20"/>
          <w:lang w:eastAsia="zh-CN"/>
        </w:rPr>
        <w:t>“三公”</w:t>
      </w:r>
      <w:r>
        <w:rPr>
          <w:rFonts w:cs="宋体"/>
          <w:sz w:val="20"/>
          <w:szCs w:val="20"/>
        </w:rPr>
        <w:t>经费支出预决算情况。其中，预算数为</w:t>
      </w:r>
      <w:r>
        <w:rPr>
          <w:rFonts w:hint="eastAsia" w:cs="宋体"/>
          <w:sz w:val="20"/>
          <w:szCs w:val="20"/>
          <w:lang w:eastAsia="zh-CN"/>
        </w:rPr>
        <w:t>“三公”</w:t>
      </w:r>
      <w:r>
        <w:rPr>
          <w:rFonts w:cs="宋体"/>
          <w:sz w:val="20"/>
          <w:szCs w:val="20"/>
        </w:rPr>
        <w:t>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-441960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rPr>
                              <w:sz w:val="18"/>
                              <w:szCs w:val="18"/>
                            </w:rPr>
                            <w:fldChar w:fldCharType="begin"/>
                          </w:r>
                          <w:r>
                            <w:rPr>
                              <w:sz w:val="18"/>
                              <w:szCs w:val="18"/>
                            </w:rPr>
                            <w:instrText xml:space="preserve"> PAGE  \* MERGEFORMAT </w:instrText>
                          </w:r>
                          <w:r>
                            <w:rPr>
                              <w:sz w:val="18"/>
                              <w:szCs w:val="18"/>
                            </w:rPr>
                            <w:fldChar w:fldCharType="separate"/>
                          </w:r>
                          <w:r>
                            <w:rPr>
                              <w:rFonts w:hint="default"/>
                              <w:sz w:val="18"/>
                              <w:szCs w:val="18"/>
                            </w:rPr>
                            <w:t>- 23 -</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8pt;height:144pt;width:144pt;mso-position-horizontal:center;mso-position-horizontal-relative:margin;mso-wrap-style:none;z-index:251661312;mso-width-relative:page;mso-height-relative:page;" filled="f" stroked="f" coordsize="21600,21600" o:gfxdata="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fLdW7WAAAACAEAAA8A&#10;AAAAAAAAAQAgAAAAIgAAAGRycy9kb3ducmV2LnhtbFBLAQIUABQAAAAIAIdO4kArqOpyGQIAACEE&#10;AAAOAAAAAAAAAAEAIAAAACUBAABkcnMvZTJvRG9jLnhtbFBLBQYAAAAABgAGAFkBAACwBQAAAAA=&#10;">
              <v:fill on="f" focussize="0,0"/>
              <v:stroke on="f" weight="0.5pt"/>
              <v:imagedata o:title=""/>
              <o:lock v:ext="edit" aspectratio="f"/>
              <v:textbox inset="0mm,0mm,0mm,0mm" style="mso-fit-shape-to-text:t;">
                <w:txbxContent>
                  <w:p>
                    <w:pPr>
                      <w:pStyle w:val="5"/>
                      <w:rPr>
                        <w:rFonts w:hint="default"/>
                      </w:rPr>
                    </w:pPr>
                    <w:r>
                      <w:rPr>
                        <w:sz w:val="18"/>
                        <w:szCs w:val="18"/>
                      </w:rPr>
                      <w:fldChar w:fldCharType="begin"/>
                    </w:r>
                    <w:r>
                      <w:rPr>
                        <w:sz w:val="18"/>
                        <w:szCs w:val="18"/>
                      </w:rPr>
                      <w:instrText xml:space="preserve"> PAGE  \* MERGEFORMAT </w:instrText>
                    </w:r>
                    <w:r>
                      <w:rPr>
                        <w:sz w:val="18"/>
                        <w:szCs w:val="18"/>
                      </w:rPr>
                      <w:fldChar w:fldCharType="separate"/>
                    </w:r>
                    <w:r>
                      <w:rPr>
                        <w:rFonts w:hint="default"/>
                        <w:sz w:val="18"/>
                        <w:szCs w:val="18"/>
                      </w:rPr>
                      <w:t>- 23 -</w:t>
                    </w:r>
                    <w:r>
                      <w:rPr>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MDg1NmU0YmQ1MDgxODUzYmNmYTgzZmMyZDJmYTkifQ=="/>
  </w:docVars>
  <w:rsids>
    <w:rsidRoot w:val="00172A27"/>
    <w:rsid w:val="002B254B"/>
    <w:rsid w:val="00550ABE"/>
    <w:rsid w:val="00770383"/>
    <w:rsid w:val="007819D4"/>
    <w:rsid w:val="007B419D"/>
    <w:rsid w:val="009B67B8"/>
    <w:rsid w:val="009D2B67"/>
    <w:rsid w:val="00B03CCD"/>
    <w:rsid w:val="00C20C3E"/>
    <w:rsid w:val="00F73F90"/>
    <w:rsid w:val="01474EBF"/>
    <w:rsid w:val="01F3521E"/>
    <w:rsid w:val="028B2B80"/>
    <w:rsid w:val="03B87EA0"/>
    <w:rsid w:val="03E3214F"/>
    <w:rsid w:val="03F841E5"/>
    <w:rsid w:val="044C50BA"/>
    <w:rsid w:val="05BC6D49"/>
    <w:rsid w:val="06194FF1"/>
    <w:rsid w:val="063F5ACB"/>
    <w:rsid w:val="068C4EF3"/>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3B17B1"/>
    <w:rsid w:val="0B9335CE"/>
    <w:rsid w:val="0BF2311A"/>
    <w:rsid w:val="0C7927C4"/>
    <w:rsid w:val="0C9B098C"/>
    <w:rsid w:val="0D673E11"/>
    <w:rsid w:val="0DDA54E4"/>
    <w:rsid w:val="0E3A5F83"/>
    <w:rsid w:val="0EB30AC3"/>
    <w:rsid w:val="0F836721"/>
    <w:rsid w:val="0FA25D96"/>
    <w:rsid w:val="107B59E5"/>
    <w:rsid w:val="10EC0126"/>
    <w:rsid w:val="10F70B9A"/>
    <w:rsid w:val="111445C7"/>
    <w:rsid w:val="114278C6"/>
    <w:rsid w:val="1158083A"/>
    <w:rsid w:val="11643A4B"/>
    <w:rsid w:val="11ED0F98"/>
    <w:rsid w:val="11F03528"/>
    <w:rsid w:val="122F1224"/>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784E00"/>
    <w:rsid w:val="1ECF0A66"/>
    <w:rsid w:val="1EF67CA4"/>
    <w:rsid w:val="1F020D3A"/>
    <w:rsid w:val="1F2C5189"/>
    <w:rsid w:val="1F4B0B02"/>
    <w:rsid w:val="1FBB35CD"/>
    <w:rsid w:val="1FCD26AF"/>
    <w:rsid w:val="20642787"/>
    <w:rsid w:val="21245DC0"/>
    <w:rsid w:val="213F65DD"/>
    <w:rsid w:val="21556F04"/>
    <w:rsid w:val="22403BD3"/>
    <w:rsid w:val="24B92327"/>
    <w:rsid w:val="24C14514"/>
    <w:rsid w:val="2533755C"/>
    <w:rsid w:val="25791755"/>
    <w:rsid w:val="26396DF4"/>
    <w:rsid w:val="27167136"/>
    <w:rsid w:val="271B442C"/>
    <w:rsid w:val="27B23302"/>
    <w:rsid w:val="29310A5F"/>
    <w:rsid w:val="29B95F9C"/>
    <w:rsid w:val="29C37A35"/>
    <w:rsid w:val="2A076083"/>
    <w:rsid w:val="2A73162E"/>
    <w:rsid w:val="2B167953"/>
    <w:rsid w:val="2B200583"/>
    <w:rsid w:val="2B8209DE"/>
    <w:rsid w:val="2C636760"/>
    <w:rsid w:val="2C6762A3"/>
    <w:rsid w:val="2FBD6CF4"/>
    <w:rsid w:val="2FCA4B37"/>
    <w:rsid w:val="2FE029D7"/>
    <w:rsid w:val="2FF06E00"/>
    <w:rsid w:val="30076121"/>
    <w:rsid w:val="30586FEC"/>
    <w:rsid w:val="308F6342"/>
    <w:rsid w:val="315F0B22"/>
    <w:rsid w:val="31D84415"/>
    <w:rsid w:val="32285F6F"/>
    <w:rsid w:val="32485172"/>
    <w:rsid w:val="32770556"/>
    <w:rsid w:val="329C0913"/>
    <w:rsid w:val="32AA0460"/>
    <w:rsid w:val="3337290D"/>
    <w:rsid w:val="33E31118"/>
    <w:rsid w:val="33EF7674"/>
    <w:rsid w:val="342D7BC6"/>
    <w:rsid w:val="352930DB"/>
    <w:rsid w:val="35491635"/>
    <w:rsid w:val="35573069"/>
    <w:rsid w:val="355F6038"/>
    <w:rsid w:val="358C217E"/>
    <w:rsid w:val="36C9128A"/>
    <w:rsid w:val="37841E99"/>
    <w:rsid w:val="37BF1123"/>
    <w:rsid w:val="383C3F15"/>
    <w:rsid w:val="38BE4696"/>
    <w:rsid w:val="390528B0"/>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A3196"/>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CA0EE8"/>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DB52B8"/>
    <w:rsid w:val="50F06B6E"/>
    <w:rsid w:val="51D21804"/>
    <w:rsid w:val="520808BB"/>
    <w:rsid w:val="52234D33"/>
    <w:rsid w:val="522F6E0C"/>
    <w:rsid w:val="52463BA1"/>
    <w:rsid w:val="52F163D4"/>
    <w:rsid w:val="531A2DB4"/>
    <w:rsid w:val="53B3005D"/>
    <w:rsid w:val="53C0244D"/>
    <w:rsid w:val="53DD4D4E"/>
    <w:rsid w:val="53E578CE"/>
    <w:rsid w:val="541330F0"/>
    <w:rsid w:val="54272666"/>
    <w:rsid w:val="543B029D"/>
    <w:rsid w:val="54861779"/>
    <w:rsid w:val="552256E1"/>
    <w:rsid w:val="5540095B"/>
    <w:rsid w:val="554E5773"/>
    <w:rsid w:val="555A3CBC"/>
    <w:rsid w:val="5582012B"/>
    <w:rsid w:val="558E4E05"/>
    <w:rsid w:val="55BE2E85"/>
    <w:rsid w:val="56530F5D"/>
    <w:rsid w:val="567700D3"/>
    <w:rsid w:val="56EC646D"/>
    <w:rsid w:val="56FF7E9E"/>
    <w:rsid w:val="578867FC"/>
    <w:rsid w:val="5842572D"/>
    <w:rsid w:val="5A3B59D6"/>
    <w:rsid w:val="5AD134D8"/>
    <w:rsid w:val="5C263CE4"/>
    <w:rsid w:val="5C5D2777"/>
    <w:rsid w:val="5CF66BF3"/>
    <w:rsid w:val="5D290C69"/>
    <w:rsid w:val="5D993291"/>
    <w:rsid w:val="5F2D4A41"/>
    <w:rsid w:val="5FF33A56"/>
    <w:rsid w:val="60C74F6C"/>
    <w:rsid w:val="61025A59"/>
    <w:rsid w:val="613D5BBC"/>
    <w:rsid w:val="61536C39"/>
    <w:rsid w:val="62944DD7"/>
    <w:rsid w:val="6319381F"/>
    <w:rsid w:val="63C25DC5"/>
    <w:rsid w:val="63C62057"/>
    <w:rsid w:val="63D07933"/>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E20486"/>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4062B5"/>
    <w:rsid w:val="7D7406BB"/>
    <w:rsid w:val="7DE94331"/>
    <w:rsid w:val="7E3F27A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beforeAutospacing="0" w:after="0" w:afterAutospacing="0"/>
      <w:ind w:left="0" w:right="0"/>
      <w:jc w:val="center"/>
    </w:pPr>
    <w:rPr>
      <w:rFonts w:hint="eastAsia" w:ascii="宋体" w:hAnsi="宋体" w:eastAsia="宋体" w:cs="宋体"/>
      <w:b/>
      <w:kern w:val="0"/>
      <w:sz w:val="44"/>
      <w:szCs w:val="44"/>
      <w:lang w:val="en-US" w:eastAsia="zh-CN" w:bidi="ar"/>
    </w:rPr>
  </w:style>
  <w:style w:type="paragraph" w:styleId="3">
    <w:name w:val="Date"/>
    <w:basedOn w:val="1"/>
    <w:next w:val="1"/>
    <w:qFormat/>
    <w:uiPriority w:val="99"/>
    <w:pPr>
      <w:spacing w:before="0" w:beforeAutospacing="0" w:after="0" w:afterAutospacing="0"/>
      <w:ind w:left="100" w:leftChars="25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Default"/>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7913</Words>
  <Characters>9340</Characters>
  <Lines>190</Lines>
  <Paragraphs>53</Paragraphs>
  <TotalTime>0</TotalTime>
  <ScaleCrop>false</ScaleCrop>
  <LinksUpToDate>false</LinksUpToDate>
  <CharactersWithSpaces>10335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刘静</cp:lastModifiedBy>
  <dcterms:modified xsi:type="dcterms:W3CDTF">2024-09-29T09:33:50Z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