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rPr>
        <w:t>秀山土家族苗族自治县峨溶镇农业服务中心（特色产业发展中心）</w:t>
      </w:r>
      <w:r>
        <w:rPr>
          <w:rFonts w:hint="eastAsia" w:ascii="方正小标宋_GBK" w:hAnsi="方正小标宋_GBK" w:eastAsia="方正小标宋_GBK" w:cs="方正小标宋_GBK"/>
          <w:b w:val="0"/>
          <w:bCs w:val="0"/>
          <w:sz w:val="44"/>
          <w:szCs w:val="44"/>
          <w:shd w:val="clear" w:color="auto" w:fill="FFFFFF"/>
        </w:rPr>
        <w:t>2023年度决算公开说明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val="0"/>
          <w:sz w:val="44"/>
          <w:szCs w:val="44"/>
          <w:shd w:val="clear" w:color="auto" w:fill="FFFFFF"/>
        </w:rPr>
      </w:pP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color w:val="auto"/>
          <w:sz w:val="32"/>
          <w:szCs w:val="32"/>
          <w:highlight w:val="none"/>
          <w:shd w:val="clear" w:color="auto" w:fill="FFFFFF"/>
        </w:rPr>
      </w:pPr>
      <w:r>
        <w:rPr>
          <w:rStyle w:val="10"/>
          <w:rFonts w:hint="eastAsia" w:ascii="方正黑体_GBK" w:hAnsi="方正黑体_GBK" w:eastAsia="方正黑体_GBK" w:cs="方正黑体_GBK"/>
          <w:b w:val="0"/>
          <w:bCs w:val="0"/>
          <w:color w:val="auto"/>
          <w:sz w:val="32"/>
          <w:szCs w:val="32"/>
          <w:highlight w:val="none"/>
          <w:shd w:val="clear" w:color="auto" w:fill="FFFFFF"/>
        </w:rPr>
        <w:t>一、单位基本情况</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kern w:val="2"/>
          <w:sz w:val="32"/>
          <w:szCs w:val="22"/>
          <w:highlight w:val="none"/>
          <w:u w:val="none"/>
          <w:lang w:val="en-US" w:eastAsia="zh-CN" w:bidi="ar-SA"/>
        </w:rPr>
      </w:pPr>
      <w:r>
        <w:rPr>
          <w:rFonts w:hint="default" w:ascii="Times New Roman" w:hAnsi="Times New Roman" w:eastAsia="方正仿宋_GBK" w:cs="Times New Roman"/>
          <w:color w:val="auto"/>
          <w:kern w:val="2"/>
          <w:sz w:val="32"/>
          <w:szCs w:val="22"/>
          <w:highlight w:val="none"/>
          <w:u w:val="none"/>
          <w:lang w:val="en-US" w:eastAsia="zh-CN" w:bidi="ar-SA"/>
        </w:rPr>
        <w:t>承担农技、农机、畜牧、水利水产等方面的技术推广、信息服务、水土保持、灾害防治、土地规模经营管理、农产品质量安全监管，农业综合服务等工作以及承担本乡镇特色产业项目的发展规划拟订并组织实施等服务职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0" w:beforeAutospacing="0" w:after="0" w:afterAutospacing="0" w:line="560" w:lineRule="exact"/>
        <w:ind w:left="0" w:right="0" w:firstLine="640" w:firstLineChars="200"/>
        <w:jc w:val="both"/>
        <w:textAlignment w:val="auto"/>
        <w:rPr>
          <w:rStyle w:val="10"/>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本单位</w:t>
      </w:r>
      <w:r>
        <w:rPr>
          <w:rFonts w:hint="default" w:ascii="Times New Roman" w:hAnsi="Times New Roman" w:eastAsia="方正仿宋_GBK" w:cs="Times New Roman"/>
          <w:i w:val="0"/>
          <w:iCs w:val="0"/>
          <w:caps w:val="0"/>
          <w:color w:val="auto"/>
          <w:spacing w:val="0"/>
          <w:sz w:val="32"/>
          <w:szCs w:val="32"/>
          <w:highlight w:val="none"/>
          <w:shd w:val="clear" w:fill="FFFFFF"/>
        </w:rPr>
        <w:t>是秀山土家族苗族自治县</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峨溶</w:t>
      </w:r>
      <w:r>
        <w:rPr>
          <w:rFonts w:hint="default" w:ascii="Times New Roman" w:hAnsi="Times New Roman" w:eastAsia="方正仿宋_GBK" w:cs="Times New Roman"/>
          <w:i w:val="0"/>
          <w:iCs w:val="0"/>
          <w:caps w:val="0"/>
          <w:color w:val="auto"/>
          <w:spacing w:val="0"/>
          <w:sz w:val="32"/>
          <w:szCs w:val="32"/>
          <w:highlight w:val="none"/>
          <w:shd w:val="clear" w:fill="FFFFFF"/>
        </w:rPr>
        <w:t>镇人民政府</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统一设置的事业站所之一，单位构成为农业服务中心（特色产业发展中心）</w:t>
      </w:r>
      <w:r>
        <w:rPr>
          <w:rFonts w:hint="default" w:ascii="Times New Roman" w:hAnsi="Times New Roman" w:eastAsia="方正仿宋_GBK" w:cs="Times New Roman"/>
          <w:color w:val="auto"/>
          <w:sz w:val="32"/>
          <w:szCs w:val="32"/>
          <w:highlight w:val="none"/>
          <w:shd w:val="clear" w:color="auto" w:fill="FFFFFF"/>
          <w:lang w:eastAsia="zh-CN"/>
        </w:rPr>
        <w:t>，无下属机构</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（一）收入支出决算总体情况说明</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2023年度收入总计440.52万元，支出总计</w:t>
      </w:r>
      <w:r>
        <w:rPr>
          <w:rFonts w:hint="default" w:ascii="Times New Roman" w:hAnsi="Times New Roman" w:eastAsia="方正仿宋_GBK" w:cs="Times New Roman"/>
          <w:color w:val="auto"/>
          <w:sz w:val="32"/>
          <w:szCs w:val="32"/>
          <w:highlight w:val="none"/>
        </w:rPr>
        <w:t>440.52</w:t>
      </w:r>
      <w:r>
        <w:rPr>
          <w:rFonts w:hint="default" w:ascii="Times New Roman" w:hAnsi="Times New Roman" w:eastAsia="方正仿宋_GBK" w:cs="Times New Roman"/>
          <w:color w:val="auto"/>
          <w:sz w:val="32"/>
          <w:szCs w:val="32"/>
          <w:highlight w:val="none"/>
          <w:shd w:val="clear" w:color="auto" w:fill="FFFFFF"/>
        </w:rPr>
        <w:t>万元。收支较上年决算数增加440.52万元，增长100.00%，主要原因是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2022年度本单位与部门合并编报决算，按照市财政局要求，2023年独立编报决算，故与上年对比增长100</w:t>
      </w:r>
      <w:r>
        <w:rPr>
          <w:rFonts w:hint="eastAsia" w:ascii="Times New Roman" w:hAnsi="Times New Roman" w:eastAsia="方正仿宋_GBK" w:cs="Times New Roman"/>
          <w:b w:val="0"/>
          <w:bCs/>
          <w:color w:val="auto"/>
          <w:kern w:val="0"/>
          <w:sz w:val="32"/>
          <w:szCs w:val="32"/>
          <w:highlight w:val="none"/>
          <w:shd w:val="clear" w:color="auto" w:fill="FFFFFF"/>
          <w:lang w:val="en-US" w:eastAsia="zh-CN" w:bidi="ar"/>
        </w:rPr>
        <w:t>.00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2023年度收入合计440.52万元，较上年决算数增加440.52万元，增长100.00%，主要原因是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2022年度本单位与部门合并编报决算，按照市财政局要求，2023年独立编报决算，故与上年对比增长100</w:t>
      </w:r>
      <w:r>
        <w:rPr>
          <w:rFonts w:hint="eastAsia" w:ascii="Times New Roman" w:hAnsi="Times New Roman" w:eastAsia="方正仿宋_GBK" w:cs="Times New Roman"/>
          <w:b w:val="0"/>
          <w:bCs/>
          <w:color w:val="auto"/>
          <w:kern w:val="0"/>
          <w:sz w:val="32"/>
          <w:szCs w:val="32"/>
          <w:highlight w:val="none"/>
          <w:shd w:val="clear" w:color="auto" w:fill="FFFFFF"/>
          <w:lang w:val="en-US" w:eastAsia="zh-CN" w:bidi="ar"/>
        </w:rPr>
        <w:t>.00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440.52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440.52</w:t>
      </w:r>
      <w:r>
        <w:rPr>
          <w:rFonts w:hint="default" w:ascii="Times New Roman" w:hAnsi="Times New Roman" w:eastAsia="方正仿宋_GBK" w:cs="Times New Roman"/>
          <w:color w:val="auto"/>
          <w:sz w:val="32"/>
          <w:szCs w:val="32"/>
          <w:highlight w:val="none"/>
          <w:shd w:val="clear" w:color="auto" w:fill="FFFFFF"/>
        </w:rPr>
        <w:t>万元，较上年决算数增加440.52万元，增长100.00%，主要原因是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2022年度本单位与部门合并编报决算，按照市财政局要求，2023年独立编报决算，故与上年对比增长100</w:t>
      </w:r>
      <w:r>
        <w:rPr>
          <w:rFonts w:hint="eastAsia" w:ascii="Times New Roman" w:hAnsi="Times New Roman" w:eastAsia="方正仿宋_GBK" w:cs="Times New Roman"/>
          <w:b w:val="0"/>
          <w:bCs/>
          <w:color w:val="auto"/>
          <w:kern w:val="0"/>
          <w:sz w:val="32"/>
          <w:szCs w:val="32"/>
          <w:highlight w:val="none"/>
          <w:shd w:val="clear" w:color="auto" w:fill="FFFFFF"/>
          <w:lang w:val="en-US" w:eastAsia="zh-CN" w:bidi="ar"/>
        </w:rPr>
        <w:t>.00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182.68</w:t>
      </w:r>
      <w:r>
        <w:rPr>
          <w:rFonts w:hint="default" w:ascii="Times New Roman" w:hAnsi="Times New Roman" w:eastAsia="方正仿宋_GBK" w:cs="Times New Roman"/>
          <w:color w:val="auto"/>
          <w:sz w:val="32"/>
          <w:szCs w:val="32"/>
          <w:highlight w:val="none"/>
          <w:shd w:val="clear" w:color="auto" w:fill="FFFFFF"/>
        </w:rPr>
        <w:t>万元，占41.47%；项目支出</w:t>
      </w:r>
      <w:r>
        <w:rPr>
          <w:rFonts w:hint="default" w:ascii="Times New Roman" w:hAnsi="Times New Roman" w:eastAsia="方正仿宋_GBK" w:cs="Times New Roman"/>
          <w:color w:val="auto"/>
          <w:sz w:val="32"/>
          <w:szCs w:val="32"/>
          <w:highlight w:val="none"/>
        </w:rPr>
        <w:t>257.84</w:t>
      </w:r>
      <w:r>
        <w:rPr>
          <w:rFonts w:hint="default" w:ascii="Times New Roman" w:hAnsi="Times New Roman" w:eastAsia="方正仿宋_GBK" w:cs="Times New Roman"/>
          <w:color w:val="auto"/>
          <w:sz w:val="32"/>
          <w:szCs w:val="32"/>
          <w:highlight w:val="none"/>
          <w:shd w:val="clear" w:color="auto" w:fill="FFFFFF"/>
        </w:rPr>
        <w:t>万元，占58.53%；经营支出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val="en-US" w:eastAsia="zh-CN"/>
        </w:rPr>
        <w:t xml:space="preserve">  </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kern w:val="0"/>
          <w:sz w:val="32"/>
          <w:szCs w:val="32"/>
          <w:highlight w:val="none"/>
          <w:shd w:val="clear" w:color="auto" w:fill="FFFFFF"/>
          <w:lang w:bidi="ar"/>
        </w:rPr>
        <w:t>2022年度本单位与部门合并编报决算，按照市财政局要求，2023年度独立编报决算，本年度财政收支平衡零结转结余。</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2023年度财政拨款收、支总计440.52万元。与2022年相比，财政拨款收、支总计各增加440.52万元，增长100.00%。主要原因是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kinsoku/>
        <w:wordWrap w:val="0"/>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440.52</w:t>
      </w:r>
      <w:r>
        <w:rPr>
          <w:rFonts w:hint="default" w:ascii="Times New Roman" w:hAnsi="Times New Roman" w:eastAsia="方正仿宋_GBK" w:cs="Times New Roman"/>
          <w:color w:val="auto"/>
          <w:sz w:val="32"/>
          <w:szCs w:val="32"/>
          <w:highlight w:val="none"/>
          <w:shd w:val="clear" w:color="auto" w:fill="FFFFFF"/>
        </w:rPr>
        <w:t>万元，较上年决算数增加440.52万元，增长100.00%。主要原因是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较年初预算数增加2.71万元，增长0.62%。主要原因是</w:t>
      </w:r>
      <w:r>
        <w:rPr>
          <w:rFonts w:hint="default" w:ascii="Times New Roman" w:hAnsi="Times New Roman" w:eastAsia="方正仿宋_GBK" w:cs="Times New Roman"/>
          <w:color w:val="auto"/>
          <w:sz w:val="32"/>
          <w:szCs w:val="32"/>
          <w:highlight w:val="none"/>
          <w:shd w:val="clear" w:color="auto" w:fill="FFFFFF"/>
          <w:lang w:eastAsia="zh-CN"/>
        </w:rPr>
        <w:t>政策性增加人员经费。</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val="0"/>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440.52</w:t>
      </w:r>
      <w:r>
        <w:rPr>
          <w:rFonts w:hint="default" w:ascii="Times New Roman" w:hAnsi="Times New Roman" w:eastAsia="方正仿宋_GBK" w:cs="Times New Roman"/>
          <w:color w:val="auto"/>
          <w:sz w:val="32"/>
          <w:szCs w:val="32"/>
          <w:highlight w:val="none"/>
          <w:shd w:val="clear" w:color="auto" w:fill="FFFFFF"/>
        </w:rPr>
        <w:t>万元，较上年决算数增加440.52万元，增长100.00%。主要原因是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较年初预算数减少38.92万元，下降8.12%。主要原因是</w:t>
      </w:r>
      <w:r>
        <w:rPr>
          <w:rFonts w:hint="default" w:ascii="Times New Roman" w:hAnsi="Times New Roman" w:eastAsia="方正仿宋_GBK" w:cs="Times New Roman"/>
          <w:color w:val="auto"/>
          <w:sz w:val="32"/>
          <w:szCs w:val="32"/>
          <w:highlight w:val="none"/>
          <w:shd w:val="clear" w:color="auto" w:fill="FFFFFF"/>
          <w:lang w:eastAsia="zh-CN"/>
        </w:rPr>
        <w:t>追减村干部社保缴费、村居环境整治经费、村道公路养护资金补助等资金</w:t>
      </w:r>
      <w:r>
        <w:rPr>
          <w:rFonts w:hint="default" w:ascii="Times New Roman" w:hAnsi="Times New Roman" w:eastAsia="方正仿宋_GBK" w:cs="Times New Roman"/>
          <w:color w:val="auto"/>
          <w:sz w:val="32"/>
          <w:szCs w:val="32"/>
          <w:highlight w:val="none"/>
          <w:shd w:val="clear" w:color="auto" w:fill="FFFFFF"/>
          <w:lang w:val="en-US" w:eastAsia="zh-CN"/>
        </w:rPr>
        <w:t>74.73万元，追加2022年度事业人员超额绩效清</w:t>
      </w:r>
      <w:r>
        <w:rPr>
          <w:rFonts w:hint="eastAsia" w:ascii="Times New Roman" w:hAnsi="Times New Roman" w:eastAsia="方正仿宋_GBK" w:cs="Times New Roman"/>
          <w:color w:val="auto"/>
          <w:sz w:val="32"/>
          <w:szCs w:val="32"/>
          <w:highlight w:val="none"/>
          <w:shd w:val="clear" w:color="auto" w:fill="FFFFFF"/>
          <w:lang w:val="en-US" w:eastAsia="zh-CN"/>
        </w:rPr>
        <w:t>算、</w:t>
      </w:r>
      <w:r>
        <w:rPr>
          <w:rFonts w:hint="default" w:ascii="Times New Roman" w:hAnsi="Times New Roman" w:eastAsia="方正仿宋_GBK" w:cs="Times New Roman"/>
          <w:color w:val="auto"/>
          <w:sz w:val="32"/>
          <w:szCs w:val="32"/>
          <w:highlight w:val="none"/>
          <w:shd w:val="clear" w:color="auto" w:fill="FFFFFF"/>
          <w:lang w:val="en-US" w:eastAsia="zh-CN"/>
        </w:rPr>
        <w:t>基础绩效工资等资金35.81万元。</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Style w:val="10"/>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kern w:val="0"/>
          <w:sz w:val="32"/>
          <w:szCs w:val="32"/>
          <w:highlight w:val="none"/>
          <w:shd w:val="clear" w:color="auto" w:fill="FFFFFF"/>
          <w:lang w:bidi="ar"/>
        </w:rPr>
        <w:t>2022年度本单位与部门合并编报决算，按照市财政局要求，2023年度独立编报决算，本年度财政收支平衡零结转结余。</w:t>
      </w:r>
      <w:r>
        <w:rPr>
          <w:rStyle w:val="10"/>
          <w:rFonts w:hint="default" w:ascii="Times New Roman" w:hAnsi="Times New Roman" w:eastAsia="方正仿宋_GBK" w:cs="Times New Roman"/>
          <w:color w:val="auto"/>
          <w:sz w:val="32"/>
          <w:szCs w:val="32"/>
          <w:highlight w:val="none"/>
          <w:shd w:val="clear" w:color="auto" w:fill="FFFFFF"/>
        </w:rPr>
        <w:t xml:space="preserve"> </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w:t>
      </w:r>
      <w:r>
        <w:rPr>
          <w:rFonts w:hint="default" w:ascii="Times New Roman" w:hAnsi="Times New Roman" w:eastAsia="方正仿宋_GBK" w:cs="Times New Roman"/>
          <w:color w:val="auto"/>
          <w:sz w:val="32"/>
          <w:szCs w:val="32"/>
          <w:highlight w:val="none"/>
          <w:shd w:val="clear" w:color="auto" w:fill="FFFFFF"/>
          <w:lang w:eastAsia="zh-CN"/>
        </w:rPr>
        <w:t>四</w:t>
      </w:r>
      <w:r>
        <w:rPr>
          <w:rFonts w:hint="default" w:ascii="Times New Roman" w:hAnsi="Times New Roman" w:eastAsia="方正仿宋_GBK" w:cs="Times New Roman"/>
          <w:color w:val="auto"/>
          <w:sz w:val="32"/>
          <w:szCs w:val="32"/>
          <w:highlight w:val="none"/>
          <w:shd w:val="clear" w:color="auto" w:fill="FFFFFF"/>
        </w:rPr>
        <w:t>个方面：</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27.37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6.21</w:t>
      </w:r>
      <w:r>
        <w:rPr>
          <w:rFonts w:hint="default" w:ascii="Times New Roman" w:hAnsi="Times New Roman" w:eastAsia="方正仿宋_GBK" w:cs="Times New Roman"/>
          <w:color w:val="auto"/>
          <w:sz w:val="32"/>
          <w:szCs w:val="32"/>
          <w:highlight w:val="none"/>
          <w:shd w:val="clear" w:color="auto" w:fill="FFFFFF"/>
        </w:rPr>
        <w:t>%，较年初预算数减少5.73万元，下降17.31%，主要原因是</w:t>
      </w:r>
      <w:r>
        <w:rPr>
          <w:rFonts w:hint="default" w:ascii="Times New Roman" w:hAnsi="Times New Roman" w:eastAsia="方正仿宋_GBK" w:cs="Times New Roman"/>
          <w:color w:val="auto"/>
          <w:sz w:val="32"/>
          <w:szCs w:val="32"/>
          <w:highlight w:val="none"/>
          <w:shd w:val="clear" w:color="auto" w:fill="FFFFFF"/>
          <w:lang w:eastAsia="zh-CN"/>
        </w:rPr>
        <w:t>社保基数调整清算核减。</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6.21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1.41</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eastAsia="zh-CN"/>
        </w:rPr>
        <w:t>严格按照年初预算执行。</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395.43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89.77</w:t>
      </w:r>
      <w:r>
        <w:rPr>
          <w:rFonts w:hint="default" w:ascii="Times New Roman" w:hAnsi="Times New Roman" w:eastAsia="方正仿宋_GBK" w:cs="Times New Roman"/>
          <w:color w:val="auto"/>
          <w:sz w:val="32"/>
          <w:szCs w:val="32"/>
          <w:highlight w:val="none"/>
          <w:shd w:val="clear" w:color="auto" w:fill="FFFFFF"/>
        </w:rPr>
        <w:t>%，较年初预算数减少33.20万元，下降7.75%，主要原因是</w:t>
      </w:r>
      <w:r>
        <w:rPr>
          <w:rFonts w:hint="default" w:ascii="Times New Roman" w:hAnsi="Times New Roman" w:eastAsia="方正仿宋_GBK" w:cs="Times New Roman"/>
          <w:color w:val="auto"/>
          <w:sz w:val="32"/>
          <w:szCs w:val="32"/>
          <w:highlight w:val="none"/>
          <w:shd w:val="clear" w:color="auto" w:fill="FFFFFF"/>
          <w:lang w:eastAsia="zh-CN"/>
        </w:rPr>
        <w:t>追减村干部社保缴费、村居环境整治经费、村道公路养护资金补助等资金</w:t>
      </w:r>
      <w:r>
        <w:rPr>
          <w:rFonts w:hint="default" w:ascii="Times New Roman" w:hAnsi="Times New Roman" w:eastAsia="方正仿宋_GBK" w:cs="Times New Roman"/>
          <w:color w:val="auto"/>
          <w:sz w:val="32"/>
          <w:szCs w:val="32"/>
          <w:highlight w:val="none"/>
          <w:shd w:val="clear" w:color="auto" w:fill="FFFFFF"/>
          <w:lang w:val="en-US" w:eastAsia="zh-CN"/>
        </w:rPr>
        <w:t>69.01万元，追加2022年度事业人员超额绩效清算、基础绩效工资等资金35.81万元。</w:t>
      </w:r>
    </w:p>
    <w:p>
      <w:pPr>
        <w:keepNext w:val="0"/>
        <w:keepLines w:val="0"/>
        <w:pageBreakBefore w:val="0"/>
        <w:widowControl/>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住房保障支出11.50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2.61</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eastAsia="zh-CN"/>
        </w:rPr>
        <w:t>严格按照年初预算执行。</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182.68</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170.45</w:t>
      </w:r>
      <w:r>
        <w:rPr>
          <w:rFonts w:hint="default" w:ascii="Times New Roman" w:hAnsi="Times New Roman" w:eastAsia="方正仿宋_GBK" w:cs="Times New Roman"/>
          <w:color w:val="auto"/>
          <w:sz w:val="32"/>
          <w:szCs w:val="32"/>
          <w:highlight w:val="none"/>
          <w:shd w:val="clear" w:color="auto" w:fill="FFFFFF"/>
        </w:rPr>
        <w:t>万元，较上年决算数增加170.45万元，增长100.00%，主要原因是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eastAsia="zh-CN"/>
        </w:rPr>
        <w:t>基本工资、津贴补贴、 绩效工资、社会保障缴费、住房公积金等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12.23</w:t>
      </w:r>
      <w:r>
        <w:rPr>
          <w:rFonts w:hint="default" w:ascii="Times New Roman" w:hAnsi="Times New Roman" w:eastAsia="方正仿宋_GBK" w:cs="Times New Roman"/>
          <w:color w:val="auto"/>
          <w:sz w:val="32"/>
          <w:szCs w:val="32"/>
          <w:highlight w:val="none"/>
          <w:shd w:val="clear" w:color="auto" w:fill="FFFFFF"/>
        </w:rPr>
        <w:t>万元，较上年决算数增加12.23万元，增长100.00%，主要原因是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sz w:val="32"/>
          <w:szCs w:val="32"/>
          <w:highlight w:val="none"/>
          <w:shd w:val="clear" w:color="auto" w:fill="FFFFFF"/>
        </w:rPr>
        <w:t>公用经费用途主要包括办公费</w:t>
      </w:r>
      <w:r>
        <w:rPr>
          <w:rFonts w:hint="default" w:ascii="Times New Roman" w:hAnsi="Times New Roman" w:eastAsia="方正仿宋_GBK" w:cs="Times New Roman"/>
          <w:color w:val="auto"/>
          <w:sz w:val="32"/>
          <w:szCs w:val="32"/>
          <w:highlight w:val="none"/>
          <w:shd w:val="clear" w:color="auto" w:fill="FFFFFF"/>
          <w:lang w:eastAsia="zh-CN"/>
        </w:rPr>
        <w:t>、邮电费、劳务费、水费、电费等</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highlight w:val="none"/>
          <w:shd w:val="clear" w:color="auto" w:fill="auto"/>
        </w:rPr>
      </w:pPr>
      <w:r>
        <w:rPr>
          <w:rStyle w:val="10"/>
          <w:rFonts w:hint="default" w:ascii="Times New Roman" w:hAnsi="Times New Roman" w:eastAsia="方正仿宋_GBK" w:cs="Times New Roman"/>
          <w:b w:val="0"/>
          <w:bCs/>
          <w:color w:val="auto"/>
          <w:sz w:val="32"/>
          <w:szCs w:val="32"/>
          <w:highlight w:val="none"/>
          <w:shd w:val="clear" w:color="auto" w:fill="auto"/>
        </w:rPr>
        <w:t>本单位2023年度无政府性基金预算财政拨款收支。</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仿宋_GBK" w:cs="Times New Roman"/>
          <w:b w:val="0"/>
          <w:bCs/>
          <w:color w:val="auto"/>
          <w:sz w:val="32"/>
          <w:szCs w:val="32"/>
          <w:highlight w:val="none"/>
          <w:shd w:val="clear" w:color="auto" w:fill="auto"/>
        </w:rPr>
      </w:pPr>
      <w:r>
        <w:rPr>
          <w:rStyle w:val="10"/>
          <w:rFonts w:hint="default" w:ascii="Times New Roman" w:hAnsi="Times New Roman" w:eastAsia="方正仿宋_GBK" w:cs="Times New Roman"/>
          <w:b w:val="0"/>
          <w:bCs/>
          <w:color w:val="auto"/>
          <w:sz w:val="32"/>
          <w:szCs w:val="32"/>
          <w:highlight w:val="none"/>
          <w:shd w:val="clear" w:color="auto" w:fill="auto"/>
        </w:rPr>
        <w:t>本单位2023年度无国有资本经营预算财政拨款支出。</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“三公”</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8"/>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zh-CN"/>
        </w:rPr>
      </w:pPr>
      <w:r>
        <w:rPr>
          <w:rStyle w:val="10"/>
          <w:rFonts w:hint="default" w:ascii="Times New Roman" w:hAnsi="Times New Roman" w:eastAsia="方正仿宋_GBK" w:cs="Times New Roman"/>
          <w:b w:val="0"/>
          <w:bCs/>
          <w:color w:val="auto"/>
          <w:sz w:val="32"/>
          <w:szCs w:val="32"/>
          <w:highlight w:val="none"/>
          <w:shd w:val="clear" w:color="auto" w:fill="FFFFFF"/>
          <w:lang w:val="zh-CN" w:eastAsia="zh-CN"/>
        </w:rPr>
        <w:t>本单位属于</w:t>
      </w:r>
      <w:r>
        <w:rPr>
          <w:rStyle w:val="10"/>
          <w:rFonts w:hint="default" w:ascii="Times New Roman" w:hAnsi="Times New Roman" w:eastAsia="方正仿宋_GBK" w:cs="Times New Roman"/>
          <w:b w:val="0"/>
          <w:bCs/>
          <w:color w:val="auto"/>
          <w:sz w:val="32"/>
          <w:szCs w:val="32"/>
          <w:highlight w:val="none"/>
          <w:shd w:val="clear" w:color="auto" w:fill="FFFFFF"/>
          <w:lang w:eastAsia="zh-CN"/>
        </w:rPr>
        <w:t>峨溶镇人民政府的下属事业单位，</w:t>
      </w:r>
      <w:r>
        <w:rPr>
          <w:rStyle w:val="10"/>
          <w:rFonts w:hint="eastAsia" w:ascii="Times New Roman" w:hAnsi="Times New Roman" w:eastAsia="方正仿宋_GBK" w:cs="Times New Roman"/>
          <w:b w:val="0"/>
          <w:bCs/>
          <w:color w:val="auto"/>
          <w:sz w:val="32"/>
          <w:szCs w:val="32"/>
          <w:highlight w:val="none"/>
          <w:shd w:val="clear" w:color="auto" w:fill="FFFFFF"/>
          <w:lang w:eastAsia="zh-CN"/>
        </w:rPr>
        <w:t>“三公”</w:t>
      </w:r>
      <w:r>
        <w:rPr>
          <w:rFonts w:hint="default" w:ascii="Times New Roman" w:hAnsi="Times New Roman" w:eastAsia="方正仿宋_GBK" w:cs="Times New Roman"/>
          <w:color w:val="auto"/>
          <w:sz w:val="32"/>
          <w:szCs w:val="32"/>
          <w:highlight w:val="none"/>
          <w:lang w:val="zh-CN"/>
        </w:rPr>
        <w:t>经费预算安排在政府本级，由政府本级统筹管理、统一核算，故本单位无：</w:t>
      </w:r>
      <w:r>
        <w:rPr>
          <w:rFonts w:hint="eastAsia" w:ascii="Times New Roman" w:hAnsi="Times New Roman" w:eastAsia="方正仿宋_GBK" w:cs="Times New Roman"/>
          <w:color w:val="auto"/>
          <w:sz w:val="32"/>
          <w:szCs w:val="32"/>
          <w:highlight w:val="none"/>
          <w:lang w:val="zh-CN"/>
        </w:rPr>
        <w:t>“三公”</w:t>
      </w:r>
      <w:r>
        <w:rPr>
          <w:rFonts w:hint="default" w:ascii="Times New Roman" w:hAnsi="Times New Roman" w:eastAsia="方正仿宋_GBK" w:cs="Times New Roman"/>
          <w:color w:val="auto"/>
          <w:sz w:val="32"/>
          <w:szCs w:val="32"/>
          <w:highlight w:val="none"/>
          <w:lang w:val="zh-CN"/>
        </w:rPr>
        <w:t>经费预算及支出。</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经费支出总体情况说明</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万元，较年初预算数无增减</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经费分项支出情况</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经费实物量情况</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lang w:eastAsia="zh-CN"/>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万元，车均购置费</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val="0"/>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bCs/>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（一）财政拨款会议费和培训费情况说明</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本年度本单位未产生会议费支出以及</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w:t>
      </w:r>
      <w:r>
        <w:rPr>
          <w:rFonts w:hint="default" w:ascii="Times New Roman" w:hAnsi="Times New Roman" w:eastAsia="方正仿宋_GBK" w:cs="Times New Roman"/>
          <w:color w:val="auto"/>
          <w:sz w:val="32"/>
          <w:szCs w:val="32"/>
          <w:highlight w:val="none"/>
          <w:shd w:val="clear" w:color="auto" w:fill="FFFFFF"/>
        </w:rPr>
        <w:t>决算数无增减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0.71</w:t>
      </w:r>
      <w:r>
        <w:rPr>
          <w:rFonts w:hint="default" w:ascii="Times New Roman" w:hAnsi="Times New Roman" w:eastAsia="方正仿宋_GBK" w:cs="Times New Roman"/>
          <w:color w:val="auto"/>
          <w:sz w:val="32"/>
          <w:szCs w:val="32"/>
          <w:highlight w:val="none"/>
          <w:shd w:val="clear" w:color="auto" w:fill="FFFFFF"/>
        </w:rPr>
        <w:t>万元，较上年决算数增加0.71万元，增长100.00%，主要原因是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default" w:ascii="Times New Roman" w:hAnsi="Times New Roman" w:eastAsia="方正仿宋_GBK" w:cs="Times New Roman"/>
          <w:color w:val="auto"/>
          <w:sz w:val="32"/>
          <w:szCs w:val="32"/>
          <w:highlight w:val="none"/>
          <w:shd w:val="clear" w:color="auto" w:fill="FFFFFF"/>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按照部门决算列报口径，我单位不在机关运行经费统计范围之内。</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截至2023年12月31日，本单位共有车辆</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3"/>
        <w:keepNext w:val="0"/>
        <w:keepLines w:val="0"/>
        <w:pageBreakBefore w:val="0"/>
        <w:widowControl/>
        <w:kinsoku/>
        <w:wordWrap w:val="0"/>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val="0"/>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2023年度我单位未发生政府采购事项，无相关经费支出。</w:t>
      </w:r>
    </w:p>
    <w:p>
      <w:pPr>
        <w:pStyle w:val="8"/>
        <w:keepNext w:val="0"/>
        <w:keepLines w:val="0"/>
        <w:pageBreakBefore w:val="0"/>
        <w:numPr>
          <w:ilvl w:val="0"/>
          <w:numId w:val="1"/>
        </w:numPr>
        <w:shd w:val="clear" w:color="auto" w:fill="FFFFFF"/>
        <w:kinsoku/>
        <w:wordWrap w:val="0"/>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（一）单位自评情况</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根据预算绩效管理要求，我单位对</w:t>
      </w:r>
      <w:r>
        <w:rPr>
          <w:rFonts w:hint="default" w:ascii="Times New Roman" w:hAnsi="Times New Roman" w:eastAsia="方正仿宋_GBK" w:cs="Times New Roman"/>
          <w:color w:val="auto"/>
          <w:sz w:val="32"/>
          <w:szCs w:val="32"/>
          <w:highlight w:val="none"/>
          <w:shd w:val="clear" w:color="auto" w:fill="FFFFFF"/>
          <w:lang w:val="en-US" w:eastAsia="zh-CN"/>
        </w:rPr>
        <w:t>9</w:t>
      </w:r>
      <w:r>
        <w:rPr>
          <w:rFonts w:hint="default" w:ascii="Times New Roman" w:hAnsi="Times New Roman" w:eastAsia="方正仿宋_GBK" w:cs="Times New Roman"/>
          <w:color w:val="auto"/>
          <w:sz w:val="32"/>
          <w:szCs w:val="32"/>
          <w:highlight w:val="none"/>
          <w:shd w:val="clear" w:color="auto" w:fill="FFFFFF"/>
        </w:rPr>
        <w:t>个</w:t>
      </w:r>
      <w:r>
        <w:rPr>
          <w:rFonts w:hint="default" w:ascii="Times New Roman" w:hAnsi="Times New Roman" w:eastAsia="方正仿宋_GBK" w:cs="Times New Roman"/>
          <w:color w:val="auto"/>
          <w:sz w:val="32"/>
          <w:szCs w:val="32"/>
          <w:highlight w:val="none"/>
          <w:shd w:val="clear" w:color="auto" w:fill="FFFFFF"/>
          <w:lang w:eastAsia="zh-CN"/>
        </w:rPr>
        <w:t>二</w:t>
      </w:r>
      <w:r>
        <w:rPr>
          <w:rFonts w:hint="default" w:ascii="Times New Roman" w:hAnsi="Times New Roman" w:eastAsia="方正仿宋_GBK" w:cs="Times New Roman"/>
          <w:color w:val="auto"/>
          <w:sz w:val="32"/>
          <w:szCs w:val="32"/>
          <w:highlight w:val="none"/>
          <w:shd w:val="clear" w:color="auto" w:fill="FFFFFF"/>
        </w:rPr>
        <w:t>级项目开展了绩效自评，涉及财政拨款项目支出资金</w:t>
      </w:r>
      <w:r>
        <w:rPr>
          <w:rFonts w:hint="default" w:ascii="Times New Roman" w:hAnsi="Times New Roman" w:eastAsia="方正仿宋_GBK" w:cs="Times New Roman"/>
          <w:color w:val="auto"/>
          <w:sz w:val="32"/>
          <w:szCs w:val="32"/>
          <w:highlight w:val="none"/>
          <w:shd w:val="clear" w:color="auto" w:fill="FFFFFF"/>
          <w:lang w:val="en-US" w:eastAsia="zh-CN"/>
        </w:rPr>
        <w:t>257.84</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lang w:val="en-US" w:eastAsia="zh-CN"/>
        </w:rPr>
        <w:t>2023年项目支出绩效自评表（二级项目）详见附件1。</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我单位对驻乡驻村工作经费</w:t>
      </w:r>
      <w:r>
        <w:rPr>
          <w:rFonts w:hint="default" w:ascii="Times New Roman" w:hAnsi="Times New Roman" w:eastAsia="方正仿宋_GBK" w:cs="Times New Roman"/>
          <w:color w:val="auto"/>
          <w:sz w:val="32"/>
          <w:szCs w:val="32"/>
          <w:highlight w:val="none"/>
          <w:shd w:val="clear" w:color="auto" w:fill="FFFFFF"/>
          <w:lang w:eastAsia="zh-CN"/>
        </w:rPr>
        <w:t>项目</w:t>
      </w:r>
      <w:r>
        <w:rPr>
          <w:rFonts w:hint="default" w:ascii="Times New Roman" w:hAnsi="Times New Roman" w:eastAsia="方正仿宋_GBK" w:cs="Times New Roman"/>
          <w:color w:val="auto"/>
          <w:sz w:val="32"/>
          <w:szCs w:val="32"/>
          <w:highlight w:val="none"/>
          <w:shd w:val="clear" w:color="auto" w:fill="FFFFFF"/>
        </w:rPr>
        <w:t>开展了绩效评价，涉及财政拨款项目资金</w:t>
      </w:r>
      <w:r>
        <w:rPr>
          <w:rFonts w:hint="default" w:ascii="Times New Roman" w:hAnsi="Times New Roman" w:eastAsia="方正仿宋_GBK" w:cs="Times New Roman"/>
          <w:color w:val="auto"/>
          <w:sz w:val="32"/>
          <w:szCs w:val="32"/>
          <w:highlight w:val="none"/>
          <w:shd w:val="clear" w:color="auto" w:fill="FFFFFF"/>
          <w:lang w:val="en-US" w:eastAsia="zh-CN"/>
        </w:rPr>
        <w:t>12.35</w:t>
      </w:r>
      <w:r>
        <w:rPr>
          <w:rFonts w:hint="default" w:ascii="Times New Roman" w:hAnsi="Times New Roman" w:eastAsia="方正仿宋_GBK" w:cs="Times New Roman"/>
          <w:color w:val="auto"/>
          <w:sz w:val="32"/>
          <w:szCs w:val="32"/>
          <w:highlight w:val="none"/>
          <w:shd w:val="clear" w:color="auto" w:fill="FFFFFF"/>
        </w:rPr>
        <w:t>万元，评价得分</w:t>
      </w:r>
      <w:r>
        <w:rPr>
          <w:rFonts w:hint="default" w:ascii="Times New Roman" w:hAnsi="Times New Roman" w:eastAsia="方正仿宋_GBK" w:cs="Times New Roman"/>
          <w:color w:val="auto"/>
          <w:sz w:val="32"/>
          <w:szCs w:val="32"/>
          <w:highlight w:val="none"/>
          <w:shd w:val="clear" w:color="auto" w:fill="FFFFFF"/>
          <w:lang w:val="en-US" w:eastAsia="zh-CN"/>
        </w:rPr>
        <w:t>100</w:t>
      </w:r>
      <w:r>
        <w:rPr>
          <w:rFonts w:hint="default" w:ascii="Times New Roman" w:hAnsi="Times New Roman" w:eastAsia="方正仿宋_GBK" w:cs="Times New Roman"/>
          <w:color w:val="auto"/>
          <w:sz w:val="32"/>
          <w:szCs w:val="32"/>
          <w:highlight w:val="none"/>
          <w:shd w:val="clear" w:color="auto" w:fill="FFFFFF"/>
        </w:rPr>
        <w:t>分，评价等次为</w:t>
      </w:r>
      <w:r>
        <w:rPr>
          <w:rFonts w:hint="default" w:ascii="Times New Roman" w:hAnsi="Times New Roman" w:eastAsia="方正仿宋_GBK" w:cs="Times New Roman"/>
          <w:color w:val="auto"/>
          <w:sz w:val="32"/>
          <w:szCs w:val="32"/>
          <w:highlight w:val="none"/>
          <w:shd w:val="clear" w:color="auto" w:fill="FFFFFF"/>
          <w:lang w:eastAsia="zh-CN"/>
        </w:rPr>
        <w:t>优</w:t>
      </w:r>
      <w:r>
        <w:rPr>
          <w:rFonts w:hint="default" w:ascii="Times New Roman" w:hAnsi="Times New Roman" w:eastAsia="方正仿宋_GBK" w:cs="Times New Roman"/>
          <w:color w:val="auto"/>
          <w:sz w:val="32"/>
          <w:szCs w:val="32"/>
          <w:highlight w:val="none"/>
          <w:shd w:val="clear" w:color="auto" w:fill="FFFFFF"/>
        </w:rPr>
        <w:t>，绩效评价</w:t>
      </w:r>
      <w:r>
        <w:rPr>
          <w:rFonts w:hint="eastAsia" w:ascii="Times New Roman" w:hAnsi="Times New Roman" w:eastAsia="方正仿宋_GBK" w:cs="Times New Roman"/>
          <w:color w:val="auto"/>
          <w:sz w:val="32"/>
          <w:szCs w:val="32"/>
          <w:highlight w:val="none"/>
          <w:shd w:val="clear" w:color="auto" w:fill="FFFFFF"/>
          <w:lang w:eastAsia="zh-CN"/>
        </w:rPr>
        <w:t>未发现问题。</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val="0"/>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auto"/>
        </w:rPr>
      </w:pPr>
      <w:r>
        <w:rPr>
          <w:rFonts w:hint="eastAsia" w:ascii="Times New Roman" w:hAnsi="Times New Roman" w:eastAsia="方正仿宋_GBK" w:cs="Times New Roman"/>
          <w:b w:val="0"/>
          <w:bCs w:val="0"/>
          <w:color w:val="auto"/>
          <w:sz w:val="32"/>
          <w:szCs w:val="32"/>
          <w:highlight w:val="none"/>
          <w:shd w:val="clear" w:color="auto" w:fill="auto"/>
          <w:lang w:eastAsia="zh-CN"/>
        </w:rPr>
        <w:t>县</w:t>
      </w:r>
      <w:r>
        <w:rPr>
          <w:rFonts w:hint="default" w:ascii="Times New Roman" w:hAnsi="Times New Roman" w:eastAsia="方正仿宋_GBK" w:cs="Times New Roman"/>
          <w:b w:val="0"/>
          <w:bCs w:val="0"/>
          <w:color w:val="auto"/>
          <w:sz w:val="32"/>
          <w:szCs w:val="32"/>
          <w:highlight w:val="none"/>
          <w:shd w:val="clear" w:color="auto" w:fill="auto"/>
        </w:rPr>
        <w:t>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val="0"/>
        <w:overflowPunct/>
        <w:topLinePunct w:val="0"/>
        <w:autoSpaceDE/>
        <w:autoSpaceDN/>
        <w:bidi w:val="0"/>
        <w:adjustRightInd/>
        <w:spacing w:beforeAutospacing="0" w:afterAutospacing="0" w:line="560" w:lineRule="exact"/>
        <w:ind w:firstLine="643" w:firstLineChars="200"/>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bookmarkStart w:id="0" w:name="_GoBack"/>
      <w:bookmarkEnd w:id="0"/>
      <w:r>
        <w:rPr>
          <w:rStyle w:val="10"/>
          <w:rFonts w:hint="default" w:ascii="Times New Roman" w:hAnsi="Times New Roman" w:eastAsia="方正仿宋_GBK" w:cs="Times New Roman"/>
          <w:color w:val="auto"/>
          <w:sz w:val="32"/>
          <w:szCs w:val="32"/>
          <w:highlight w:val="none"/>
          <w:shd w:val="clear" w:color="auto" w:fill="FFFFFF"/>
        </w:rPr>
        <w:t> </w:t>
      </w:r>
      <w:r>
        <w:rPr>
          <w:rStyle w:val="10"/>
          <w:rFonts w:hint="eastAsia" w:ascii="方正黑体_GBK" w:hAnsi="方正黑体_GBK" w:eastAsia="方正黑体_GBK" w:cs="方正黑体_GBK"/>
          <w:b w:val="0"/>
          <w:bCs/>
          <w:color w:val="auto"/>
          <w:sz w:val="32"/>
          <w:szCs w:val="32"/>
          <w:highlight w:val="none"/>
          <w:shd w:val="clear" w:color="auto" w:fill="FFFFFF"/>
        </w:rPr>
        <w:t>七、决算公开联系方式及信息反馈渠道</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eastAsia" w:ascii="Times New Roman" w:hAnsi="Times New Roman" w:eastAsia="方正仿宋_GBK" w:cs="Times New Roman"/>
          <w:color w:val="auto"/>
          <w:sz w:val="32"/>
          <w:szCs w:val="32"/>
          <w:highlight w:val="none"/>
          <w:shd w:val="clear" w:color="auto" w:fill="FFFFFF"/>
          <w:lang w:eastAsia="zh-CN"/>
        </w:rPr>
        <w:t>刘静</w:t>
      </w:r>
      <w:r>
        <w:rPr>
          <w:rFonts w:hint="default" w:ascii="Times New Roman" w:hAnsi="Times New Roman" w:eastAsia="方正仿宋_GBK" w:cs="Times New Roman"/>
          <w:color w:val="auto"/>
          <w:sz w:val="32"/>
          <w:szCs w:val="32"/>
          <w:highlight w:val="none"/>
          <w:shd w:val="clear" w:color="auto" w:fill="FFFFFF"/>
          <w:lang w:val="en-US" w:eastAsia="zh-CN"/>
        </w:rPr>
        <w:t>023-76629515</w:t>
      </w:r>
      <w:r>
        <w:rPr>
          <w:rFonts w:hint="eastAsia" w:ascii="Times New Roman" w:hAnsi="Times New Roman" w:eastAsia="方正仿宋_GBK" w:cs="Times New Roman"/>
          <w:color w:val="auto"/>
          <w:sz w:val="32"/>
          <w:szCs w:val="32"/>
          <w:highlight w:val="none"/>
          <w:shd w:val="clear" w:color="auto" w:fill="FFFFFF"/>
          <w:lang w:val="en-US" w:eastAsia="zh-CN"/>
        </w:rPr>
        <w:t>。</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rPr>
        <w:sectPr>
          <w:headerReference r:id="rId3" w:type="default"/>
          <w:footerReference r:id="rId4" w:type="default"/>
          <w:pgSz w:w="11907" w:h="16839"/>
          <w:pgMar w:top="2098" w:right="1474" w:bottom="1984" w:left="1588" w:header="0" w:footer="283" w:gutter="0"/>
          <w:pgNumType w:fmt="numberInDash" w:chapStyle="5"/>
          <w:cols w:space="720" w:num="1"/>
          <w:docGrid w:type="lines" w:linePitch="326" w:charSpace="0"/>
        </w:sectPr>
      </w:pPr>
    </w:p>
    <w:p>
      <w:pPr>
        <w:pStyle w:val="13"/>
        <w:keepNext w:val="0"/>
        <w:keepLines w:val="0"/>
        <w:pageBreakBefore w:val="0"/>
        <w:widowControl/>
        <w:kinsoku/>
        <w:wordWrap/>
        <w:overflowPunct/>
        <w:topLinePunct w:val="0"/>
        <w:autoSpaceDE w:val="0"/>
        <w:autoSpaceDN/>
        <w:bidi w:val="0"/>
        <w:adjustRightInd/>
        <w:snapToGrid/>
        <w:ind w:left="0" w:firstLine="640" w:firstLineChars="200"/>
        <w:textAlignment w:val="auto"/>
        <w:outlineLvl w:val="9"/>
        <w:rPr>
          <w:rStyle w:val="10"/>
          <w:rFonts w:hint="eastAsia" w:ascii="Times New Roman" w:hAnsi="Times New Roman" w:eastAsia="方正仿宋_GBK" w:cs="Times New Roman"/>
          <w:b w:val="0"/>
          <w:bCs/>
          <w:sz w:val="32"/>
          <w:szCs w:val="32"/>
          <w:shd w:val="clear" w:color="auto" w:fill="auto"/>
          <w:lang w:val="en-US" w:eastAsia="zh-CN"/>
        </w:rPr>
      </w:pPr>
      <w:r>
        <w:rPr>
          <w:rStyle w:val="10"/>
          <w:rFonts w:hint="eastAsia" w:ascii="Times New Roman" w:hAnsi="Times New Roman" w:eastAsia="方正仿宋_GBK" w:cs="Times New Roman"/>
          <w:b w:val="0"/>
          <w:bCs/>
          <w:sz w:val="32"/>
          <w:szCs w:val="32"/>
          <w:shd w:val="clear" w:color="auto" w:fill="auto"/>
          <w:lang w:eastAsia="zh-CN"/>
        </w:rPr>
        <w:t>附件</w:t>
      </w:r>
      <w:r>
        <w:rPr>
          <w:rStyle w:val="10"/>
          <w:rFonts w:hint="eastAsia" w:ascii="Times New Roman" w:hAnsi="Times New Roman" w:eastAsia="方正仿宋_GBK" w:cs="Times New Roman"/>
          <w:b w:val="0"/>
          <w:bCs/>
          <w:sz w:val="32"/>
          <w:szCs w:val="32"/>
          <w:shd w:val="clear" w:color="auto" w:fill="auto"/>
          <w:lang w:val="en-US" w:eastAsia="zh-CN"/>
        </w:rPr>
        <w:t>1</w:t>
      </w:r>
    </w:p>
    <w:tbl>
      <w:tblPr>
        <w:tblStyle w:val="11"/>
        <w:tblpPr w:leftFromText="180" w:rightFromText="180" w:vertAnchor="text" w:horzAnchor="page" w:tblpX="1028" w:tblpY="656"/>
        <w:tblOverlap w:val="never"/>
        <w:tblW w:w="15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5"/>
        <w:gridCol w:w="2450"/>
        <w:gridCol w:w="2090"/>
        <w:gridCol w:w="1286"/>
        <w:gridCol w:w="925"/>
        <w:gridCol w:w="1524"/>
        <w:gridCol w:w="1219"/>
        <w:gridCol w:w="1490"/>
        <w:gridCol w:w="1219"/>
        <w:gridCol w:w="631"/>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05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驻乡驻村工作经费</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年度预算执行率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保障工作队数量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及时支付率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80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80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eastAsia="zh-CN"/>
              </w:rPr>
              <w:t>工作完成率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80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80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sectPr>
          <w:pgSz w:w="16839" w:h="11907" w:orient="landscape"/>
          <w:pgMar w:top="567" w:right="454" w:bottom="567" w:left="1037" w:header="0" w:footer="283" w:gutter="0"/>
          <w:pgNumType w:fmt="numberInDash" w:chapStyle="5"/>
          <w:cols w:space="0" w:num="1"/>
          <w:rtlGutter w:val="0"/>
          <w:docGrid w:type="lines" w:linePitch="326" w:charSpace="0"/>
        </w:sectPr>
      </w:pP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重庆市秀山土家族苗族自治县峨溶镇农业服务中心（特色产业发展中心）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440.52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395.43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440.52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440.52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440.52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重庆市秀山土家族苗族自治县峨溶镇农业服务中心（特色产业发展中心）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440.52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440.52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重庆市秀山土家族苗族自治县峨溶镇农业服务中心（特色产业发展中心）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440.52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257.84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257.84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480" w:type="dxa"/>
        <w:tblInd w:w="0" w:type="dxa"/>
        <w:tblLayout w:type="fixed"/>
        <w:tblCellMar>
          <w:top w:w="0" w:type="dxa"/>
          <w:left w:w="0" w:type="dxa"/>
          <w:bottom w:w="0" w:type="dxa"/>
          <w:right w:w="0" w:type="dxa"/>
        </w:tblCellMar>
      </w:tblPr>
      <w:tblGrid>
        <w:gridCol w:w="1869"/>
        <w:gridCol w:w="3573"/>
        <w:gridCol w:w="3341"/>
        <w:gridCol w:w="3341"/>
        <w:gridCol w:w="3356"/>
      </w:tblGrid>
      <w:tr>
        <w:tblPrEx>
          <w:tblLayout w:type="fixed"/>
          <w:tblCellMar>
            <w:top w:w="0" w:type="dxa"/>
            <w:left w:w="0" w:type="dxa"/>
            <w:bottom w:w="0" w:type="dxa"/>
            <w:right w:w="0" w:type="dxa"/>
          </w:tblCellMar>
        </w:tblPrEx>
        <w:trPr>
          <w:trHeight w:val="90" w:hRule="atLeast"/>
        </w:trPr>
        <w:tc>
          <w:tcPr>
            <w:tcW w:w="1548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90" w:hRule="atLeast"/>
        </w:trPr>
        <w:tc>
          <w:tcPr>
            <w:tcW w:w="54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3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90" w:hRule="atLeast"/>
        </w:trPr>
        <w:tc>
          <w:tcPr>
            <w:tcW w:w="54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4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003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6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6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6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54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440.52</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182.68</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257.84</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27.37</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27.37</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27.37</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27.37</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395.43</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137.59</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257.84</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138.55</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137.59</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137.59</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137.59</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12.35</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12.35</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12.35</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12.35</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236.61</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236.61</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236.61</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236.61</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3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170.45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“三公”</w:t>
            </w:r>
            <w:r>
              <w:rPr>
                <w:rFonts w:cs="宋体"/>
                <w:color w:val="000000"/>
                <w:sz w:val="20"/>
                <w:szCs w:val="20"/>
              </w:rPr>
              <w:t>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“三公”</w:t>
      </w:r>
      <w:r>
        <w:rPr>
          <w:rFonts w:cs="宋体"/>
          <w:sz w:val="20"/>
          <w:szCs w:val="20"/>
        </w:rPr>
        <w:t>经费支出预决算情况。其中，预算数为</w:t>
      </w:r>
      <w:r>
        <w:rPr>
          <w:rFonts w:hint="eastAsia" w:cs="宋体"/>
          <w:sz w:val="20"/>
          <w:szCs w:val="20"/>
          <w:lang w:eastAsia="zh-CN"/>
        </w:rPr>
        <w:t>“三公”</w:t>
      </w:r>
      <w:r>
        <w:rPr>
          <w:rFonts w:cs="宋体"/>
          <w:sz w:val="20"/>
          <w:szCs w:val="20"/>
        </w:rPr>
        <w:t>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5" w:type="default"/>
      <w:footerReference r:id="rId6" w:type="default"/>
      <w:pgSz w:w="16839" w:h="11907" w:orient="landscape"/>
      <w:pgMar w:top="567" w:right="454" w:bottom="567" w:left="1037" w:header="0" w:footer="283" w:gutter="0"/>
      <w:pgNumType w:fmt="numberInDash" w:chapStyle="5"/>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-791845</wp:posOffset>
              </wp:positionV>
              <wp:extent cx="461010" cy="7493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461010" cy="749300"/>
                      </a:xfrm>
                      <a:prstGeom prst="rect">
                        <a:avLst/>
                      </a:prstGeom>
                      <a:noFill/>
                      <a:ln w="9525">
                        <a:noFill/>
                      </a:ln>
                    </wps:spPr>
                    <wps:txbx>
                      <w:txbxContent>
                        <w:p>
                          <w:pPr>
                            <w:pStyle w:val="5"/>
                            <w:rPr>
                              <w:rFonts w:hint="eastAsia"/>
                              <w:sz w:val="28"/>
                              <w:szCs w:val="28"/>
                              <w:lang w:eastAsia="zh-CN"/>
                            </w:rPr>
                          </w:pPr>
                        </w:p>
                        <w:p>
                          <w:pPr>
                            <w:pStyle w:val="5"/>
                            <w:rPr>
                              <w:rFonts w:hint="eastAsia" w:eastAsia="宋体"/>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- 1 -</w:t>
                          </w:r>
                          <w:r>
                            <w:rPr>
                              <w:rFonts w:hint="eastAsia"/>
                              <w:sz w:val="18"/>
                              <w:szCs w:val="18"/>
                              <w:lang w:eastAsia="zh-CN"/>
                            </w:rPr>
                            <w:fldChar w:fldCharType="end"/>
                          </w:r>
                        </w:p>
                      </w:txbxContent>
                    </wps:txbx>
                    <wps:bodyPr lIns="0" tIns="0" rIns="0" bIns="0" upright="0"/>
                  </wps:wsp>
                </a:graphicData>
              </a:graphic>
            </wp:anchor>
          </w:drawing>
        </mc:Choice>
        <mc:Fallback>
          <w:pict>
            <v:shape id="文本框 7" o:spid="_x0000_s1026" o:spt="202" type="#_x0000_t202" style="position:absolute;left:0pt;margin-top:-62.35pt;height:59pt;width:36.3pt;mso-position-horizontal:center;mso-position-horizontal-relative:margin;z-index:251661312;mso-width-relative:page;mso-height-relative:page;" filled="f" stroked="f" coordsize="21600,21600" o:gfxdata="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yFHGbWAAAABwEAAA8A&#10;AAAAAAAAAQAgAAAAIgAAAGRycy9kb3ducmV2LnhtbFBLAQIUABQAAAAIAIdO4kC0IufjpwEAACwD&#10;AAAOAAAAAAAAAAEAIAAAACUBAABkcnMvZTJvRG9jLnhtbFBLBQYAAAAABgAGAFkBAAA+BQAAAAA=&#10;">
              <v:fill on="f" focussize="0,0"/>
              <v:stroke on="f"/>
              <v:imagedata o:title=""/>
              <o:lock v:ext="edit" aspectratio="f"/>
              <v:textbox inset="0mm,0mm,0mm,0mm">
                <w:txbxContent>
                  <w:p>
                    <w:pPr>
                      <w:pStyle w:val="5"/>
                      <w:rPr>
                        <w:rFonts w:hint="eastAsia"/>
                        <w:sz w:val="28"/>
                        <w:szCs w:val="28"/>
                        <w:lang w:eastAsia="zh-CN"/>
                      </w:rPr>
                    </w:pPr>
                  </w:p>
                  <w:p>
                    <w:pPr>
                      <w:pStyle w:val="5"/>
                      <w:rPr>
                        <w:rFonts w:hint="eastAsia" w:eastAsia="宋体"/>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- 1 -</w:t>
                    </w:r>
                    <w:r>
                      <w:rPr>
                        <w:rFonts w:hint="eastAsia"/>
                        <w:sz w:val="18"/>
                        <w:szCs w:val="18"/>
                        <w:lang w:eastAsia="zh-CN"/>
                      </w:rPr>
                      <w:fldChar w:fldCharType="end"/>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posOffset>5342255</wp:posOffset>
              </wp:positionH>
              <wp:positionV relativeFrom="paragraph">
                <wp:posOffset>-777875</wp:posOffset>
              </wp:positionV>
              <wp:extent cx="266700" cy="1419225"/>
              <wp:effectExtent l="0" t="0" r="0" b="0"/>
              <wp:wrapNone/>
              <wp:docPr id="2" name="文本框 5"/>
              <wp:cNvGraphicFramePr/>
              <a:graphic xmlns:a="http://schemas.openxmlformats.org/drawingml/2006/main">
                <a:graphicData uri="http://schemas.microsoft.com/office/word/2010/wordprocessingShape">
                  <wps:wsp>
                    <wps:cNvSpPr txBox="1"/>
                    <wps:spPr>
                      <a:xfrm>
                        <a:off x="0" y="0"/>
                        <a:ext cx="266700" cy="1419225"/>
                      </a:xfrm>
                      <a:prstGeom prst="rect">
                        <a:avLst/>
                      </a:prstGeom>
                      <a:noFill/>
                      <a:ln w="6350">
                        <a:noFill/>
                      </a:ln>
                    </wps:spPr>
                    <wps:txbx>
                      <w:txbxContent>
                        <w:p>
                          <w:pPr>
                            <w:pStyle w:val="5"/>
                          </w:pPr>
                          <w:r>
                            <w:t xml:space="preserve"> </w:t>
                          </w:r>
                        </w:p>
                        <w:p>
                          <w:pPr>
                            <w:pStyle w:val="5"/>
                            <w:rPr>
                              <w:rFonts w:hint="default"/>
                            </w:rPr>
                          </w:pPr>
                          <w:r>
                            <w:t xml:space="preserve"> </w:t>
                          </w:r>
                        </w:p>
                      </w:txbxContent>
                    </wps:txbx>
                    <wps:bodyPr lIns="0" tIns="0" rIns="0" bIns="0" upright="1"/>
                  </wps:wsp>
                </a:graphicData>
              </a:graphic>
            </wp:anchor>
          </w:drawing>
        </mc:Choice>
        <mc:Fallback>
          <w:pict>
            <v:shape id="文本框 5" o:spid="_x0000_s1026" o:spt="202" type="#_x0000_t202" style="position:absolute;left:0pt;margin-left:420.65pt;margin-top:-61.25pt;height:111.75pt;width:21pt;mso-position-horizontal-relative:margin;z-index:251660288;mso-width-relative:page;mso-height-relative:page;" filled="f" stroked="f" coordsize="21600,21600" o:allowoverlap="f" o:gfxdata="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dIPX/ZAAAADAEA&#10;AA8AAAAAAAAAAQAgAAAAIgAAAGRycy9kb3ducmV2LnhtbFBLAQIUABQAAAAIAIdO4kDuDKAupwEA&#10;AC0DAAAOAAAAAAAAAAEAIAAAACgBAABkcnMvZTJvRG9jLnhtbFBLBQYAAAAABgAGAFkBAABBBQAA&#10;AAA=&#10;">
              <v:fill on="f" focussize="0,0"/>
              <v:stroke on="f" weight="0.5pt"/>
              <v:imagedata o:title=""/>
              <o:lock v:ext="edit" aspectratio="f"/>
              <v:textbox inset="0mm,0mm,0mm,0mm">
                <w:txbxContent>
                  <w:p>
                    <w:pPr>
                      <w:pStyle w:val="5"/>
                    </w:pPr>
                    <w:r>
                      <w:t xml:space="preserve"> </w:t>
                    </w:r>
                  </w:p>
                  <w:p>
                    <w:pPr>
                      <w:pStyle w:val="5"/>
                      <w:rPr>
                        <w:rFonts w:hint="default"/>
                      </w:rPr>
                    </w:pPr>
                    <w:r>
                      <w:t xml:space="preserve"> </w:t>
                    </w:r>
                  </w:p>
                </w:txbxContent>
              </v:textbox>
            </v:shape>
          </w:pict>
        </mc:Fallback>
      </mc:AlternateContent>
    </w:r>
  </w:p>
  <w:p>
    <w:pPr>
      <w:pStyle w:val="5"/>
      <w:jc w:val="both"/>
      <w:rPr>
        <w:rFonts w:hint="default"/>
      </w:rPr>
    </w:pPr>
  </w:p>
  <w:p>
    <w:pPr>
      <w:pStyle w:val="5"/>
      <w:jc w:val="both"/>
      <w:rPr>
        <w:rFonts w:hint="default"/>
      </w:rPr>
    </w:pP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CuDJ4pFwIAABYE&#10;AAAOAAAAAAAAAAEAIAAAACcBAABkcnMvZTJvRG9jLnhtbFBLBQYAAAAABgAGAFkBAACw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C38E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0A244B"/>
    <w:rsid w:val="182E4AB6"/>
    <w:rsid w:val="189079DC"/>
    <w:rsid w:val="189B0D0B"/>
    <w:rsid w:val="18B43F7C"/>
    <w:rsid w:val="18BA1682"/>
    <w:rsid w:val="194A1770"/>
    <w:rsid w:val="19B906A4"/>
    <w:rsid w:val="1B6F15B6"/>
    <w:rsid w:val="1BAA2EDC"/>
    <w:rsid w:val="1CA55E64"/>
    <w:rsid w:val="1D014A01"/>
    <w:rsid w:val="1D022362"/>
    <w:rsid w:val="1D1B04B0"/>
    <w:rsid w:val="1D9017A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EE32ED"/>
    <w:rsid w:val="27167136"/>
    <w:rsid w:val="271B442C"/>
    <w:rsid w:val="277E655A"/>
    <w:rsid w:val="27B23302"/>
    <w:rsid w:val="29310A5F"/>
    <w:rsid w:val="29C37A35"/>
    <w:rsid w:val="2A076083"/>
    <w:rsid w:val="2A73162E"/>
    <w:rsid w:val="2AEE1ABE"/>
    <w:rsid w:val="2B167953"/>
    <w:rsid w:val="2B200583"/>
    <w:rsid w:val="2B8209DE"/>
    <w:rsid w:val="2C636760"/>
    <w:rsid w:val="2C6762A3"/>
    <w:rsid w:val="2DAF3E01"/>
    <w:rsid w:val="2F080715"/>
    <w:rsid w:val="2FCA4B37"/>
    <w:rsid w:val="2FE029D7"/>
    <w:rsid w:val="2FF06E00"/>
    <w:rsid w:val="30586FEC"/>
    <w:rsid w:val="315F0B22"/>
    <w:rsid w:val="31D84415"/>
    <w:rsid w:val="32285F6F"/>
    <w:rsid w:val="32770556"/>
    <w:rsid w:val="329C0913"/>
    <w:rsid w:val="32AA0460"/>
    <w:rsid w:val="32C420BA"/>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07115"/>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9B247C"/>
    <w:rsid w:val="44C37687"/>
    <w:rsid w:val="45AE5A73"/>
    <w:rsid w:val="45CB699A"/>
    <w:rsid w:val="465B470D"/>
    <w:rsid w:val="469D6AD4"/>
    <w:rsid w:val="471E6C84"/>
    <w:rsid w:val="4748792B"/>
    <w:rsid w:val="475D719D"/>
    <w:rsid w:val="47674801"/>
    <w:rsid w:val="48225EF7"/>
    <w:rsid w:val="488F422B"/>
    <w:rsid w:val="48E36915"/>
    <w:rsid w:val="48EB6572"/>
    <w:rsid w:val="495C4A24"/>
    <w:rsid w:val="497135DF"/>
    <w:rsid w:val="499517F9"/>
    <w:rsid w:val="4A263DF2"/>
    <w:rsid w:val="4A6F6675"/>
    <w:rsid w:val="4B135857"/>
    <w:rsid w:val="4B7951CB"/>
    <w:rsid w:val="4B7C315C"/>
    <w:rsid w:val="4BE124D0"/>
    <w:rsid w:val="4DAC4ACA"/>
    <w:rsid w:val="4DBE01D2"/>
    <w:rsid w:val="4F0C6BA3"/>
    <w:rsid w:val="4F186D58"/>
    <w:rsid w:val="50F06B6E"/>
    <w:rsid w:val="516F402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33E5B"/>
    <w:rsid w:val="558E4E05"/>
    <w:rsid w:val="55BE2E85"/>
    <w:rsid w:val="56530F5D"/>
    <w:rsid w:val="567700D3"/>
    <w:rsid w:val="56FF7E9E"/>
    <w:rsid w:val="578867FC"/>
    <w:rsid w:val="57F21F81"/>
    <w:rsid w:val="5842572D"/>
    <w:rsid w:val="5A3B59D6"/>
    <w:rsid w:val="5A4A7648"/>
    <w:rsid w:val="5AD134D8"/>
    <w:rsid w:val="5AF54B41"/>
    <w:rsid w:val="5C263CE4"/>
    <w:rsid w:val="5C5D2777"/>
    <w:rsid w:val="5CF66BF3"/>
    <w:rsid w:val="5D290C69"/>
    <w:rsid w:val="5F2D4A41"/>
    <w:rsid w:val="60C1330C"/>
    <w:rsid w:val="60C74F6C"/>
    <w:rsid w:val="61025A59"/>
    <w:rsid w:val="613D5BBC"/>
    <w:rsid w:val="61536C39"/>
    <w:rsid w:val="62944DD7"/>
    <w:rsid w:val="62CD2CFA"/>
    <w:rsid w:val="6319381F"/>
    <w:rsid w:val="63C25DC5"/>
    <w:rsid w:val="63C62057"/>
    <w:rsid w:val="64571EF5"/>
    <w:rsid w:val="64FB113D"/>
    <w:rsid w:val="656152C6"/>
    <w:rsid w:val="6587477F"/>
    <w:rsid w:val="658C3A08"/>
    <w:rsid w:val="65C031CA"/>
    <w:rsid w:val="65CE6852"/>
    <w:rsid w:val="66267C04"/>
    <w:rsid w:val="663F505A"/>
    <w:rsid w:val="666816E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91852"/>
    <w:rsid w:val="71C34D91"/>
    <w:rsid w:val="72DB435C"/>
    <w:rsid w:val="72E2613A"/>
    <w:rsid w:val="72F771F4"/>
    <w:rsid w:val="73934AD2"/>
    <w:rsid w:val="750837F0"/>
    <w:rsid w:val="754758CF"/>
    <w:rsid w:val="764F62AB"/>
    <w:rsid w:val="765C45EC"/>
    <w:rsid w:val="768A7619"/>
    <w:rsid w:val="77271EEF"/>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dcterms:modified xsi:type="dcterms:W3CDTF">2024-09-29T09:28:47Z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