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jc w:val="center"/>
        <w:rPr>
          <w:rFonts w:ascii="方正小标宋_GBK" w:eastAsia="方正小标宋_GBK"/>
          <w:sz w:val="44"/>
          <w:szCs w:val="44"/>
        </w:rPr>
      </w:pPr>
      <w:bookmarkStart w:id="0" w:name="_GoBack"/>
      <w:bookmarkEnd w:id="0"/>
      <w:r>
        <w:rPr>
          <w:rFonts w:ascii="方正小标宋_GBK" w:eastAsia="方正小标宋_GBK"/>
          <w:sz w:val="44"/>
          <w:szCs w:val="44"/>
        </w:rPr>
        <w:t>秀山土家族苗族自治县集体土地征收</w:t>
      </w:r>
    </w:p>
    <w:p>
      <w:pPr>
        <w:widowControl w:val="0"/>
        <w:snapToGrid w:val="0"/>
        <w:jc w:val="center"/>
        <w:rPr>
          <w:rFonts w:ascii="方正小标宋_GBK" w:eastAsia="方正小标宋_GBK"/>
          <w:sz w:val="44"/>
          <w:szCs w:val="44"/>
        </w:rPr>
      </w:pPr>
      <w:r>
        <w:rPr>
          <w:rFonts w:ascii="方正小标宋_GBK" w:eastAsia="方正小标宋_GBK"/>
          <w:sz w:val="44"/>
          <w:szCs w:val="44"/>
        </w:rPr>
        <w:t>补偿安置实施办法</w:t>
      </w:r>
    </w:p>
    <w:p>
      <w:pPr>
        <w:widowControl w:val="0"/>
        <w:snapToGrid w:val="0"/>
        <w:jc w:val="center"/>
        <w:rPr>
          <w:rFonts w:ascii="方正小标宋_GBK" w:eastAsia="方正小标宋_GBK"/>
          <w:sz w:val="56"/>
          <w:szCs w:val="32"/>
        </w:rPr>
      </w:pPr>
    </w:p>
    <w:p>
      <w:pPr>
        <w:jc w:val="center"/>
        <w:rPr>
          <w:rFonts w:hint="eastAsia" w:ascii="方正小标宋_GBK" w:eastAsia="方正小标宋_GBK"/>
          <w:color w:val="000000"/>
          <w:szCs w:val="32"/>
        </w:rPr>
      </w:pPr>
      <w:r>
        <w:rPr>
          <w:rFonts w:hint="eastAsia" w:ascii="方正小标宋_GBK" w:eastAsia="方正小标宋_GBK"/>
          <w:color w:val="000000"/>
          <w:szCs w:val="32"/>
        </w:rPr>
        <w:t>第一章 总则</w:t>
      </w:r>
    </w:p>
    <w:p>
      <w:pPr>
        <w:ind w:firstLine="640"/>
        <w:rPr>
          <w:b/>
          <w:bCs/>
          <w:color w:val="000000"/>
          <w:szCs w:val="32"/>
        </w:rPr>
      </w:pPr>
    </w:p>
    <w:p>
      <w:pPr>
        <w:widowControl w:val="0"/>
        <w:ind w:firstLine="640"/>
        <w:rPr>
          <w:color w:val="000000"/>
          <w:szCs w:val="32"/>
        </w:rPr>
      </w:pPr>
      <w:r>
        <w:rPr>
          <w:rFonts w:ascii="黑体" w:hAnsi="黑体" w:eastAsia="黑体"/>
          <w:bCs/>
          <w:color w:val="000000"/>
          <w:szCs w:val="32"/>
        </w:rPr>
        <w:t>第一条</w:t>
      </w:r>
      <w:r>
        <w:rPr>
          <w:rFonts w:hint="eastAsia"/>
          <w:b/>
          <w:bCs/>
          <w:color w:val="000000"/>
          <w:szCs w:val="32"/>
        </w:rPr>
        <w:t xml:space="preserve">  </w:t>
      </w:r>
      <w:r>
        <w:rPr>
          <w:color w:val="000000"/>
          <w:szCs w:val="32"/>
        </w:rPr>
        <w:t>为规范本县农民集体所有的土地（以下简称集体土地）征收的补偿安置工作，保障被征收土地的所有权人、使用权人的合法权益，根据《重庆市集体土地征收补偿安置办法》（重庆市人民政府令第344号）和《重庆市人民政府关于公布征地补偿安置标准有关事项的通知》（渝府发〔2021〕14号），结合本县实际，制定本实施办法。</w:t>
      </w:r>
    </w:p>
    <w:p>
      <w:pPr>
        <w:widowControl w:val="0"/>
        <w:ind w:firstLine="640"/>
        <w:rPr>
          <w:color w:val="000000"/>
          <w:szCs w:val="32"/>
        </w:rPr>
      </w:pPr>
      <w:r>
        <w:rPr>
          <w:rFonts w:ascii="黑体" w:hAnsi="黑体" w:eastAsia="黑体"/>
          <w:bCs/>
          <w:color w:val="000000"/>
          <w:szCs w:val="32"/>
        </w:rPr>
        <w:t>第二条</w:t>
      </w:r>
      <w:r>
        <w:rPr>
          <w:rFonts w:hint="eastAsia"/>
          <w:b/>
          <w:bCs/>
          <w:color w:val="000000"/>
          <w:szCs w:val="32"/>
        </w:rPr>
        <w:t xml:space="preserve"> </w:t>
      </w:r>
      <w:r>
        <w:rPr>
          <w:rFonts w:hint="eastAsia"/>
          <w:color w:val="000000"/>
          <w:szCs w:val="32"/>
        </w:rPr>
        <w:t xml:space="preserve"> </w:t>
      </w:r>
      <w:r>
        <w:rPr>
          <w:color w:val="000000"/>
          <w:szCs w:val="32"/>
        </w:rPr>
        <w:t>本县行政区域内集体土地征收的补偿、人员安置和住房安置，适用本实施办法。</w:t>
      </w:r>
    </w:p>
    <w:p>
      <w:pPr>
        <w:widowControl w:val="0"/>
        <w:ind w:firstLine="640"/>
        <w:rPr>
          <w:color w:val="000000"/>
          <w:szCs w:val="32"/>
        </w:rPr>
      </w:pPr>
      <w:r>
        <w:rPr>
          <w:rFonts w:ascii="黑体" w:hAnsi="黑体" w:eastAsia="黑体"/>
          <w:bCs/>
          <w:color w:val="000000"/>
          <w:szCs w:val="32"/>
        </w:rPr>
        <w:t>第三条</w:t>
      </w:r>
      <w:r>
        <w:rPr>
          <w:rFonts w:hint="eastAsia"/>
          <w:b/>
          <w:bCs/>
          <w:color w:val="000000"/>
          <w:szCs w:val="32"/>
        </w:rPr>
        <w:t xml:space="preserve">  </w:t>
      </w:r>
      <w:r>
        <w:rPr>
          <w:color w:val="000000"/>
          <w:szCs w:val="32"/>
        </w:rPr>
        <w:t>县人民政府负责本行政区域内集体土地征收补偿安置的组织实施工作。县征地实施机构承担本行政区域内集体土地征收补偿安置具体实施的事务性工作。</w:t>
      </w:r>
    </w:p>
    <w:p>
      <w:pPr>
        <w:widowControl w:val="0"/>
        <w:ind w:firstLine="640"/>
        <w:rPr>
          <w:color w:val="000000"/>
          <w:szCs w:val="32"/>
        </w:rPr>
      </w:pPr>
      <w:r>
        <w:rPr>
          <w:color w:val="000000"/>
          <w:szCs w:val="32"/>
        </w:rPr>
        <w:t>县规划自然资源局负责对集体土地征收补偿安置具体实施的事务性工作进行管理和监督。</w:t>
      </w:r>
    </w:p>
    <w:p>
      <w:pPr>
        <w:widowControl w:val="0"/>
        <w:ind w:firstLine="640"/>
        <w:rPr>
          <w:color w:val="000000"/>
          <w:szCs w:val="32"/>
        </w:rPr>
      </w:pPr>
      <w:r>
        <w:rPr>
          <w:color w:val="000000"/>
          <w:szCs w:val="32"/>
        </w:rPr>
        <w:t>县人力社保局负责征地安置人员的基本养老保险和促进就业工作。</w:t>
      </w:r>
    </w:p>
    <w:p>
      <w:pPr>
        <w:widowControl w:val="0"/>
        <w:ind w:firstLine="640"/>
        <w:rPr>
          <w:color w:val="000000"/>
          <w:szCs w:val="32"/>
        </w:rPr>
      </w:pPr>
      <w:r>
        <w:rPr>
          <w:color w:val="000000"/>
          <w:szCs w:val="32"/>
        </w:rPr>
        <w:t>县公安局负责被征地农村集体经济组织所在地居民户口信息提供和审核工作。</w:t>
      </w:r>
    </w:p>
    <w:p>
      <w:pPr>
        <w:widowControl w:val="0"/>
        <w:ind w:firstLine="640"/>
        <w:rPr>
          <w:color w:val="000000"/>
          <w:szCs w:val="32"/>
        </w:rPr>
      </w:pPr>
      <w:r>
        <w:rPr>
          <w:color w:val="000000"/>
          <w:szCs w:val="32"/>
        </w:rPr>
        <w:t>县农业农村委负责征地涉及的农村土地承包经营及承包经营合同管理，农村集体资产管理的指导、协调和监督及农村宅基地管理工作。</w:t>
      </w:r>
    </w:p>
    <w:p>
      <w:pPr>
        <w:pStyle w:val="8"/>
        <w:widowControl w:val="0"/>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县财政</w:t>
      </w:r>
      <w:r>
        <w:rPr>
          <w:rFonts w:hint="eastAsia" w:ascii="Times New Roman" w:hAnsi="Times New Roman" w:eastAsia="方正仿宋_GBK" w:cs="Times New Roman"/>
          <w:sz w:val="32"/>
          <w:szCs w:val="32"/>
        </w:rPr>
        <w:t>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住房城乡建</w:t>
      </w:r>
      <w:r>
        <w:rPr>
          <w:rFonts w:hint="eastAsia" w:ascii="Times New Roman" w:hAnsi="Times New Roman" w:eastAsia="方正仿宋_GBK" w:cs="Times New Roman"/>
          <w:sz w:val="32"/>
          <w:szCs w:val="32"/>
        </w:rPr>
        <w:t>委</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民政</w:t>
      </w:r>
      <w:r>
        <w:rPr>
          <w:rFonts w:hint="eastAsia" w:ascii="Times New Roman" w:hAnsi="Times New Roman" w:eastAsia="方正仿宋_GBK" w:cs="Times New Roman"/>
          <w:sz w:val="32"/>
          <w:szCs w:val="32"/>
        </w:rPr>
        <w:t>局</w:t>
      </w:r>
      <w:r>
        <w:rPr>
          <w:rFonts w:ascii="Times New Roman" w:hAnsi="Times New Roman" w:eastAsia="方正仿宋_GBK" w:cs="Times New Roman"/>
          <w:sz w:val="32"/>
          <w:szCs w:val="32"/>
        </w:rPr>
        <w:t>等部门，按照各自职责做好集体土地征收补偿安置相关工作。</w:t>
      </w:r>
    </w:p>
    <w:p>
      <w:pPr>
        <w:widowControl w:val="0"/>
        <w:ind w:firstLine="640"/>
        <w:rPr>
          <w:color w:val="000000"/>
          <w:szCs w:val="32"/>
        </w:rPr>
      </w:pPr>
      <w:r>
        <w:rPr>
          <w:color w:val="000000"/>
          <w:szCs w:val="32"/>
        </w:rPr>
        <w:t>乡镇人民政府（街道办事处）负责征地涉及的农村土地承包经营及承包经营合同管理，农村宅基地审核批准，并按照县人民政府的要求，做好辖区内集体土地征收补偿安置的相关工作。</w:t>
      </w:r>
    </w:p>
    <w:p>
      <w:pPr>
        <w:widowControl w:val="0"/>
        <w:ind w:firstLine="640"/>
        <w:jc w:val="center"/>
        <w:rPr>
          <w:rFonts w:eastAsia="方正黑体_GBK"/>
          <w:color w:val="000000"/>
          <w:szCs w:val="32"/>
        </w:rPr>
      </w:pPr>
    </w:p>
    <w:p>
      <w:pPr>
        <w:jc w:val="center"/>
        <w:rPr>
          <w:rFonts w:ascii="方正小标宋_GBK" w:eastAsia="方正小标宋_GBK"/>
          <w:color w:val="000000"/>
          <w:szCs w:val="32"/>
        </w:rPr>
      </w:pPr>
      <w:r>
        <w:rPr>
          <w:rFonts w:ascii="方正小标宋_GBK" w:eastAsia="方正小标宋_GBK"/>
          <w:color w:val="000000"/>
          <w:szCs w:val="32"/>
        </w:rPr>
        <w:t>第二章 征地补偿</w:t>
      </w:r>
    </w:p>
    <w:p>
      <w:pPr>
        <w:widowControl w:val="0"/>
        <w:ind w:firstLine="640"/>
        <w:rPr>
          <w:b/>
          <w:bCs/>
          <w:color w:val="000000"/>
          <w:szCs w:val="32"/>
        </w:rPr>
      </w:pPr>
    </w:p>
    <w:p>
      <w:pPr>
        <w:widowControl w:val="0"/>
        <w:ind w:firstLine="640"/>
        <w:rPr>
          <w:color w:val="000000"/>
          <w:szCs w:val="32"/>
        </w:rPr>
      </w:pPr>
      <w:r>
        <w:rPr>
          <w:rFonts w:ascii="黑体" w:hAnsi="黑体" w:eastAsia="黑体"/>
          <w:bCs/>
          <w:color w:val="000000"/>
          <w:szCs w:val="32"/>
        </w:rPr>
        <w:t>第四条</w:t>
      </w:r>
      <w:r>
        <w:rPr>
          <w:rFonts w:hint="eastAsia"/>
          <w:color w:val="000000"/>
          <w:szCs w:val="32"/>
        </w:rPr>
        <w:t xml:space="preserve">  </w:t>
      </w:r>
      <w:r>
        <w:rPr>
          <w:color w:val="000000"/>
          <w:szCs w:val="32"/>
        </w:rPr>
        <w:t>征收集体土地应当依法及时足额支付土地补偿费、安置补助费以及农村房屋、其他地上附着物和青苗等的补偿费用。</w:t>
      </w:r>
    </w:p>
    <w:p>
      <w:pPr>
        <w:widowControl w:val="0"/>
        <w:ind w:firstLine="640"/>
        <w:rPr>
          <w:color w:val="000000"/>
          <w:szCs w:val="32"/>
        </w:rPr>
      </w:pPr>
      <w:r>
        <w:rPr>
          <w:rFonts w:ascii="黑体" w:hAnsi="黑体" w:eastAsia="黑体"/>
          <w:bCs/>
          <w:color w:val="000000"/>
          <w:szCs w:val="32"/>
        </w:rPr>
        <w:t>第五条</w:t>
      </w:r>
      <w:r>
        <w:rPr>
          <w:rFonts w:hint="eastAsia"/>
          <w:color w:val="000000"/>
          <w:szCs w:val="32"/>
        </w:rPr>
        <w:t xml:space="preserve">  </w:t>
      </w:r>
      <w:r>
        <w:rPr>
          <w:color w:val="000000"/>
          <w:szCs w:val="32"/>
        </w:rPr>
        <w:t>征收农用地、建设用地和未利用地的土地补偿费、安置补助费，不分地类，按照市人民政府制定公布的区片综合地价标准乘以被征收土地面积计算。区片综合地价中，土地补偿费占30%，安置补助费占70%。</w:t>
      </w:r>
    </w:p>
    <w:p>
      <w:pPr>
        <w:widowControl w:val="0"/>
        <w:ind w:firstLine="640"/>
        <w:rPr>
          <w:color w:val="000000"/>
          <w:szCs w:val="32"/>
        </w:rPr>
      </w:pPr>
      <w:r>
        <w:rPr>
          <w:color w:val="000000"/>
          <w:szCs w:val="32"/>
        </w:rPr>
        <w:t>本县行政区域范围内，区片综合地价标准按照附件1执行。</w:t>
      </w:r>
    </w:p>
    <w:p>
      <w:pPr>
        <w:widowControl w:val="0"/>
        <w:ind w:firstLine="640"/>
        <w:rPr>
          <w:color w:val="000000"/>
          <w:szCs w:val="32"/>
        </w:rPr>
      </w:pPr>
      <w:r>
        <w:rPr>
          <w:rFonts w:ascii="黑体" w:hAnsi="黑体" w:eastAsia="黑体"/>
          <w:bCs/>
          <w:color w:val="000000"/>
          <w:szCs w:val="32"/>
        </w:rPr>
        <w:t>第六条</w:t>
      </w:r>
      <w:r>
        <w:rPr>
          <w:rFonts w:hint="eastAsia"/>
          <w:color w:val="000000"/>
          <w:szCs w:val="32"/>
        </w:rPr>
        <w:t xml:space="preserve">  </w:t>
      </w:r>
      <w:r>
        <w:rPr>
          <w:color w:val="000000"/>
          <w:szCs w:val="32"/>
        </w:rPr>
        <w:t>被征收土地的土地补偿费，按照市人民政府制定公布的土地补偿费标准（区片综合地价的30%）乘以农村集体经济组织被征收土地面积计算。</w:t>
      </w:r>
    </w:p>
    <w:p>
      <w:pPr>
        <w:widowControl w:val="0"/>
        <w:ind w:firstLine="640" w:firstLineChars="200"/>
        <w:rPr>
          <w:color w:val="000000"/>
          <w:szCs w:val="32"/>
        </w:rPr>
      </w:pPr>
      <w:r>
        <w:rPr>
          <w:color w:val="000000"/>
          <w:szCs w:val="32"/>
        </w:rPr>
        <w:t>土地补偿费由县征地实施机构支付给被征地农村集体经济组织。其中，被征收土地为家庭承包土地的，土地补偿费的80%由农村集体经济组织按照被征收土地面积发放给承包经营户，土地补偿费的20%由农村集体经济组织依法管理和使用；被征收土地为未发包土地或者其他方式承包土地的，土地补偿费由农村集体经济组织依法管理和使用。</w:t>
      </w:r>
    </w:p>
    <w:p>
      <w:pPr>
        <w:widowControl w:val="0"/>
        <w:ind w:firstLine="640"/>
        <w:rPr>
          <w:color w:val="000000"/>
          <w:szCs w:val="32"/>
        </w:rPr>
      </w:pPr>
      <w:r>
        <w:rPr>
          <w:color w:val="000000"/>
          <w:szCs w:val="32"/>
        </w:rPr>
        <w:t>被征收土地的安置补助费，按照市人民政府制定公布的安置补助费标准（区片综合地价的70%）乘以农村集体经济组织被征收土地面积计算。</w:t>
      </w:r>
    </w:p>
    <w:p>
      <w:pPr>
        <w:widowControl w:val="0"/>
        <w:ind w:firstLine="640"/>
        <w:rPr>
          <w:color w:val="000000"/>
          <w:szCs w:val="32"/>
        </w:rPr>
      </w:pPr>
      <w:r>
        <w:rPr>
          <w:color w:val="000000"/>
          <w:szCs w:val="32"/>
        </w:rPr>
        <w:t>安置补助费由县征地实施机构按照36000元/人的发放标准支付给人员安置对象。前款计算的安置补助费支付后有结余的，结余部分交由农村集体经济组织依法管理和使用；不足的，由县人民政府安排资金予以补足。</w:t>
      </w:r>
    </w:p>
    <w:p>
      <w:pPr>
        <w:widowControl w:val="0"/>
        <w:ind w:firstLine="640"/>
        <w:rPr>
          <w:color w:val="000000"/>
          <w:szCs w:val="32"/>
        </w:rPr>
      </w:pPr>
      <w:r>
        <w:rPr>
          <w:rFonts w:ascii="黑体" w:hAnsi="黑体" w:eastAsia="黑体"/>
          <w:bCs/>
          <w:color w:val="000000"/>
          <w:szCs w:val="32"/>
        </w:rPr>
        <w:t>第七条</w:t>
      </w:r>
      <w:r>
        <w:rPr>
          <w:rFonts w:hint="eastAsia"/>
          <w:color w:val="000000"/>
          <w:szCs w:val="32"/>
        </w:rPr>
        <w:t xml:space="preserve">  </w:t>
      </w:r>
      <w:r>
        <w:rPr>
          <w:color w:val="000000"/>
          <w:szCs w:val="32"/>
        </w:rPr>
        <w:t>农村房屋以不动产权属证书记载的合法建筑面积为准，按照重置价格标准补偿</w:t>
      </w:r>
      <w:r>
        <w:rPr>
          <w:rFonts w:hint="eastAsia"/>
          <w:color w:val="000000"/>
          <w:szCs w:val="32"/>
        </w:rPr>
        <w:t>，补偿标准</w:t>
      </w:r>
      <w:r>
        <w:rPr>
          <w:color w:val="000000"/>
          <w:szCs w:val="32"/>
        </w:rPr>
        <w:t>见附件2。</w:t>
      </w:r>
    </w:p>
    <w:p>
      <w:pPr>
        <w:widowControl w:val="0"/>
        <w:ind w:firstLine="640"/>
        <w:rPr>
          <w:color w:val="000000"/>
          <w:szCs w:val="32"/>
        </w:rPr>
      </w:pPr>
      <w:r>
        <w:rPr>
          <w:color w:val="000000"/>
          <w:szCs w:val="32"/>
        </w:rPr>
        <w:t>未取得不动产权证书的房屋，由县人民政府组织县规划自然资源局、农业农村委等部门和乡镇人民政府依法予以认定。</w:t>
      </w:r>
    </w:p>
    <w:p>
      <w:pPr>
        <w:widowControl w:val="0"/>
        <w:ind w:firstLine="640"/>
        <w:rPr>
          <w:b/>
          <w:bCs/>
          <w:color w:val="000000"/>
          <w:szCs w:val="32"/>
        </w:rPr>
      </w:pPr>
      <w:r>
        <w:rPr>
          <w:rFonts w:ascii="黑体" w:hAnsi="黑体" w:eastAsia="黑体"/>
          <w:bCs/>
          <w:color w:val="000000"/>
          <w:szCs w:val="32"/>
        </w:rPr>
        <w:t>第八条</w:t>
      </w:r>
      <w:r>
        <w:rPr>
          <w:rFonts w:hint="eastAsia"/>
          <w:color w:val="000000"/>
          <w:szCs w:val="32"/>
        </w:rPr>
        <w:t xml:space="preserve">  </w:t>
      </w:r>
      <w:r>
        <w:rPr>
          <w:color w:val="000000"/>
          <w:szCs w:val="32"/>
        </w:rPr>
        <w:t>被搬迁房屋的装修、装饰等按照附件3规定的标准予以补助。</w:t>
      </w:r>
    </w:p>
    <w:p>
      <w:pPr>
        <w:widowControl w:val="0"/>
        <w:ind w:firstLine="640"/>
        <w:rPr>
          <w:color w:val="000000"/>
          <w:szCs w:val="32"/>
        </w:rPr>
      </w:pPr>
      <w:r>
        <w:rPr>
          <w:rFonts w:ascii="黑体" w:hAnsi="黑体" w:eastAsia="黑体"/>
          <w:bCs/>
          <w:color w:val="000000"/>
          <w:szCs w:val="32"/>
        </w:rPr>
        <w:t>第九条</w:t>
      </w:r>
      <w:r>
        <w:rPr>
          <w:rFonts w:hint="eastAsia"/>
          <w:color w:val="000000"/>
          <w:szCs w:val="32"/>
        </w:rPr>
        <w:t xml:space="preserve">  </w:t>
      </w:r>
      <w:r>
        <w:rPr>
          <w:color w:val="000000"/>
          <w:szCs w:val="32"/>
        </w:rPr>
        <w:t>本实施办法所称其他地上附着物，是指除房屋外的建筑物、构筑物以及林木和其他经济作物</w:t>
      </w:r>
      <w:r>
        <w:rPr>
          <w:rFonts w:hint="eastAsia"/>
          <w:color w:val="000000"/>
          <w:szCs w:val="32"/>
        </w:rPr>
        <w:t>等</w:t>
      </w:r>
      <w:r>
        <w:rPr>
          <w:color w:val="000000"/>
          <w:szCs w:val="32"/>
        </w:rPr>
        <w:t>；青苗，是指土地上生长的农作物。</w:t>
      </w:r>
    </w:p>
    <w:p>
      <w:pPr>
        <w:widowControl w:val="0"/>
        <w:ind w:firstLine="640"/>
        <w:rPr>
          <w:color w:val="000000"/>
        </w:rPr>
      </w:pPr>
      <w:r>
        <w:rPr>
          <w:color w:val="000000"/>
          <w:szCs w:val="32"/>
        </w:rPr>
        <w:t>青苗、林木和其他经济作物等实行综合定额补偿，</w:t>
      </w:r>
      <w:r>
        <w:rPr>
          <w:rFonts w:hint="eastAsia"/>
          <w:color w:val="000000"/>
          <w:szCs w:val="32"/>
        </w:rPr>
        <w:t>按被征地面积扣除林地后的面积计算，</w:t>
      </w:r>
      <w:r>
        <w:rPr>
          <w:color w:val="000000"/>
          <w:szCs w:val="32"/>
        </w:rPr>
        <w:t>Ⅰ、Ⅱ、Ⅲ区片（范围与区片综合地价Ⅰ、Ⅱ、Ⅲ区片一致）综合定额补偿标准分别为每亩1</w:t>
      </w:r>
      <w:r>
        <w:rPr>
          <w:rFonts w:hint="eastAsia"/>
          <w:color w:val="000000"/>
          <w:szCs w:val="32"/>
        </w:rPr>
        <w:t>6</w:t>
      </w:r>
      <w:r>
        <w:rPr>
          <w:color w:val="000000"/>
          <w:szCs w:val="32"/>
        </w:rPr>
        <w:t>000元、</w:t>
      </w:r>
      <w:r>
        <w:rPr>
          <w:rFonts w:hint="eastAsia"/>
          <w:color w:val="000000"/>
          <w:szCs w:val="32"/>
        </w:rPr>
        <w:t>10</w:t>
      </w:r>
      <w:r>
        <w:rPr>
          <w:color w:val="000000"/>
          <w:szCs w:val="32"/>
        </w:rPr>
        <w:t>000元、8000元。除房屋外（含林地上）的建构筑物等实行据实补偿，补偿标准见附件4。</w:t>
      </w:r>
    </w:p>
    <w:p>
      <w:pPr>
        <w:widowControl w:val="0"/>
        <w:ind w:firstLine="640" w:firstLineChars="200"/>
        <w:rPr>
          <w:color w:val="000000"/>
          <w:szCs w:val="32"/>
        </w:rPr>
      </w:pPr>
      <w:r>
        <w:rPr>
          <w:rFonts w:hint="eastAsia"/>
          <w:color w:val="000000"/>
          <w:szCs w:val="32"/>
        </w:rPr>
        <w:t>综合定额补偿标准中，包含粮油类青苗费每亩1600元、蔬菜和经济作物类青苗费每亩1800元。</w:t>
      </w:r>
    </w:p>
    <w:p>
      <w:pPr>
        <w:widowControl w:val="0"/>
        <w:ind w:firstLine="640" w:firstLineChars="200"/>
        <w:rPr>
          <w:color w:val="000000"/>
          <w:szCs w:val="32"/>
        </w:rPr>
      </w:pPr>
      <w:r>
        <w:rPr>
          <w:color w:val="000000"/>
          <w:szCs w:val="32"/>
        </w:rPr>
        <w:t>征收林地上的林木及附着物的补偿标准，按照国家和本市、县征收林地的有关规定执行，补偿标准低于综合定额标准的，按照综合定额标准补偿。</w:t>
      </w:r>
    </w:p>
    <w:p>
      <w:pPr>
        <w:widowControl w:val="0"/>
        <w:ind w:firstLine="640" w:firstLineChars="200"/>
        <w:rPr>
          <w:color w:val="000000"/>
          <w:szCs w:val="32"/>
        </w:rPr>
      </w:pPr>
      <w:r>
        <w:rPr>
          <w:rFonts w:ascii="黑体" w:hAnsi="黑体" w:eastAsia="黑体"/>
          <w:bCs/>
          <w:color w:val="000000"/>
          <w:szCs w:val="32"/>
        </w:rPr>
        <w:t>第十条</w:t>
      </w:r>
      <w:r>
        <w:rPr>
          <w:rFonts w:hint="eastAsia"/>
          <w:color w:val="000000"/>
          <w:szCs w:val="32"/>
        </w:rPr>
        <w:t xml:space="preserve">  </w:t>
      </w:r>
      <w:r>
        <w:rPr>
          <w:color w:val="000000"/>
          <w:szCs w:val="32"/>
        </w:rPr>
        <w:t>有下列情形之一的，不予补偿：</w:t>
      </w:r>
    </w:p>
    <w:p>
      <w:pPr>
        <w:widowControl w:val="0"/>
        <w:ind w:firstLine="640"/>
        <w:rPr>
          <w:color w:val="000000"/>
          <w:szCs w:val="32"/>
        </w:rPr>
      </w:pPr>
      <w:r>
        <w:rPr>
          <w:color w:val="000000"/>
          <w:szCs w:val="32"/>
        </w:rPr>
        <w:t>（一）违法建（构）筑物；</w:t>
      </w:r>
    </w:p>
    <w:p>
      <w:pPr>
        <w:widowControl w:val="0"/>
        <w:ind w:firstLine="640"/>
        <w:rPr>
          <w:color w:val="000000"/>
          <w:szCs w:val="32"/>
        </w:rPr>
      </w:pPr>
      <w:r>
        <w:rPr>
          <w:color w:val="000000"/>
          <w:szCs w:val="32"/>
        </w:rPr>
        <w:t>（二）已拆除的房屋、房屋已垮塌的部分；</w:t>
      </w:r>
    </w:p>
    <w:p>
      <w:pPr>
        <w:widowControl w:val="0"/>
        <w:ind w:firstLine="640"/>
        <w:rPr>
          <w:color w:val="000000"/>
          <w:szCs w:val="32"/>
        </w:rPr>
      </w:pPr>
      <w:r>
        <w:rPr>
          <w:color w:val="000000"/>
          <w:szCs w:val="32"/>
        </w:rPr>
        <w:t>（三）县人民政府发布土地征收预公告后栽种的青苗及花草、树木等附着物；</w:t>
      </w:r>
    </w:p>
    <w:p>
      <w:pPr>
        <w:widowControl w:val="0"/>
        <w:ind w:firstLine="640"/>
        <w:rPr>
          <w:color w:val="000000"/>
          <w:szCs w:val="32"/>
        </w:rPr>
      </w:pPr>
      <w:r>
        <w:rPr>
          <w:color w:val="000000"/>
          <w:szCs w:val="32"/>
        </w:rPr>
        <w:t>（四）其他不当增加补偿费用的情形。</w:t>
      </w:r>
    </w:p>
    <w:p>
      <w:pPr>
        <w:widowControl w:val="0"/>
        <w:ind w:firstLine="640"/>
        <w:rPr>
          <w:color w:val="000000"/>
          <w:szCs w:val="32"/>
        </w:rPr>
      </w:pPr>
      <w:r>
        <w:rPr>
          <w:rFonts w:ascii="黑体" w:hAnsi="黑体" w:eastAsia="黑体"/>
          <w:bCs/>
          <w:color w:val="000000"/>
          <w:szCs w:val="32"/>
        </w:rPr>
        <w:t>第十一条</w:t>
      </w:r>
      <w:r>
        <w:rPr>
          <w:rFonts w:hint="eastAsia"/>
          <w:b/>
          <w:bCs/>
          <w:color w:val="000000"/>
          <w:szCs w:val="32"/>
        </w:rPr>
        <w:t xml:space="preserve">  </w:t>
      </w:r>
      <w:r>
        <w:rPr>
          <w:color w:val="000000"/>
          <w:szCs w:val="32"/>
        </w:rPr>
        <w:t>征收土地预公告发布之日，持有合法证照从事规模化生产经营活动的，应当综合考虑生产经营年限、规模、类别、搬迁损失、搬迁难易度等因素，对生产经营者一次性给予搬迁补助费。</w:t>
      </w:r>
    </w:p>
    <w:p>
      <w:pPr>
        <w:widowControl w:val="0"/>
        <w:ind w:firstLine="640" w:firstLineChars="200"/>
        <w:rPr>
          <w:color w:val="000000"/>
          <w:szCs w:val="32"/>
        </w:rPr>
      </w:pPr>
      <w:r>
        <w:rPr>
          <w:color w:val="000000"/>
          <w:szCs w:val="32"/>
        </w:rPr>
        <w:t>规模化</w:t>
      </w:r>
      <w:r>
        <w:rPr>
          <w:rFonts w:hint="eastAsia"/>
          <w:color w:val="000000"/>
          <w:szCs w:val="32"/>
        </w:rPr>
        <w:t>专业</w:t>
      </w:r>
      <w:r>
        <w:rPr>
          <w:color w:val="000000"/>
          <w:szCs w:val="32"/>
        </w:rPr>
        <w:t>种植类、规模化</w:t>
      </w:r>
      <w:r>
        <w:rPr>
          <w:rFonts w:hint="eastAsia"/>
          <w:color w:val="000000"/>
          <w:szCs w:val="32"/>
        </w:rPr>
        <w:t>专业</w:t>
      </w:r>
      <w:r>
        <w:rPr>
          <w:color w:val="000000"/>
          <w:szCs w:val="32"/>
        </w:rPr>
        <w:t>水产养殖类、规模化</w:t>
      </w:r>
      <w:r>
        <w:rPr>
          <w:rFonts w:hint="eastAsia"/>
          <w:color w:val="000000"/>
          <w:szCs w:val="32"/>
        </w:rPr>
        <w:t>专业</w:t>
      </w:r>
      <w:r>
        <w:rPr>
          <w:color w:val="000000"/>
          <w:szCs w:val="32"/>
        </w:rPr>
        <w:t>畜禽养殖类搬迁补助费标准见附件5。</w:t>
      </w:r>
      <w:r>
        <w:rPr>
          <w:rFonts w:hint="eastAsia"/>
          <w:color w:val="000000"/>
          <w:szCs w:val="32"/>
        </w:rPr>
        <w:t>专业种植、水产养殖的规模化是指种植、养殖面积达到5亩及以上；专业畜禽养殖的规模化是指小型畜禽养殖数量达到300及以上、大型畜禽养殖数量达到50及以上。</w:t>
      </w:r>
    </w:p>
    <w:p>
      <w:pPr>
        <w:widowControl w:val="0"/>
        <w:ind w:firstLine="640" w:firstLineChars="200"/>
        <w:rPr>
          <w:color w:val="000000"/>
          <w:szCs w:val="32"/>
        </w:rPr>
      </w:pPr>
      <w:r>
        <w:rPr>
          <w:color w:val="000000"/>
          <w:szCs w:val="32"/>
        </w:rPr>
        <w:t>工业类搬迁补助费标准按所搬迁设施设备评估净值的20%，搬迁后丧失使用价值的，按所搬迁设施设备评估净值计算。</w:t>
      </w:r>
    </w:p>
    <w:p>
      <w:pPr>
        <w:widowControl w:val="0"/>
        <w:ind w:firstLine="640" w:firstLineChars="200"/>
        <w:rPr>
          <w:color w:val="000000"/>
          <w:szCs w:val="32"/>
        </w:rPr>
      </w:pPr>
      <w:r>
        <w:rPr>
          <w:color w:val="000000"/>
          <w:szCs w:val="32"/>
        </w:rPr>
        <w:t>商业服务类搬迁补助费标准按照实际用于商业服务经营的房屋建筑面积计算，补助标准每平方米200元。</w:t>
      </w:r>
    </w:p>
    <w:p>
      <w:pPr>
        <w:pStyle w:val="8"/>
        <w:widowControl w:val="0"/>
        <w:rPr>
          <w:rFonts w:ascii="Times New Roman" w:hAnsi="Times New Roman" w:cs="Times New Roman"/>
        </w:rPr>
      </w:pPr>
    </w:p>
    <w:p>
      <w:pPr>
        <w:jc w:val="center"/>
        <w:rPr>
          <w:rFonts w:ascii="方正小标宋_GBK" w:eastAsia="方正小标宋_GBK"/>
          <w:color w:val="000000"/>
          <w:szCs w:val="32"/>
        </w:rPr>
      </w:pPr>
      <w:r>
        <w:rPr>
          <w:rFonts w:ascii="方正小标宋_GBK" w:eastAsia="方正小标宋_GBK"/>
          <w:color w:val="000000"/>
          <w:szCs w:val="32"/>
        </w:rPr>
        <w:t>第三章 人员安置</w:t>
      </w:r>
    </w:p>
    <w:p>
      <w:pPr>
        <w:widowControl w:val="0"/>
        <w:ind w:firstLine="640"/>
        <w:rPr>
          <w:b/>
          <w:bCs/>
          <w:color w:val="000000"/>
          <w:szCs w:val="32"/>
        </w:rPr>
      </w:pPr>
    </w:p>
    <w:p>
      <w:pPr>
        <w:widowControl w:val="0"/>
        <w:ind w:firstLine="640"/>
        <w:rPr>
          <w:color w:val="000000"/>
          <w:szCs w:val="32"/>
        </w:rPr>
      </w:pPr>
      <w:r>
        <w:rPr>
          <w:rFonts w:ascii="黑体" w:hAnsi="黑体" w:eastAsia="黑体"/>
          <w:bCs/>
          <w:color w:val="000000"/>
          <w:szCs w:val="32"/>
        </w:rPr>
        <w:t>第十二条</w:t>
      </w:r>
      <w:r>
        <w:rPr>
          <w:rFonts w:hint="eastAsia"/>
          <w:b/>
          <w:bCs/>
          <w:color w:val="000000"/>
          <w:szCs w:val="32"/>
        </w:rPr>
        <w:t xml:space="preserve">  </w:t>
      </w:r>
      <w:r>
        <w:rPr>
          <w:color w:val="000000"/>
          <w:szCs w:val="32"/>
        </w:rPr>
        <w:t>本</w:t>
      </w:r>
      <w:r>
        <w:rPr>
          <w:rFonts w:hint="eastAsia"/>
          <w:color w:val="000000"/>
          <w:szCs w:val="32"/>
        </w:rPr>
        <w:t>实施</w:t>
      </w:r>
      <w:r>
        <w:rPr>
          <w:color w:val="000000"/>
          <w:szCs w:val="32"/>
        </w:rPr>
        <w:t>办法所称人员安置对象应当从土地征收预公告之日计入被征地农村集体经济组织总人口的人员中产生。</w:t>
      </w:r>
    </w:p>
    <w:p>
      <w:pPr>
        <w:widowControl w:val="0"/>
        <w:ind w:firstLine="640"/>
        <w:rPr>
          <w:color w:val="000000"/>
          <w:szCs w:val="32"/>
        </w:rPr>
      </w:pPr>
      <w:r>
        <w:rPr>
          <w:color w:val="000000"/>
          <w:szCs w:val="32"/>
        </w:rPr>
        <w:t>下列人员计入被征地农村集体经济组织的总人口：</w:t>
      </w:r>
    </w:p>
    <w:p>
      <w:pPr>
        <w:widowControl w:val="0"/>
        <w:ind w:firstLine="640"/>
        <w:rPr>
          <w:color w:val="000000"/>
          <w:szCs w:val="32"/>
        </w:rPr>
      </w:pPr>
      <w:r>
        <w:rPr>
          <w:color w:val="000000"/>
          <w:szCs w:val="32"/>
        </w:rPr>
        <w:t>（一）户口登记在被征地农村集体经济组织所在地，且取得该集体经济组织土地承包经营权的人员；</w:t>
      </w:r>
    </w:p>
    <w:p>
      <w:pPr>
        <w:widowControl w:val="0"/>
        <w:ind w:firstLine="640"/>
        <w:rPr>
          <w:color w:val="000000"/>
          <w:szCs w:val="32"/>
        </w:rPr>
      </w:pPr>
      <w:r>
        <w:rPr>
          <w:color w:val="000000"/>
          <w:szCs w:val="32"/>
        </w:rPr>
        <w:t>（二）因出生、政策性移民将户口登记在被征地农村集体经济组织所在地，且依法享有该集体经济组织土地承包经营权的人员；</w:t>
      </w:r>
    </w:p>
    <w:p>
      <w:pPr>
        <w:widowControl w:val="0"/>
        <w:ind w:firstLine="640"/>
        <w:rPr>
          <w:color w:val="000000"/>
          <w:szCs w:val="32"/>
        </w:rPr>
      </w:pPr>
      <w:r>
        <w:rPr>
          <w:color w:val="000000"/>
          <w:szCs w:val="32"/>
        </w:rPr>
        <w:t>（三）因合法收养、合法婚姻将户口从其他农村集体经济组织迁入并长期在被征地农村集体经济组织生产生活，且依法享有该被征地农村集体经济组织土地承包经营权的人员；</w:t>
      </w:r>
    </w:p>
    <w:p>
      <w:pPr>
        <w:widowControl w:val="0"/>
        <w:ind w:firstLine="640"/>
        <w:rPr>
          <w:color w:val="000000"/>
          <w:szCs w:val="32"/>
        </w:rPr>
      </w:pPr>
      <w:r>
        <w:rPr>
          <w:color w:val="000000"/>
          <w:szCs w:val="32"/>
        </w:rPr>
        <w:t>（四）依法享有被征地农村集体经济组织土地承包经营权的在校大中专学生（含硕士、博士研究生）、现役军士和义务兵、儿童福利机构孤儿、服刑人员；</w:t>
      </w:r>
    </w:p>
    <w:p>
      <w:pPr>
        <w:widowControl w:val="0"/>
        <w:ind w:firstLine="640"/>
        <w:rPr>
          <w:color w:val="000000"/>
          <w:szCs w:val="32"/>
        </w:rPr>
      </w:pPr>
      <w:r>
        <w:rPr>
          <w:color w:val="000000"/>
          <w:szCs w:val="32"/>
        </w:rPr>
        <w:t>（五）按照</w:t>
      </w:r>
      <w:r>
        <w:rPr>
          <w:rFonts w:hint="eastAsia"/>
          <w:color w:val="000000"/>
          <w:szCs w:val="32"/>
        </w:rPr>
        <w:t>本</w:t>
      </w:r>
      <w:r>
        <w:rPr>
          <w:color w:val="000000"/>
          <w:szCs w:val="32"/>
        </w:rPr>
        <w:t>市统筹城乡户籍制度改革有关规定保留征地补偿安置权利的人员；</w:t>
      </w:r>
    </w:p>
    <w:p>
      <w:pPr>
        <w:widowControl w:val="0"/>
        <w:ind w:firstLine="640"/>
        <w:rPr>
          <w:color w:val="000000"/>
          <w:szCs w:val="32"/>
        </w:rPr>
      </w:pPr>
      <w:r>
        <w:rPr>
          <w:color w:val="000000"/>
          <w:szCs w:val="32"/>
        </w:rPr>
        <w:t>（六）因其他原因，户口从被征地农村集体经济组织所在地迁出进城落户，但长期在被征地农村集体经济组织生产生活，且取得该农村集体经济组织土地承包经营权的人员。</w:t>
      </w:r>
    </w:p>
    <w:p>
      <w:pPr>
        <w:pStyle w:val="8"/>
        <w:widowControl w:val="0"/>
        <w:ind w:firstLine="640" w:firstLineChars="200"/>
        <w:rPr>
          <w:rFonts w:ascii="Times New Roman" w:hAnsi="Times New Roman" w:cs="Times New Roman"/>
        </w:rPr>
      </w:pPr>
      <w:r>
        <w:rPr>
          <w:rFonts w:ascii="Times New Roman" w:hAnsi="Times New Roman" w:eastAsia="方正仿宋_GBK" w:cs="Times New Roman"/>
          <w:sz w:val="32"/>
          <w:szCs w:val="32"/>
        </w:rPr>
        <w:t>前款所称“长期”是指县人民政府发布征收土地预公告之日，在被征地农村集体经济组织连续生产生活、居住1年以上，其中，离婚后再婚配偶及随迁子女在被征地农村集体经济组织连续生产生活、居住3年以上。</w:t>
      </w:r>
    </w:p>
    <w:p>
      <w:pPr>
        <w:widowControl w:val="0"/>
        <w:ind w:firstLine="640"/>
        <w:rPr>
          <w:color w:val="000000"/>
          <w:szCs w:val="32"/>
        </w:rPr>
      </w:pPr>
      <w:r>
        <w:rPr>
          <w:rFonts w:ascii="黑体" w:hAnsi="黑体" w:eastAsia="黑体"/>
          <w:bCs/>
          <w:color w:val="000000"/>
          <w:szCs w:val="32"/>
        </w:rPr>
        <w:t>第十三条</w:t>
      </w:r>
      <w:r>
        <w:rPr>
          <w:rFonts w:hint="eastAsia"/>
          <w:b/>
          <w:bCs/>
          <w:color w:val="000000"/>
          <w:szCs w:val="32"/>
        </w:rPr>
        <w:t xml:space="preserve">  </w:t>
      </w:r>
      <w:r>
        <w:rPr>
          <w:color w:val="000000"/>
          <w:szCs w:val="32"/>
        </w:rPr>
        <w:t>符合本</w:t>
      </w:r>
      <w:r>
        <w:rPr>
          <w:rFonts w:hint="eastAsia"/>
          <w:color w:val="000000"/>
          <w:szCs w:val="32"/>
        </w:rPr>
        <w:t>实施</w:t>
      </w:r>
      <w:r>
        <w:rPr>
          <w:color w:val="000000"/>
          <w:szCs w:val="32"/>
        </w:rPr>
        <w:t>办法第十二条规定但有下列情形之一的人员，不计入被征地农村集体经济组织的总人口：</w:t>
      </w:r>
    </w:p>
    <w:p>
      <w:pPr>
        <w:widowControl w:val="0"/>
        <w:ind w:firstLine="640"/>
        <w:rPr>
          <w:color w:val="000000"/>
          <w:szCs w:val="32"/>
        </w:rPr>
      </w:pPr>
      <w:r>
        <w:rPr>
          <w:color w:val="000000"/>
          <w:szCs w:val="32"/>
        </w:rPr>
        <w:t>（一）征地前已实行征地人员安置的人员；</w:t>
      </w:r>
    </w:p>
    <w:p>
      <w:pPr>
        <w:widowControl w:val="0"/>
        <w:ind w:firstLine="640"/>
        <w:rPr>
          <w:color w:val="000000"/>
          <w:szCs w:val="32"/>
        </w:rPr>
      </w:pPr>
      <w:r>
        <w:rPr>
          <w:color w:val="000000"/>
          <w:szCs w:val="32"/>
        </w:rPr>
        <w:t>（二）国家机关、人民团体、事业单位等在编在职和退休人员。</w:t>
      </w:r>
    </w:p>
    <w:p>
      <w:pPr>
        <w:widowControl w:val="0"/>
        <w:ind w:firstLine="640"/>
        <w:rPr>
          <w:color w:val="000000"/>
          <w:szCs w:val="32"/>
        </w:rPr>
      </w:pPr>
      <w:r>
        <w:rPr>
          <w:rFonts w:ascii="黑体" w:hAnsi="黑体" w:eastAsia="黑体"/>
          <w:bCs/>
          <w:color w:val="000000"/>
          <w:szCs w:val="32"/>
        </w:rPr>
        <w:t>第十四条</w:t>
      </w:r>
      <w:r>
        <w:rPr>
          <w:rFonts w:hint="eastAsia"/>
          <w:b/>
          <w:bCs/>
          <w:color w:val="000000"/>
          <w:szCs w:val="32"/>
        </w:rPr>
        <w:t xml:space="preserve">  </w:t>
      </w:r>
      <w:r>
        <w:rPr>
          <w:color w:val="000000"/>
          <w:szCs w:val="32"/>
        </w:rPr>
        <w:t>农村集体经济组织的土地被全部征收的，按照本</w:t>
      </w:r>
      <w:r>
        <w:rPr>
          <w:rFonts w:hint="eastAsia"/>
          <w:color w:val="000000"/>
          <w:szCs w:val="32"/>
        </w:rPr>
        <w:t>实施</w:t>
      </w:r>
      <w:r>
        <w:rPr>
          <w:color w:val="000000"/>
          <w:szCs w:val="32"/>
        </w:rPr>
        <w:t>办法计入</w:t>
      </w:r>
      <w:r>
        <w:rPr>
          <w:rFonts w:hint="eastAsia"/>
          <w:color w:val="000000"/>
          <w:szCs w:val="32"/>
        </w:rPr>
        <w:t>被征地</w:t>
      </w:r>
      <w:r>
        <w:rPr>
          <w:color w:val="000000"/>
          <w:szCs w:val="32"/>
        </w:rPr>
        <w:t>农村集体经济组织总人口的人员全部为人员安置对象。</w:t>
      </w:r>
    </w:p>
    <w:p>
      <w:pPr>
        <w:widowControl w:val="0"/>
        <w:ind w:firstLine="640"/>
        <w:rPr>
          <w:color w:val="000000"/>
          <w:szCs w:val="32"/>
        </w:rPr>
      </w:pPr>
      <w:r>
        <w:rPr>
          <w:color w:val="000000"/>
          <w:szCs w:val="32"/>
        </w:rPr>
        <w:t>农村集体经济组织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的占比再除以农村集体经济组织耕地占比。</w:t>
      </w:r>
    </w:p>
    <w:p>
      <w:pPr>
        <w:widowControl w:val="0"/>
        <w:ind w:firstLine="640"/>
        <w:rPr>
          <w:color w:val="000000"/>
          <w:szCs w:val="32"/>
        </w:rPr>
      </w:pPr>
      <w:r>
        <w:rPr>
          <w:color w:val="000000"/>
          <w:szCs w:val="32"/>
        </w:rPr>
        <w:t>前款所称人均土地面积为集体土地所有权证登记的土地总面积（不含已被征收的面积）除以按照本</w:t>
      </w:r>
      <w:r>
        <w:rPr>
          <w:rFonts w:hint="eastAsia"/>
          <w:color w:val="000000"/>
          <w:szCs w:val="32"/>
        </w:rPr>
        <w:t>实施</w:t>
      </w:r>
      <w:r>
        <w:rPr>
          <w:color w:val="000000"/>
          <w:szCs w:val="32"/>
        </w:rPr>
        <w:t>办法计入</w:t>
      </w:r>
      <w:r>
        <w:rPr>
          <w:rFonts w:hint="eastAsia"/>
          <w:color w:val="000000"/>
          <w:szCs w:val="32"/>
        </w:rPr>
        <w:t>被征地</w:t>
      </w:r>
      <w:r>
        <w:rPr>
          <w:color w:val="000000"/>
          <w:szCs w:val="32"/>
        </w:rPr>
        <w:t>农村集体经济组织的总人口数。前款所称农村集体经济组织耕地占比为集体土地所有权证登记的耕地面积（不含已被征收的面积）占土地总面积（不含已被征收的面积）的比例。</w:t>
      </w:r>
    </w:p>
    <w:p>
      <w:pPr>
        <w:widowControl w:val="0"/>
        <w:ind w:firstLine="640"/>
        <w:rPr>
          <w:color w:val="000000"/>
          <w:szCs w:val="32"/>
        </w:rPr>
      </w:pPr>
      <w:r>
        <w:rPr>
          <w:rFonts w:ascii="黑体" w:hAnsi="黑体" w:eastAsia="黑体"/>
          <w:bCs/>
          <w:color w:val="000000"/>
          <w:szCs w:val="32"/>
        </w:rPr>
        <w:t>第十五条</w:t>
      </w:r>
      <w:r>
        <w:rPr>
          <w:rFonts w:hint="eastAsia"/>
          <w:b/>
          <w:bCs/>
          <w:color w:val="000000"/>
          <w:szCs w:val="32"/>
        </w:rPr>
        <w:t xml:space="preserve">  </w:t>
      </w:r>
      <w:r>
        <w:rPr>
          <w:color w:val="000000"/>
          <w:szCs w:val="32"/>
        </w:rPr>
        <w:t>具体的人员安置对象由被征地农村集体经济组织按照农户被征地多少和剩余耕地情况在农村集体经济组织总人口中确定。其中：征收家庭承包土地产生的人员安置对象人数，按照被征收耕地数量在被征地农户中从高到低依次确定；征收未发包土地或者其他方式承包土地产生的人员安置对象人数，按照征地后农户剩余人平耕地数量在被征地农户中从低到高依次确定，仍有节余的人数，由农村集体经济组织全体成员会议或代表会议讨论确定具体人员；只征收未发包土地或其他方式承包土地的，由农村集体经济组织全体成员会议或代表会议讨论确定具体人员。</w:t>
      </w:r>
    </w:p>
    <w:p>
      <w:pPr>
        <w:widowControl w:val="0"/>
        <w:ind w:firstLine="640"/>
        <w:rPr>
          <w:color w:val="000000"/>
          <w:szCs w:val="32"/>
        </w:rPr>
      </w:pPr>
      <w:r>
        <w:rPr>
          <w:color w:val="000000"/>
          <w:szCs w:val="32"/>
        </w:rPr>
        <w:t>具体的人员安置对象经农村集体经济组织公示7日无异议后，报乡镇人民政府（街道办事处）初审，县征地实施机构会同县规划自然资源、人力社保、公安、农业农村等部门复核，县人民政府核准。</w:t>
      </w:r>
    </w:p>
    <w:p>
      <w:pPr>
        <w:widowControl w:val="0"/>
        <w:ind w:firstLine="640"/>
        <w:rPr>
          <w:color w:val="000000"/>
          <w:szCs w:val="32"/>
        </w:rPr>
      </w:pPr>
      <w:r>
        <w:rPr>
          <w:rFonts w:ascii="黑体" w:hAnsi="黑体" w:eastAsia="黑体"/>
          <w:bCs/>
          <w:color w:val="000000"/>
          <w:szCs w:val="32"/>
        </w:rPr>
        <w:t>第十六条</w:t>
      </w:r>
      <w:r>
        <w:rPr>
          <w:rFonts w:hint="eastAsia"/>
          <w:b/>
          <w:bCs/>
          <w:color w:val="000000"/>
          <w:szCs w:val="32"/>
        </w:rPr>
        <w:t xml:space="preserve">  </w:t>
      </w:r>
      <w:r>
        <w:rPr>
          <w:color w:val="000000"/>
          <w:szCs w:val="32"/>
        </w:rPr>
        <w:t>县人民政府应当将符合条件的人员安置对象纳入相应的养老等社会保障体系，并安排人员安置对象的社会保障费用，主要用于人员安置对象的养老保险等社会保险缴费补贴。</w:t>
      </w:r>
    </w:p>
    <w:p>
      <w:pPr>
        <w:widowControl w:val="0"/>
        <w:ind w:firstLine="640"/>
        <w:rPr>
          <w:color w:val="000000"/>
          <w:szCs w:val="32"/>
        </w:rPr>
      </w:pPr>
      <w:r>
        <w:rPr>
          <w:color w:val="000000"/>
          <w:szCs w:val="32"/>
        </w:rPr>
        <w:t>人员安置对象的基本养老保险缴费补贴办法及标准，按照市人民政府有关规定执行。</w:t>
      </w:r>
    </w:p>
    <w:p>
      <w:pPr>
        <w:widowControl w:val="0"/>
        <w:ind w:firstLine="640"/>
        <w:rPr>
          <w:color w:val="000000"/>
          <w:szCs w:val="32"/>
        </w:rPr>
      </w:pPr>
      <w:r>
        <w:rPr>
          <w:rFonts w:ascii="黑体" w:hAnsi="黑体" w:eastAsia="黑体"/>
          <w:bCs/>
          <w:color w:val="000000"/>
          <w:szCs w:val="32"/>
        </w:rPr>
        <w:t>第十七条</w:t>
      </w:r>
      <w:r>
        <w:rPr>
          <w:rFonts w:hint="eastAsia"/>
          <w:b/>
          <w:bCs/>
          <w:color w:val="000000"/>
          <w:szCs w:val="32"/>
        </w:rPr>
        <w:t xml:space="preserve">  </w:t>
      </w:r>
      <w:r>
        <w:rPr>
          <w:color w:val="000000"/>
          <w:szCs w:val="32"/>
        </w:rPr>
        <w:t>县人力社保部门应当将劳动力年龄段内有劳动能力、有就业需求的人员安置对象纳入公共就业服务范围，组织开展就业创业服务活动，促进其就业创业。</w:t>
      </w:r>
    </w:p>
    <w:p>
      <w:pPr>
        <w:widowControl w:val="0"/>
        <w:ind w:firstLine="640"/>
        <w:jc w:val="center"/>
        <w:rPr>
          <w:rFonts w:eastAsia="方正黑体_GBK"/>
          <w:color w:val="000000"/>
          <w:szCs w:val="32"/>
        </w:rPr>
      </w:pPr>
    </w:p>
    <w:p>
      <w:pPr>
        <w:jc w:val="center"/>
        <w:rPr>
          <w:rFonts w:ascii="方正小标宋_GBK" w:eastAsia="方正小标宋_GBK"/>
          <w:color w:val="000000"/>
          <w:szCs w:val="32"/>
        </w:rPr>
      </w:pPr>
      <w:r>
        <w:rPr>
          <w:rFonts w:ascii="方正小标宋_GBK" w:eastAsia="方正小标宋_GBK"/>
          <w:color w:val="000000"/>
          <w:szCs w:val="32"/>
        </w:rPr>
        <w:t>第四章 住房安置</w:t>
      </w:r>
    </w:p>
    <w:p>
      <w:pPr>
        <w:widowControl w:val="0"/>
        <w:ind w:firstLine="640"/>
        <w:rPr>
          <w:b/>
          <w:bCs/>
          <w:color w:val="000000"/>
          <w:szCs w:val="32"/>
        </w:rPr>
      </w:pPr>
    </w:p>
    <w:p>
      <w:pPr>
        <w:widowControl w:val="0"/>
        <w:ind w:firstLine="640"/>
        <w:rPr>
          <w:color w:val="000000"/>
          <w:szCs w:val="32"/>
        </w:rPr>
      </w:pPr>
      <w:r>
        <w:rPr>
          <w:rFonts w:ascii="黑体" w:hAnsi="黑体" w:eastAsia="黑体"/>
          <w:bCs/>
          <w:color w:val="000000"/>
          <w:szCs w:val="32"/>
        </w:rPr>
        <w:t>第十八条</w:t>
      </w:r>
      <w:r>
        <w:rPr>
          <w:rFonts w:hint="eastAsia"/>
          <w:b/>
          <w:bCs/>
          <w:color w:val="000000"/>
          <w:szCs w:val="32"/>
        </w:rPr>
        <w:t xml:space="preserve">  </w:t>
      </w:r>
      <w:r>
        <w:rPr>
          <w:color w:val="000000"/>
          <w:szCs w:val="32"/>
        </w:rPr>
        <w:t>农村集体经济组织的土地被全部征收的，按照本实施办法计入被征地农村集体经济组织总人口且享有被征地农村集体经济组织宅基地权利的人员全部为住房安置对象。</w:t>
      </w:r>
    </w:p>
    <w:p>
      <w:pPr>
        <w:widowControl w:val="0"/>
        <w:ind w:firstLine="640"/>
        <w:rPr>
          <w:color w:val="000000"/>
          <w:szCs w:val="32"/>
        </w:rPr>
      </w:pPr>
      <w:r>
        <w:rPr>
          <w:color w:val="000000"/>
          <w:szCs w:val="32"/>
        </w:rPr>
        <w:t>农村集体经济组织的土地被部分征收的，征收土地预公告之日，持有征地范围内被搬迁住房的不动产权属证书，且按照本实施办法计入被征地农村集体经济组织总人口的人员为住房安置对象。</w:t>
      </w:r>
    </w:p>
    <w:p>
      <w:pPr>
        <w:widowControl w:val="0"/>
        <w:ind w:firstLine="640"/>
        <w:rPr>
          <w:color w:val="000000"/>
          <w:szCs w:val="32"/>
        </w:rPr>
      </w:pPr>
      <w:r>
        <w:rPr>
          <w:color w:val="000000"/>
          <w:szCs w:val="32"/>
        </w:rPr>
        <w:t>征地前已实行征地人员安置但住房未被搬迁的人员，在其住房搬迁时纳入住房安置对象范围。</w:t>
      </w:r>
    </w:p>
    <w:p>
      <w:pPr>
        <w:widowControl w:val="0"/>
        <w:ind w:firstLine="640"/>
        <w:rPr>
          <w:color w:val="000000"/>
          <w:szCs w:val="32"/>
        </w:rPr>
      </w:pPr>
      <w:r>
        <w:rPr>
          <w:rFonts w:ascii="黑体" w:hAnsi="黑体" w:eastAsia="黑体"/>
          <w:bCs/>
          <w:color w:val="000000"/>
          <w:szCs w:val="32"/>
        </w:rPr>
        <w:t>第十九条</w:t>
      </w:r>
      <w:r>
        <w:rPr>
          <w:rFonts w:hint="eastAsia"/>
          <w:b/>
          <w:bCs/>
          <w:color w:val="000000"/>
          <w:szCs w:val="32"/>
        </w:rPr>
        <w:t xml:space="preserve">  </w:t>
      </w:r>
      <w:r>
        <w:rPr>
          <w:color w:val="000000"/>
          <w:szCs w:val="32"/>
        </w:rPr>
        <w:t>符合本实施办法第十八条规定但有下列情形之一的人员，不属于住房安置对象：</w:t>
      </w:r>
    </w:p>
    <w:p>
      <w:pPr>
        <w:widowControl w:val="0"/>
        <w:ind w:firstLine="640"/>
        <w:rPr>
          <w:color w:val="000000"/>
          <w:szCs w:val="32"/>
        </w:rPr>
      </w:pPr>
      <w:r>
        <w:rPr>
          <w:color w:val="000000"/>
          <w:szCs w:val="32"/>
        </w:rPr>
        <w:t>（一）本实施办法施行前已实行征地住房安置的人员；</w:t>
      </w:r>
    </w:p>
    <w:p>
      <w:pPr>
        <w:widowControl w:val="0"/>
        <w:ind w:firstLine="640"/>
        <w:rPr>
          <w:color w:val="000000"/>
          <w:szCs w:val="32"/>
        </w:rPr>
      </w:pPr>
      <w:r>
        <w:rPr>
          <w:color w:val="000000"/>
          <w:szCs w:val="32"/>
        </w:rPr>
        <w:t>（二）已享受福利分房、划拨国有土地上自建房以及单位修建并销售给职工的经济适用房等政策性实物住房的人员。</w:t>
      </w:r>
    </w:p>
    <w:p>
      <w:pPr>
        <w:widowControl w:val="0"/>
        <w:ind w:firstLine="640"/>
        <w:rPr>
          <w:color w:val="000000"/>
          <w:szCs w:val="32"/>
        </w:rPr>
      </w:pPr>
      <w:r>
        <w:rPr>
          <w:rFonts w:ascii="黑体" w:hAnsi="黑体" w:eastAsia="黑体"/>
          <w:bCs/>
          <w:color w:val="000000"/>
          <w:szCs w:val="32"/>
        </w:rPr>
        <w:t>第二十条</w:t>
      </w:r>
      <w:r>
        <w:rPr>
          <w:rFonts w:hint="eastAsia"/>
          <w:b/>
          <w:bCs/>
          <w:color w:val="000000"/>
          <w:szCs w:val="32"/>
        </w:rPr>
        <w:t xml:space="preserve">  </w:t>
      </w:r>
      <w:r>
        <w:rPr>
          <w:color w:val="000000"/>
          <w:szCs w:val="32"/>
        </w:rPr>
        <w:t>住房安置可以采取农村宅基地自建安置、安置房安置或者货币安置等方式。住房安置对象应当以户为单位统一选择一种安置方式，一处宅基地上的住房计为一户，即以不动产首次登记的或者合法建房手续批准的房屋作为计户依据。</w:t>
      </w:r>
    </w:p>
    <w:p>
      <w:pPr>
        <w:widowControl w:val="0"/>
        <w:ind w:firstLine="640"/>
        <w:rPr>
          <w:color w:val="000000"/>
          <w:szCs w:val="32"/>
        </w:rPr>
      </w:pPr>
      <w:r>
        <w:rPr>
          <w:color w:val="000000"/>
          <w:szCs w:val="32"/>
        </w:rPr>
        <w:t>选择农村宅基地自建安置的，应当符合乡（镇）土地利用总体规划、村庄规划，以及国家和本市</w:t>
      </w:r>
      <w:r>
        <w:rPr>
          <w:rFonts w:hint="eastAsia"/>
          <w:color w:val="000000"/>
          <w:szCs w:val="32"/>
        </w:rPr>
        <w:t>、县</w:t>
      </w:r>
      <w:r>
        <w:rPr>
          <w:color w:val="000000"/>
          <w:szCs w:val="32"/>
        </w:rPr>
        <w:t>关于宅基地建房的有关规定。</w:t>
      </w:r>
    </w:p>
    <w:p>
      <w:pPr>
        <w:widowControl w:val="0"/>
        <w:ind w:firstLine="640"/>
        <w:rPr>
          <w:color w:val="000000"/>
          <w:szCs w:val="32"/>
        </w:rPr>
      </w:pPr>
      <w:r>
        <w:rPr>
          <w:color w:val="000000"/>
          <w:szCs w:val="32"/>
        </w:rPr>
        <w:t>住房安置对象采取安置房安置或者货币安置后，该户家庭成员不得再申请农村宅基地新建住房。</w:t>
      </w:r>
    </w:p>
    <w:p>
      <w:pPr>
        <w:widowControl w:val="0"/>
        <w:ind w:firstLine="640"/>
        <w:rPr>
          <w:color w:val="000000"/>
          <w:szCs w:val="32"/>
        </w:rPr>
      </w:pPr>
      <w:r>
        <w:rPr>
          <w:rFonts w:ascii="黑体" w:hAnsi="黑体" w:eastAsia="黑体"/>
          <w:bCs/>
          <w:color w:val="000000"/>
          <w:szCs w:val="32"/>
        </w:rPr>
        <w:t>第二十一条</w:t>
      </w:r>
      <w:r>
        <w:rPr>
          <w:rFonts w:hint="eastAsia"/>
          <w:b/>
          <w:bCs/>
          <w:color w:val="000000"/>
          <w:szCs w:val="32"/>
        </w:rPr>
        <w:t xml:space="preserve">  </w:t>
      </w:r>
      <w:r>
        <w:rPr>
          <w:color w:val="000000"/>
          <w:szCs w:val="32"/>
        </w:rPr>
        <w:t>农村宅基地自建安置的，应当按照房屋重置价格标准的50%给予自建住房补助。</w:t>
      </w:r>
    </w:p>
    <w:p>
      <w:pPr>
        <w:widowControl w:val="0"/>
        <w:autoSpaceDE w:val="0"/>
        <w:adjustRightInd w:val="0"/>
        <w:ind w:firstLine="640" w:firstLineChars="200"/>
        <w:rPr>
          <w:color w:val="000000"/>
          <w:szCs w:val="32"/>
        </w:rPr>
      </w:pPr>
      <w:r>
        <w:rPr>
          <w:rFonts w:ascii="黑体" w:hAnsi="黑体" w:eastAsia="黑体"/>
          <w:bCs/>
          <w:color w:val="000000"/>
          <w:szCs w:val="32"/>
        </w:rPr>
        <w:t>第二十二条</w:t>
      </w:r>
      <w:r>
        <w:rPr>
          <w:rFonts w:hint="eastAsia"/>
          <w:b/>
          <w:bCs/>
          <w:color w:val="000000"/>
          <w:szCs w:val="32"/>
        </w:rPr>
        <w:t xml:space="preserve">  </w:t>
      </w:r>
      <w:r>
        <w:rPr>
          <w:color w:val="000000"/>
          <w:szCs w:val="32"/>
        </w:rPr>
        <w:t>安置房安置或者货币安置的，住房安置对象的住房安置建筑面积标准</w:t>
      </w:r>
      <w:r>
        <w:rPr>
          <w:color w:val="000000"/>
          <w:kern w:val="0"/>
          <w:szCs w:val="32"/>
        </w:rPr>
        <w:t>为每人30平方米</w:t>
      </w:r>
      <w:r>
        <w:rPr>
          <w:color w:val="000000"/>
          <w:szCs w:val="32"/>
        </w:rPr>
        <w:t>。</w:t>
      </w:r>
    </w:p>
    <w:p>
      <w:pPr>
        <w:widowControl w:val="0"/>
        <w:autoSpaceDE w:val="0"/>
        <w:adjustRightInd w:val="0"/>
        <w:ind w:firstLine="640" w:firstLineChars="200"/>
        <w:rPr>
          <w:color w:val="000000"/>
          <w:szCs w:val="32"/>
        </w:rPr>
      </w:pPr>
      <w:r>
        <w:rPr>
          <w:rFonts w:ascii="黑体" w:hAnsi="黑体" w:eastAsia="黑体"/>
          <w:bCs/>
          <w:color w:val="000000"/>
          <w:szCs w:val="32"/>
        </w:rPr>
        <w:t>第二十三条</w:t>
      </w:r>
      <w:r>
        <w:rPr>
          <w:rFonts w:hint="eastAsia"/>
          <w:b/>
          <w:bCs/>
          <w:color w:val="000000"/>
          <w:szCs w:val="32"/>
        </w:rPr>
        <w:t xml:space="preserve">  </w:t>
      </w:r>
      <w:r>
        <w:rPr>
          <w:color w:val="000000"/>
          <w:szCs w:val="32"/>
        </w:rPr>
        <w:t>住房安置对象夫妻双方均无子女的，实行安置房安置或者货币安置时，可以申请增加15平方米建筑面积的住房。</w:t>
      </w:r>
    </w:p>
    <w:p>
      <w:pPr>
        <w:widowControl w:val="0"/>
        <w:autoSpaceDE w:val="0"/>
        <w:adjustRightInd w:val="0"/>
        <w:ind w:firstLine="640" w:firstLineChars="200"/>
        <w:rPr>
          <w:color w:val="000000"/>
          <w:szCs w:val="32"/>
        </w:rPr>
      </w:pPr>
      <w:r>
        <w:rPr>
          <w:color w:val="000000"/>
          <w:szCs w:val="32"/>
        </w:rPr>
        <w:t>住房安置对象的配偶或者未成年子女，不属于被征地农村集体经济组织总人口范围，但同时符合下列条件的，实行安置房安置或者货币安置时，可以申请15平方米建筑面积的住房，与住房安置对象合并安置：</w:t>
      </w:r>
    </w:p>
    <w:p>
      <w:pPr>
        <w:widowControl w:val="0"/>
        <w:autoSpaceDE w:val="0"/>
        <w:adjustRightInd w:val="0"/>
        <w:ind w:firstLine="640" w:firstLineChars="200"/>
        <w:rPr>
          <w:color w:val="000000"/>
          <w:szCs w:val="32"/>
        </w:rPr>
      </w:pPr>
      <w:r>
        <w:rPr>
          <w:color w:val="000000"/>
          <w:szCs w:val="32"/>
        </w:rPr>
        <w:t>（一）县人民政府发布征收土地预公告之日，在被征地农村集体经济组织居住1年以上（离婚后再婚配偶及随迁子女已在被征地农村集体经济组织居住3年以上）；</w:t>
      </w:r>
    </w:p>
    <w:p>
      <w:pPr>
        <w:widowControl w:val="0"/>
        <w:ind w:firstLine="640" w:firstLineChars="200"/>
        <w:rPr>
          <w:color w:val="000000"/>
          <w:szCs w:val="32"/>
        </w:rPr>
      </w:pPr>
      <w:r>
        <w:rPr>
          <w:color w:val="000000"/>
          <w:szCs w:val="32"/>
        </w:rPr>
        <w:t>（二）征地前未实行征地住房安置；</w:t>
      </w:r>
    </w:p>
    <w:p>
      <w:pPr>
        <w:widowControl w:val="0"/>
        <w:autoSpaceDE w:val="0"/>
        <w:adjustRightInd w:val="0"/>
        <w:ind w:firstLine="640" w:firstLineChars="200"/>
        <w:rPr>
          <w:color w:val="000000"/>
          <w:szCs w:val="32"/>
        </w:rPr>
      </w:pPr>
      <w:r>
        <w:rPr>
          <w:color w:val="000000"/>
          <w:szCs w:val="32"/>
        </w:rPr>
        <w:t>（三）住房安置对象及其配偶、未成年子女均无商品房、农村住房和享受过福利房、经济适用房、安置房等住房；</w:t>
      </w:r>
    </w:p>
    <w:p>
      <w:pPr>
        <w:widowControl w:val="0"/>
        <w:ind w:firstLine="640" w:firstLineChars="200"/>
        <w:rPr>
          <w:color w:val="000000"/>
          <w:szCs w:val="32"/>
        </w:rPr>
      </w:pPr>
      <w:r>
        <w:rPr>
          <w:color w:val="000000"/>
          <w:szCs w:val="32"/>
        </w:rPr>
        <w:t>（四）不享有其他农村集体经济组织宅基地权利。</w:t>
      </w:r>
    </w:p>
    <w:p>
      <w:pPr>
        <w:widowControl w:val="0"/>
        <w:autoSpaceDE w:val="0"/>
        <w:adjustRightInd w:val="0"/>
        <w:ind w:firstLine="640" w:firstLineChars="200"/>
        <w:rPr>
          <w:color w:val="000000"/>
          <w:szCs w:val="32"/>
        </w:rPr>
      </w:pPr>
      <w:r>
        <w:rPr>
          <w:rFonts w:ascii="黑体" w:hAnsi="黑体" w:eastAsia="黑体"/>
          <w:bCs/>
          <w:color w:val="000000"/>
          <w:szCs w:val="32"/>
        </w:rPr>
        <w:t>第二十四条</w:t>
      </w:r>
      <w:r>
        <w:rPr>
          <w:rFonts w:hint="eastAsia"/>
          <w:b/>
          <w:bCs/>
          <w:color w:val="000000"/>
          <w:szCs w:val="32"/>
        </w:rPr>
        <w:t xml:space="preserve">  </w:t>
      </w:r>
      <w:r>
        <w:rPr>
          <w:color w:val="000000"/>
          <w:szCs w:val="32"/>
        </w:rPr>
        <w:t>安置房安置的，应安置建筑面积的部分，按照砖混结构房屋的重置价格标准购买。</w:t>
      </w:r>
    </w:p>
    <w:p>
      <w:pPr>
        <w:widowControl w:val="0"/>
        <w:autoSpaceDE w:val="0"/>
        <w:adjustRightInd w:val="0"/>
        <w:ind w:firstLine="640" w:firstLineChars="200"/>
        <w:rPr>
          <w:color w:val="000000"/>
          <w:szCs w:val="32"/>
        </w:rPr>
      </w:pPr>
      <w:r>
        <w:rPr>
          <w:color w:val="000000"/>
          <w:szCs w:val="32"/>
        </w:rPr>
        <w:t>因户型设计等原因，以户为单位，安置房超过应安置建筑面积不满5平方米的部分，按照安置房建安造价的50%购买；超过应安置建筑面积5平方米以上不满10平方米的部分，按照安置房建安造价购买；超过应安置建筑面积10平方米以上的部分，按照住房货币安置价格标准购买。安置房建安造价由县住房城乡建设部门会同规划自然资源部门核定，与本实施办法同步公布。</w:t>
      </w:r>
    </w:p>
    <w:p>
      <w:pPr>
        <w:widowControl w:val="0"/>
        <w:autoSpaceDE w:val="0"/>
        <w:adjustRightInd w:val="0"/>
        <w:ind w:firstLine="640" w:firstLineChars="200"/>
        <w:rPr>
          <w:color w:val="000000"/>
          <w:szCs w:val="32"/>
        </w:rPr>
      </w:pPr>
      <w:r>
        <w:rPr>
          <w:color w:val="000000"/>
          <w:szCs w:val="32"/>
        </w:rPr>
        <w:t>因户型设计、住房安置对象意愿等原因，购买安置房未达到应安置建筑面积的，不足部分按照本实施办法第二十六条规定的住房货币安置价格标准支付给住房安置对象。</w:t>
      </w:r>
    </w:p>
    <w:p>
      <w:pPr>
        <w:widowControl w:val="0"/>
        <w:autoSpaceDE w:val="0"/>
        <w:adjustRightInd w:val="0"/>
        <w:ind w:firstLine="640" w:firstLineChars="200"/>
        <w:rPr>
          <w:color w:val="000000"/>
          <w:szCs w:val="32"/>
        </w:rPr>
      </w:pPr>
      <w:r>
        <w:rPr>
          <w:rFonts w:ascii="黑体" w:hAnsi="黑体" w:eastAsia="黑体"/>
          <w:bCs/>
          <w:color w:val="000000"/>
          <w:szCs w:val="32"/>
        </w:rPr>
        <w:t>第二十五条</w:t>
      </w:r>
      <w:r>
        <w:rPr>
          <w:rFonts w:hint="eastAsia"/>
          <w:b/>
          <w:bCs/>
          <w:color w:val="000000"/>
          <w:szCs w:val="32"/>
        </w:rPr>
        <w:t xml:space="preserve">  </w:t>
      </w:r>
      <w:r>
        <w:rPr>
          <w:color w:val="000000"/>
          <w:szCs w:val="32"/>
        </w:rPr>
        <w:t>安置房应当在国有土地上建设。</w:t>
      </w:r>
    </w:p>
    <w:p>
      <w:pPr>
        <w:widowControl w:val="0"/>
        <w:autoSpaceDE w:val="0"/>
        <w:adjustRightInd w:val="0"/>
        <w:ind w:firstLine="640" w:firstLineChars="200"/>
        <w:rPr>
          <w:color w:val="000000"/>
        </w:rPr>
      </w:pPr>
      <w:r>
        <w:rPr>
          <w:color w:val="000000"/>
          <w:szCs w:val="32"/>
        </w:rPr>
        <w:t>安置房建设单位应当安排安置房的建设资金、首期物业专项维修资金以及居民用电、自来水、天然气、有线电视的安装费用。</w:t>
      </w:r>
    </w:p>
    <w:p>
      <w:pPr>
        <w:widowControl w:val="0"/>
        <w:autoSpaceDE w:val="0"/>
        <w:adjustRightInd w:val="0"/>
        <w:ind w:firstLine="640" w:firstLineChars="200"/>
        <w:rPr>
          <w:b/>
          <w:bCs/>
          <w:color w:val="000000"/>
          <w:szCs w:val="32"/>
        </w:rPr>
      </w:pPr>
      <w:r>
        <w:rPr>
          <w:rFonts w:ascii="黑体" w:hAnsi="黑体" w:eastAsia="黑体"/>
          <w:bCs/>
          <w:color w:val="000000"/>
          <w:szCs w:val="32"/>
        </w:rPr>
        <w:t>第二十六条</w:t>
      </w:r>
      <w:r>
        <w:rPr>
          <w:rFonts w:hint="eastAsia"/>
          <w:b/>
          <w:bCs/>
          <w:color w:val="000000"/>
          <w:szCs w:val="32"/>
        </w:rPr>
        <w:t xml:space="preserve">  </w:t>
      </w:r>
      <w:r>
        <w:rPr>
          <w:color w:val="000000"/>
          <w:szCs w:val="32"/>
        </w:rPr>
        <w:t>住房货币安置的，货币安置款额等于住房货币安置价格标准乘以应安置建筑面积。住房货币安置价格标准见附件6。</w:t>
      </w:r>
    </w:p>
    <w:p>
      <w:pPr>
        <w:widowControl w:val="0"/>
        <w:ind w:firstLine="640"/>
        <w:rPr>
          <w:color w:val="000000"/>
          <w:szCs w:val="32"/>
        </w:rPr>
      </w:pPr>
      <w:r>
        <w:rPr>
          <w:rFonts w:ascii="黑体" w:hAnsi="黑体" w:eastAsia="黑体"/>
          <w:bCs/>
          <w:color w:val="000000"/>
          <w:szCs w:val="32"/>
        </w:rPr>
        <w:t>第二十七条</w:t>
      </w:r>
      <w:r>
        <w:rPr>
          <w:rFonts w:hint="eastAsia"/>
          <w:b/>
          <w:bCs/>
          <w:color w:val="000000"/>
          <w:szCs w:val="32"/>
        </w:rPr>
        <w:t xml:space="preserve">  </w:t>
      </w:r>
      <w:r>
        <w:rPr>
          <w:color w:val="000000"/>
          <w:szCs w:val="32"/>
        </w:rPr>
        <w:t>住房安置对象合法拥有两处及以上农村住房的，只在其享有宅基地权利的住房被搬迁时安置一次住房，不得重复安置住房。</w:t>
      </w:r>
    </w:p>
    <w:p>
      <w:pPr>
        <w:widowControl w:val="0"/>
        <w:autoSpaceDE w:val="0"/>
        <w:adjustRightInd w:val="0"/>
        <w:ind w:firstLine="640" w:firstLineChars="200"/>
        <w:rPr>
          <w:color w:val="000000"/>
          <w:szCs w:val="32"/>
        </w:rPr>
      </w:pPr>
      <w:r>
        <w:rPr>
          <w:rFonts w:ascii="黑体" w:hAnsi="黑体" w:eastAsia="黑体"/>
          <w:bCs/>
          <w:color w:val="000000"/>
          <w:szCs w:val="32"/>
        </w:rPr>
        <w:t>第二十八条</w:t>
      </w:r>
      <w:r>
        <w:rPr>
          <w:rFonts w:hint="eastAsia"/>
          <w:b/>
          <w:bCs/>
          <w:color w:val="000000"/>
          <w:szCs w:val="32"/>
        </w:rPr>
        <w:t xml:space="preserve">  </w:t>
      </w:r>
      <w:r>
        <w:rPr>
          <w:color w:val="000000"/>
          <w:szCs w:val="32"/>
        </w:rPr>
        <w:t>符合下列情形之一的，其被搬迁房屋按重置价格标准</w:t>
      </w:r>
      <w:r>
        <w:rPr>
          <w:rFonts w:hint="eastAsia"/>
          <w:color w:val="000000"/>
          <w:szCs w:val="32"/>
        </w:rPr>
        <w:t>（见附件2）</w:t>
      </w:r>
      <w:r>
        <w:rPr>
          <w:color w:val="000000"/>
          <w:szCs w:val="32"/>
        </w:rPr>
        <w:t>的50%予以补助：</w:t>
      </w:r>
    </w:p>
    <w:p>
      <w:pPr>
        <w:widowControl w:val="0"/>
        <w:autoSpaceDE w:val="0"/>
        <w:adjustRightInd w:val="0"/>
        <w:ind w:firstLine="640" w:firstLineChars="200"/>
        <w:rPr>
          <w:color w:val="000000"/>
          <w:szCs w:val="32"/>
        </w:rPr>
      </w:pPr>
      <w:r>
        <w:rPr>
          <w:color w:val="000000"/>
          <w:szCs w:val="32"/>
        </w:rPr>
        <w:t>（一）被搬迁住房所有权人均不属于住房安置对象的；</w:t>
      </w:r>
    </w:p>
    <w:p>
      <w:pPr>
        <w:widowControl w:val="0"/>
        <w:autoSpaceDE w:val="0"/>
        <w:adjustRightInd w:val="0"/>
        <w:ind w:firstLine="640" w:firstLineChars="200"/>
        <w:jc w:val="left"/>
        <w:rPr>
          <w:color w:val="000000"/>
          <w:szCs w:val="32"/>
        </w:rPr>
      </w:pPr>
      <w:r>
        <w:rPr>
          <w:color w:val="000000"/>
          <w:szCs w:val="32"/>
        </w:rPr>
        <w:t>（二）被搬迁住房属于住房安置对象合法拥有两处</w:t>
      </w:r>
      <w:r>
        <w:rPr>
          <w:rFonts w:hint="eastAsia"/>
          <w:color w:val="000000"/>
          <w:szCs w:val="32"/>
        </w:rPr>
        <w:t>及</w:t>
      </w:r>
      <w:r>
        <w:rPr>
          <w:color w:val="000000"/>
          <w:szCs w:val="32"/>
        </w:rPr>
        <w:t>以上农村住房，且按本</w:t>
      </w:r>
      <w:r>
        <w:rPr>
          <w:rFonts w:hint="eastAsia"/>
          <w:color w:val="000000"/>
          <w:szCs w:val="32"/>
        </w:rPr>
        <w:t>实施</w:t>
      </w:r>
      <w:r>
        <w:rPr>
          <w:color w:val="000000"/>
          <w:szCs w:val="32"/>
        </w:rPr>
        <w:t>办法第二十七条规定不予住房安置的；</w:t>
      </w:r>
    </w:p>
    <w:p>
      <w:pPr>
        <w:pStyle w:val="8"/>
        <w:widowControl w:val="0"/>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（三）乡镇企业、乡（镇）村公共设施、公益事业用房等登记为非住宅的房屋。</w:t>
      </w:r>
    </w:p>
    <w:p>
      <w:pPr>
        <w:widowControl w:val="0"/>
        <w:autoSpaceDE w:val="0"/>
        <w:adjustRightInd w:val="0"/>
        <w:ind w:firstLine="640" w:firstLineChars="200"/>
        <w:rPr>
          <w:color w:val="000000"/>
          <w:szCs w:val="32"/>
        </w:rPr>
      </w:pPr>
      <w:r>
        <w:rPr>
          <w:rFonts w:ascii="黑体" w:hAnsi="黑体" w:eastAsia="黑体"/>
          <w:bCs/>
          <w:color w:val="000000"/>
          <w:szCs w:val="32"/>
        </w:rPr>
        <w:t>第二十九条</w:t>
      </w:r>
      <w:r>
        <w:rPr>
          <w:rFonts w:hint="eastAsia"/>
          <w:b/>
          <w:bCs/>
          <w:color w:val="000000"/>
          <w:szCs w:val="32"/>
        </w:rPr>
        <w:t xml:space="preserve">  </w:t>
      </w:r>
      <w:r>
        <w:rPr>
          <w:color w:val="000000"/>
          <w:szCs w:val="32"/>
        </w:rPr>
        <w:t>征地搬迁农村住房，按照每户</w:t>
      </w:r>
      <w:r>
        <w:rPr>
          <w:rFonts w:hint="eastAsia"/>
          <w:color w:val="000000"/>
          <w:szCs w:val="32"/>
        </w:rPr>
        <w:t>每次</w:t>
      </w:r>
      <w:r>
        <w:rPr>
          <w:color w:val="000000"/>
          <w:szCs w:val="32"/>
        </w:rPr>
        <w:t>2000元的标准支付搬迁费，用于被搬迁户搬家及生产生活设施迁移，按两次计发。</w:t>
      </w:r>
    </w:p>
    <w:p>
      <w:pPr>
        <w:widowControl w:val="0"/>
        <w:autoSpaceDE w:val="0"/>
        <w:adjustRightInd w:val="0"/>
        <w:ind w:firstLine="640" w:firstLineChars="200"/>
        <w:rPr>
          <w:color w:val="000000"/>
          <w:szCs w:val="32"/>
        </w:rPr>
      </w:pPr>
      <w:r>
        <w:rPr>
          <w:color w:val="000000"/>
          <w:szCs w:val="32"/>
        </w:rPr>
        <w:t>农村宅基地自建安置的，按照符合宅基地申请条件的人员每人每月</w:t>
      </w:r>
      <w:r>
        <w:rPr>
          <w:rFonts w:hint="eastAsia"/>
          <w:color w:val="000000"/>
          <w:szCs w:val="32"/>
        </w:rPr>
        <w:t>2</w:t>
      </w:r>
      <w:r>
        <w:rPr>
          <w:color w:val="000000"/>
          <w:szCs w:val="32"/>
        </w:rPr>
        <w:t>00元计算，一次性支付18个月的临时安置费。</w:t>
      </w:r>
    </w:p>
    <w:p>
      <w:pPr>
        <w:widowControl w:val="0"/>
        <w:autoSpaceDE w:val="0"/>
        <w:adjustRightInd w:val="0"/>
        <w:ind w:firstLine="640" w:firstLineChars="200"/>
        <w:rPr>
          <w:color w:val="000000"/>
          <w:szCs w:val="32"/>
        </w:rPr>
      </w:pPr>
      <w:r>
        <w:rPr>
          <w:color w:val="000000"/>
          <w:szCs w:val="32"/>
        </w:rPr>
        <w:t>安置房安置的，按照应安置建筑面积、每月每平方米</w:t>
      </w:r>
      <w:r>
        <w:rPr>
          <w:rFonts w:hint="eastAsia"/>
          <w:color w:val="000000"/>
          <w:szCs w:val="32"/>
        </w:rPr>
        <w:t>6</w:t>
      </w:r>
      <w:r>
        <w:rPr>
          <w:color w:val="000000"/>
          <w:szCs w:val="32"/>
        </w:rPr>
        <w:t>元计算，支付自搬迁（或签订补偿安置协议）之月起至安置房交付后6个月止期间的临时安置费。</w:t>
      </w:r>
    </w:p>
    <w:p>
      <w:pPr>
        <w:widowControl w:val="0"/>
        <w:ind w:firstLine="640"/>
        <w:rPr>
          <w:color w:val="000000"/>
          <w:szCs w:val="32"/>
        </w:rPr>
      </w:pPr>
      <w:r>
        <w:rPr>
          <w:color w:val="000000"/>
          <w:szCs w:val="32"/>
        </w:rPr>
        <w:t>住房货币安置的，按照应安置建筑面积、每月每平方米</w:t>
      </w:r>
      <w:r>
        <w:rPr>
          <w:rFonts w:hint="eastAsia"/>
          <w:color w:val="000000"/>
          <w:szCs w:val="32"/>
        </w:rPr>
        <w:t>6</w:t>
      </w:r>
      <w:r>
        <w:rPr>
          <w:color w:val="000000"/>
          <w:szCs w:val="32"/>
        </w:rPr>
        <w:t>元计算，一次性支付12个月的临时安置费。</w:t>
      </w:r>
    </w:p>
    <w:p>
      <w:pPr>
        <w:widowControl w:val="0"/>
        <w:ind w:firstLine="640" w:firstLineChars="200"/>
        <w:rPr>
          <w:color w:val="000000"/>
          <w:szCs w:val="32"/>
        </w:rPr>
      </w:pPr>
      <w:r>
        <w:rPr>
          <w:rFonts w:ascii="黑体" w:hAnsi="黑体" w:eastAsia="黑体"/>
          <w:bCs/>
          <w:color w:val="000000"/>
          <w:szCs w:val="32"/>
        </w:rPr>
        <w:t>第三十条</w:t>
      </w:r>
      <w:r>
        <w:rPr>
          <w:rFonts w:hint="eastAsia"/>
          <w:b/>
          <w:bCs/>
          <w:color w:val="000000"/>
          <w:szCs w:val="32"/>
        </w:rPr>
        <w:t xml:space="preserve">  </w:t>
      </w:r>
      <w:r>
        <w:rPr>
          <w:color w:val="000000"/>
          <w:szCs w:val="32"/>
        </w:rPr>
        <w:t>发布征收土地预公告之日或自征收项目实施之日起6个月内，签订房屋补偿安置协议并按时搬迁腾退房屋的，给予按时搬迁奖励，逾期签订补偿安置协议和搬迁腾退房屋的，不给予搬迁奖励。奖励金额按照被搬迁农村房屋的合法建筑面积计算，奖励标准为每平方米200元。</w:t>
      </w:r>
    </w:p>
    <w:p>
      <w:pPr>
        <w:widowControl w:val="0"/>
        <w:jc w:val="center"/>
        <w:rPr>
          <w:rFonts w:eastAsia="方正黑体_GBK"/>
          <w:color w:val="000000"/>
          <w:szCs w:val="32"/>
        </w:rPr>
      </w:pPr>
    </w:p>
    <w:p>
      <w:pPr>
        <w:jc w:val="center"/>
        <w:rPr>
          <w:rFonts w:ascii="方正小标宋_GBK" w:eastAsia="方正小标宋_GBK"/>
          <w:color w:val="000000"/>
          <w:szCs w:val="32"/>
        </w:rPr>
      </w:pPr>
      <w:r>
        <w:rPr>
          <w:rFonts w:ascii="方正小标宋_GBK" w:eastAsia="方正小标宋_GBK"/>
          <w:color w:val="000000"/>
          <w:szCs w:val="32"/>
        </w:rPr>
        <w:t>第五章 附则</w:t>
      </w:r>
    </w:p>
    <w:p>
      <w:pPr>
        <w:widowControl w:val="0"/>
        <w:ind w:firstLine="640" w:firstLineChars="200"/>
        <w:rPr>
          <w:b/>
          <w:bCs/>
          <w:color w:val="000000"/>
          <w:szCs w:val="32"/>
        </w:rPr>
      </w:pPr>
    </w:p>
    <w:p>
      <w:pPr>
        <w:widowControl w:val="0"/>
        <w:ind w:firstLine="640" w:firstLineChars="200"/>
        <w:rPr>
          <w:color w:val="000000"/>
          <w:szCs w:val="32"/>
        </w:rPr>
      </w:pPr>
      <w:r>
        <w:rPr>
          <w:rFonts w:ascii="黑体" w:hAnsi="黑体" w:eastAsia="黑体"/>
          <w:bCs/>
          <w:color w:val="000000"/>
          <w:szCs w:val="32"/>
        </w:rPr>
        <w:t>第三十</w:t>
      </w:r>
      <w:r>
        <w:rPr>
          <w:rFonts w:hint="eastAsia" w:ascii="黑体" w:hAnsi="黑体" w:eastAsia="黑体"/>
          <w:bCs/>
          <w:color w:val="000000"/>
          <w:szCs w:val="32"/>
        </w:rPr>
        <w:t>一</w:t>
      </w:r>
      <w:r>
        <w:rPr>
          <w:rFonts w:ascii="黑体" w:hAnsi="黑体" w:eastAsia="黑体"/>
          <w:bCs/>
          <w:color w:val="000000"/>
          <w:szCs w:val="32"/>
        </w:rPr>
        <w:t>条</w:t>
      </w:r>
      <w:r>
        <w:rPr>
          <w:rFonts w:hint="eastAsia"/>
          <w:b/>
          <w:bCs/>
          <w:color w:val="000000"/>
          <w:szCs w:val="32"/>
        </w:rPr>
        <w:t xml:space="preserve">  </w:t>
      </w:r>
      <w:r>
        <w:rPr>
          <w:color w:val="000000"/>
          <w:szCs w:val="32"/>
        </w:rPr>
        <w:t>本实施办法自2021年7月1日起施行。《秀山土家族苗族自治县人民政府关于调整征地补偿安置政策有关事项的通知》（秀山府发〔2008〕42号）、《秀山土家族苗族自治县人民政府关于进一步调整征地补偿安置标准有关事项的通知》（秀山府发〔2013〕26号）、《秀山土家族苗族自治县国土资源和房屋管理局关于明确征地补偿有关具体问题的通知》（秀山国土房管发〔2014〕1号）文件同时废止。</w:t>
      </w:r>
    </w:p>
    <w:p>
      <w:pPr>
        <w:widowControl w:val="0"/>
        <w:ind w:firstLine="640"/>
        <w:rPr>
          <w:rFonts w:hint="eastAsia"/>
          <w:color w:val="000000"/>
          <w:szCs w:val="32"/>
        </w:rPr>
      </w:pPr>
      <w:r>
        <w:rPr>
          <w:color w:val="000000"/>
          <w:szCs w:val="32"/>
        </w:rPr>
        <w:t>本实施办法施行前已经确定征地补偿安置方案的项目，按照原政策标准执行。</w:t>
      </w:r>
    </w:p>
    <w:p>
      <w:pPr>
        <w:widowControl w:val="0"/>
        <w:ind w:left="-480" w:leftChars="-150" w:right="-480" w:rightChars="-150" w:firstLine="960" w:firstLineChars="300"/>
        <w:rPr>
          <w:color w:val="000000"/>
          <w:szCs w:val="32"/>
        </w:rPr>
      </w:pPr>
    </w:p>
    <w:p>
      <w:pPr>
        <w:widowControl w:val="0"/>
        <w:ind w:left="-480" w:leftChars="-150" w:right="-480" w:rightChars="-150" w:firstLine="960" w:firstLineChars="300"/>
        <w:rPr>
          <w:color w:val="000000"/>
          <w:szCs w:val="32"/>
        </w:rPr>
      </w:pPr>
      <w:r>
        <w:rPr>
          <w:color w:val="000000"/>
          <w:szCs w:val="32"/>
        </w:rPr>
        <w:t>附件：1.秀山县征地区片综合地价标准</w:t>
      </w:r>
    </w:p>
    <w:p>
      <w:pPr>
        <w:widowControl w:val="0"/>
        <w:ind w:right="-480" w:rightChars="-150" w:firstLine="1468" w:firstLineChars="459"/>
        <w:jc w:val="left"/>
        <w:rPr>
          <w:color w:val="000000"/>
          <w:szCs w:val="32"/>
        </w:rPr>
      </w:pPr>
      <w:r>
        <w:rPr>
          <w:color w:val="000000"/>
          <w:szCs w:val="32"/>
        </w:rPr>
        <w:t>2.秀山县农村房屋重置价格补偿标准</w:t>
      </w:r>
    </w:p>
    <w:p>
      <w:pPr>
        <w:pStyle w:val="8"/>
        <w:widowControl w:val="0"/>
        <w:ind w:firstLine="1468" w:firstLineChars="459"/>
        <w:rPr>
          <w:rFonts w:ascii="Times New Roman" w:hAnsi="Times New Roman" w:eastAsia="方正仿宋_GBK" w:cs="Times New Roman"/>
          <w:sz w:val="32"/>
          <w:szCs w:val="32"/>
        </w:rPr>
      </w:pPr>
      <w:r>
        <w:rPr>
          <w:rFonts w:ascii="Times New Roman" w:hAnsi="Times New Roman" w:eastAsia="方正仿宋_GBK" w:cs="Times New Roman"/>
          <w:sz w:val="32"/>
          <w:szCs w:val="32"/>
        </w:rPr>
        <w:t>3.秀山县农村房屋装修装饰等补助标准</w:t>
      </w:r>
    </w:p>
    <w:p>
      <w:pPr>
        <w:widowControl w:val="0"/>
        <w:ind w:firstLine="1468" w:firstLineChars="459"/>
        <w:jc w:val="left"/>
        <w:rPr>
          <w:color w:val="000000"/>
          <w:szCs w:val="32"/>
        </w:rPr>
      </w:pPr>
      <w:r>
        <w:rPr>
          <w:color w:val="000000"/>
          <w:kern w:val="0"/>
          <w:szCs w:val="32"/>
          <w:lang w:bidi="ar"/>
        </w:rPr>
        <w:t>4.秀山县征地建（构）筑物等补偿标准</w:t>
      </w:r>
    </w:p>
    <w:p>
      <w:pPr>
        <w:pStyle w:val="8"/>
        <w:widowControl w:val="0"/>
        <w:ind w:firstLine="1468" w:firstLineChars="459"/>
        <w:rPr>
          <w:rFonts w:ascii="Times New Roman" w:hAnsi="Times New Roman" w:eastAsia="方正仿宋_GBK" w:cs="Times New Roman"/>
          <w:sz w:val="32"/>
          <w:szCs w:val="32"/>
        </w:rPr>
      </w:pPr>
      <w:r>
        <w:rPr>
          <w:rFonts w:ascii="Times New Roman" w:hAnsi="Times New Roman" w:eastAsia="方正仿宋_GBK" w:cs="Times New Roman"/>
          <w:sz w:val="32"/>
          <w:szCs w:val="32"/>
        </w:rPr>
        <w:t>5.秀山县规模化</w:t>
      </w:r>
      <w:r>
        <w:rPr>
          <w:rFonts w:hint="eastAsia" w:ascii="Times New Roman" w:hAnsi="Times New Roman" w:eastAsia="方正仿宋_GBK" w:cs="Times New Roman"/>
          <w:sz w:val="32"/>
          <w:szCs w:val="32"/>
        </w:rPr>
        <w:t>专业</w:t>
      </w:r>
      <w:r>
        <w:rPr>
          <w:rFonts w:ascii="Times New Roman" w:hAnsi="Times New Roman" w:eastAsia="方正仿宋_GBK" w:cs="Times New Roman"/>
          <w:sz w:val="32"/>
          <w:szCs w:val="32"/>
        </w:rPr>
        <w:t>种植养殖搬迁补助标准</w:t>
      </w:r>
    </w:p>
    <w:p>
      <w:pPr>
        <w:pStyle w:val="8"/>
        <w:widowControl w:val="0"/>
        <w:ind w:firstLine="1468" w:firstLineChars="459"/>
        <w:rPr>
          <w:rFonts w:ascii="Times New Roman" w:hAnsi="Times New Roman" w:eastAsia="方正仿宋_GBK" w:cs="Times New Roman"/>
          <w:sz w:val="32"/>
          <w:szCs w:val="32"/>
        </w:rPr>
      </w:pPr>
      <w:r>
        <w:rPr>
          <w:rFonts w:ascii="Times New Roman" w:hAnsi="Times New Roman" w:eastAsia="方正仿宋_GBK" w:cs="Times New Roman"/>
          <w:sz w:val="32"/>
          <w:szCs w:val="32"/>
        </w:rPr>
        <w:t>6.秀山县农村住房货币安置价格标准</w:t>
      </w:r>
    </w:p>
    <w:p>
      <w:pPr>
        <w:spacing w:line="570" w:lineRule="exact"/>
        <w:jc w:val="left"/>
        <w:rPr>
          <w:rFonts w:eastAsia="方正黑体_GBK"/>
          <w:color w:val="000000"/>
          <w:szCs w:val="32"/>
        </w:rPr>
      </w:pPr>
      <w:r>
        <w:rPr>
          <w:rFonts w:eastAsia="方正黑体_GBK"/>
          <w:color w:val="000000"/>
          <w:szCs w:val="32"/>
        </w:rPr>
        <w:br w:type="page"/>
      </w:r>
      <w:r>
        <w:rPr>
          <w:rFonts w:eastAsia="方正黑体_GBK"/>
          <w:color w:val="000000"/>
          <w:szCs w:val="32"/>
        </w:rPr>
        <w:t>附件1</w:t>
      </w:r>
    </w:p>
    <w:p>
      <w:pPr>
        <w:widowControl w:val="0"/>
        <w:snapToGrid w:val="0"/>
        <w:jc w:val="center"/>
        <w:rPr>
          <w:rFonts w:ascii="方正小标宋_GBK" w:eastAsia="方正小标宋_GBK"/>
          <w:sz w:val="36"/>
          <w:szCs w:val="44"/>
        </w:rPr>
      </w:pPr>
      <w:r>
        <w:rPr>
          <w:rFonts w:ascii="方正小标宋_GBK" w:eastAsia="方正小标宋_GBK"/>
          <w:sz w:val="36"/>
          <w:szCs w:val="36"/>
        </w:rPr>
        <w:t>秀山县征地区片综合地价标准</w:t>
      </w:r>
    </w:p>
    <w:tbl>
      <w:tblPr>
        <w:tblStyle w:val="7"/>
        <w:tblW w:w="903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75"/>
        <w:gridCol w:w="1630"/>
        <w:gridCol w:w="1630"/>
        <w:gridCol w:w="35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46" w:type="dxa"/>
            <w:vMerge w:val="restart"/>
            <w:shd w:val="clear" w:color="auto" w:fill="auto"/>
            <w:vAlign w:val="center"/>
          </w:tcPr>
          <w:p>
            <w:pPr>
              <w:snapToGrid w:val="0"/>
              <w:jc w:val="center"/>
              <w:rPr>
                <w:rFonts w:ascii="黑体" w:hAnsi="黑体" w:eastAsia="黑体"/>
                <w:color w:val="FF0000"/>
                <w:sz w:val="28"/>
                <w:szCs w:val="28"/>
              </w:rPr>
            </w:pPr>
            <w:r>
              <w:rPr>
                <w:rFonts w:ascii="黑体" w:hAnsi="黑体" w:eastAsia="黑体"/>
                <w:color w:val="000000"/>
                <w:sz w:val="28"/>
                <w:szCs w:val="28"/>
              </w:rPr>
              <w:t>区片</w:t>
            </w:r>
          </w:p>
        </w:tc>
        <w:tc>
          <w:tcPr>
            <w:tcW w:w="1375" w:type="dxa"/>
            <w:vMerge w:val="restart"/>
            <w:shd w:val="clear" w:color="auto" w:fill="auto"/>
            <w:vAlign w:val="center"/>
          </w:tcPr>
          <w:p>
            <w:pPr>
              <w:snapToGrid w:val="0"/>
              <w:jc w:val="center"/>
              <w:rPr>
                <w:rFonts w:ascii="黑体" w:hAnsi="黑体" w:eastAsia="黑体"/>
                <w:color w:val="000000"/>
                <w:sz w:val="28"/>
                <w:szCs w:val="28"/>
              </w:rPr>
            </w:pPr>
            <w:r>
              <w:rPr>
                <w:rFonts w:ascii="黑体" w:hAnsi="黑体" w:eastAsia="黑体"/>
                <w:color w:val="000000"/>
                <w:sz w:val="28"/>
                <w:szCs w:val="28"/>
              </w:rPr>
              <w:t>标准</w:t>
            </w:r>
          </w:p>
          <w:p>
            <w:pPr>
              <w:snapToGrid w:val="0"/>
              <w:jc w:val="center"/>
              <w:rPr>
                <w:rFonts w:ascii="黑体" w:hAnsi="黑体" w:eastAsia="黑体"/>
                <w:color w:val="FF0000"/>
                <w:sz w:val="28"/>
                <w:szCs w:val="28"/>
              </w:rPr>
            </w:pPr>
            <w:r>
              <w:rPr>
                <w:rFonts w:ascii="黑体" w:hAnsi="黑体" w:eastAsia="黑体"/>
                <w:color w:val="000000"/>
                <w:sz w:val="28"/>
                <w:szCs w:val="28"/>
              </w:rPr>
              <w:t>（元/亩）</w:t>
            </w:r>
          </w:p>
        </w:tc>
        <w:tc>
          <w:tcPr>
            <w:tcW w:w="3260" w:type="dxa"/>
            <w:gridSpan w:val="2"/>
            <w:shd w:val="clear" w:color="auto" w:fill="auto"/>
            <w:vAlign w:val="center"/>
          </w:tcPr>
          <w:p>
            <w:pPr>
              <w:snapToGrid w:val="0"/>
              <w:jc w:val="center"/>
              <w:rPr>
                <w:rFonts w:ascii="黑体" w:hAnsi="黑体" w:eastAsia="黑体"/>
                <w:color w:val="FF0000"/>
                <w:sz w:val="28"/>
                <w:szCs w:val="28"/>
              </w:rPr>
            </w:pPr>
            <w:r>
              <w:rPr>
                <w:rFonts w:ascii="黑体" w:hAnsi="黑体" w:eastAsia="黑体"/>
                <w:color w:val="000000"/>
                <w:sz w:val="28"/>
                <w:szCs w:val="28"/>
              </w:rPr>
              <w:t>其中</w:t>
            </w:r>
          </w:p>
        </w:tc>
        <w:tc>
          <w:tcPr>
            <w:tcW w:w="3551" w:type="dxa"/>
            <w:vMerge w:val="restart"/>
            <w:shd w:val="clear" w:color="auto" w:fill="auto"/>
            <w:vAlign w:val="center"/>
          </w:tcPr>
          <w:p>
            <w:pPr>
              <w:snapToGrid w:val="0"/>
              <w:jc w:val="center"/>
              <w:rPr>
                <w:rFonts w:ascii="黑体" w:hAnsi="黑体" w:eastAsia="黑体"/>
                <w:color w:val="FF0000"/>
                <w:sz w:val="28"/>
                <w:szCs w:val="28"/>
              </w:rPr>
            </w:pPr>
            <w:r>
              <w:rPr>
                <w:rFonts w:ascii="黑体" w:hAnsi="黑体" w:eastAsia="黑体"/>
                <w:color w:val="000000"/>
                <w:sz w:val="28"/>
                <w:szCs w:val="28"/>
              </w:rPr>
              <w:t>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846" w:type="dxa"/>
            <w:vMerge w:val="continue"/>
            <w:shd w:val="clear" w:color="auto" w:fill="auto"/>
            <w:vAlign w:val="center"/>
          </w:tcPr>
          <w:p>
            <w:pPr>
              <w:snapToGrid w:val="0"/>
              <w:jc w:val="center"/>
              <w:rPr>
                <w:rFonts w:ascii="黑体" w:hAnsi="黑体" w:eastAsia="黑体"/>
                <w:color w:val="FF0000"/>
                <w:sz w:val="28"/>
                <w:szCs w:val="28"/>
              </w:rPr>
            </w:pPr>
          </w:p>
        </w:tc>
        <w:tc>
          <w:tcPr>
            <w:tcW w:w="1375" w:type="dxa"/>
            <w:vMerge w:val="continue"/>
            <w:shd w:val="clear" w:color="auto" w:fill="auto"/>
            <w:vAlign w:val="center"/>
          </w:tcPr>
          <w:p>
            <w:pPr>
              <w:snapToGrid w:val="0"/>
              <w:jc w:val="center"/>
              <w:rPr>
                <w:rFonts w:ascii="黑体" w:hAnsi="黑体" w:eastAsia="黑体"/>
                <w:color w:val="FF0000"/>
                <w:sz w:val="28"/>
                <w:szCs w:val="28"/>
              </w:rPr>
            </w:pPr>
          </w:p>
        </w:tc>
        <w:tc>
          <w:tcPr>
            <w:tcW w:w="1630" w:type="dxa"/>
            <w:shd w:val="clear" w:color="auto" w:fill="auto"/>
            <w:vAlign w:val="center"/>
          </w:tcPr>
          <w:p>
            <w:pPr>
              <w:snapToGrid w:val="0"/>
              <w:jc w:val="center"/>
              <w:rPr>
                <w:rFonts w:ascii="黑体" w:hAnsi="黑体" w:eastAsia="黑体"/>
                <w:color w:val="FF0000"/>
                <w:sz w:val="28"/>
                <w:szCs w:val="28"/>
              </w:rPr>
            </w:pPr>
            <w:r>
              <w:rPr>
                <w:rFonts w:ascii="黑体" w:hAnsi="黑体" w:eastAsia="黑体"/>
                <w:color w:val="000000"/>
                <w:sz w:val="28"/>
                <w:szCs w:val="28"/>
              </w:rPr>
              <w:t>土地补偿费</w:t>
            </w:r>
          </w:p>
        </w:tc>
        <w:tc>
          <w:tcPr>
            <w:tcW w:w="1630" w:type="dxa"/>
            <w:shd w:val="clear" w:color="auto" w:fill="auto"/>
            <w:vAlign w:val="center"/>
          </w:tcPr>
          <w:p>
            <w:pPr>
              <w:snapToGrid w:val="0"/>
              <w:jc w:val="center"/>
              <w:rPr>
                <w:rFonts w:ascii="黑体" w:hAnsi="黑体" w:eastAsia="黑体"/>
                <w:color w:val="FF0000"/>
                <w:sz w:val="28"/>
                <w:szCs w:val="28"/>
              </w:rPr>
            </w:pPr>
            <w:r>
              <w:rPr>
                <w:rFonts w:ascii="黑体" w:hAnsi="黑体" w:eastAsia="黑体"/>
                <w:color w:val="000000"/>
                <w:sz w:val="28"/>
                <w:szCs w:val="28"/>
              </w:rPr>
              <w:t>安置补助费</w:t>
            </w:r>
          </w:p>
        </w:tc>
        <w:tc>
          <w:tcPr>
            <w:tcW w:w="3551" w:type="dxa"/>
            <w:vMerge w:val="continue"/>
            <w:shd w:val="clear" w:color="auto" w:fill="auto"/>
            <w:vAlign w:val="center"/>
          </w:tcPr>
          <w:p>
            <w:pPr>
              <w:snapToGrid w:val="0"/>
              <w:jc w:val="left"/>
              <w:rPr>
                <w:rFonts w:ascii="黑体" w:hAnsi="黑体" w:eastAsia="黑体"/>
                <w:color w:val="FF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25" w:hRule="atLeast"/>
          <w:jc w:val="center"/>
        </w:trPr>
        <w:tc>
          <w:tcPr>
            <w:tcW w:w="846" w:type="dxa"/>
            <w:shd w:val="clear" w:color="auto" w:fill="auto"/>
            <w:vAlign w:val="center"/>
          </w:tcPr>
          <w:p>
            <w:pPr>
              <w:snapToGrid w:val="0"/>
              <w:jc w:val="center"/>
              <w:rPr>
                <w:color w:val="000000"/>
                <w:sz w:val="28"/>
                <w:szCs w:val="28"/>
              </w:rPr>
            </w:pPr>
            <w:r>
              <w:rPr>
                <w:color w:val="000000"/>
                <w:sz w:val="28"/>
                <w:szCs w:val="28"/>
              </w:rPr>
              <w:t>Ⅰ</w:t>
            </w:r>
          </w:p>
        </w:tc>
        <w:tc>
          <w:tcPr>
            <w:tcW w:w="1375" w:type="dxa"/>
            <w:shd w:val="clear" w:color="auto" w:fill="auto"/>
            <w:vAlign w:val="center"/>
          </w:tcPr>
          <w:p>
            <w:pPr>
              <w:snapToGrid w:val="0"/>
              <w:jc w:val="center"/>
              <w:rPr>
                <w:color w:val="000000"/>
                <w:sz w:val="28"/>
                <w:szCs w:val="28"/>
              </w:rPr>
            </w:pPr>
            <w:r>
              <w:rPr>
                <w:color w:val="000000"/>
                <w:sz w:val="28"/>
                <w:szCs w:val="28"/>
              </w:rPr>
              <w:t>46600</w:t>
            </w:r>
          </w:p>
        </w:tc>
        <w:tc>
          <w:tcPr>
            <w:tcW w:w="1630" w:type="dxa"/>
            <w:shd w:val="clear" w:color="auto" w:fill="auto"/>
            <w:vAlign w:val="center"/>
          </w:tcPr>
          <w:p>
            <w:pPr>
              <w:snapToGrid w:val="0"/>
              <w:jc w:val="center"/>
              <w:rPr>
                <w:color w:val="000000"/>
                <w:sz w:val="28"/>
                <w:szCs w:val="28"/>
              </w:rPr>
            </w:pPr>
            <w:r>
              <w:rPr>
                <w:color w:val="000000"/>
                <w:sz w:val="28"/>
                <w:szCs w:val="28"/>
              </w:rPr>
              <w:t>13980</w:t>
            </w:r>
          </w:p>
        </w:tc>
        <w:tc>
          <w:tcPr>
            <w:tcW w:w="1630" w:type="dxa"/>
            <w:shd w:val="clear" w:color="auto" w:fill="auto"/>
            <w:vAlign w:val="center"/>
          </w:tcPr>
          <w:p>
            <w:pPr>
              <w:snapToGrid w:val="0"/>
              <w:jc w:val="center"/>
              <w:rPr>
                <w:color w:val="000000"/>
                <w:sz w:val="28"/>
                <w:szCs w:val="28"/>
              </w:rPr>
            </w:pPr>
            <w:r>
              <w:rPr>
                <w:color w:val="000000"/>
                <w:sz w:val="28"/>
                <w:szCs w:val="28"/>
              </w:rPr>
              <w:t>32620</w:t>
            </w:r>
          </w:p>
        </w:tc>
        <w:tc>
          <w:tcPr>
            <w:tcW w:w="3551" w:type="dxa"/>
            <w:shd w:val="clear" w:color="auto" w:fill="auto"/>
            <w:vAlign w:val="center"/>
          </w:tcPr>
          <w:p>
            <w:pPr>
              <w:snapToGrid w:val="0"/>
              <w:jc w:val="left"/>
              <w:rPr>
                <w:color w:val="000000"/>
                <w:sz w:val="28"/>
                <w:szCs w:val="28"/>
              </w:rPr>
            </w:pPr>
            <w:r>
              <w:rPr>
                <w:color w:val="000000"/>
                <w:sz w:val="28"/>
                <w:szCs w:val="28"/>
              </w:rPr>
              <w:t>中和街道、乌杨街道、平凯街道、官庄街道。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25" w:hRule="atLeast"/>
          <w:jc w:val="center"/>
        </w:trPr>
        <w:tc>
          <w:tcPr>
            <w:tcW w:w="846" w:type="dxa"/>
            <w:shd w:val="clear" w:color="auto" w:fill="auto"/>
            <w:vAlign w:val="center"/>
          </w:tcPr>
          <w:p>
            <w:pPr>
              <w:snapToGrid w:val="0"/>
              <w:jc w:val="center"/>
              <w:rPr>
                <w:color w:val="000000"/>
                <w:sz w:val="28"/>
                <w:szCs w:val="28"/>
              </w:rPr>
            </w:pPr>
            <w:r>
              <w:rPr>
                <w:color w:val="000000"/>
                <w:sz w:val="28"/>
                <w:szCs w:val="28"/>
              </w:rPr>
              <w:t>Ⅱ</w:t>
            </w:r>
          </w:p>
        </w:tc>
        <w:tc>
          <w:tcPr>
            <w:tcW w:w="1375" w:type="dxa"/>
            <w:shd w:val="clear" w:color="auto" w:fill="auto"/>
            <w:vAlign w:val="center"/>
          </w:tcPr>
          <w:p>
            <w:pPr>
              <w:snapToGrid w:val="0"/>
              <w:jc w:val="center"/>
              <w:rPr>
                <w:color w:val="000000"/>
                <w:sz w:val="28"/>
                <w:szCs w:val="28"/>
              </w:rPr>
            </w:pPr>
            <w:r>
              <w:rPr>
                <w:color w:val="000000"/>
                <w:sz w:val="28"/>
                <w:szCs w:val="28"/>
              </w:rPr>
              <w:t>44200</w:t>
            </w:r>
          </w:p>
        </w:tc>
        <w:tc>
          <w:tcPr>
            <w:tcW w:w="1630" w:type="dxa"/>
            <w:shd w:val="clear" w:color="auto" w:fill="auto"/>
            <w:vAlign w:val="center"/>
          </w:tcPr>
          <w:p>
            <w:pPr>
              <w:snapToGrid w:val="0"/>
              <w:jc w:val="center"/>
              <w:rPr>
                <w:color w:val="000000"/>
                <w:sz w:val="28"/>
                <w:szCs w:val="28"/>
              </w:rPr>
            </w:pPr>
            <w:r>
              <w:rPr>
                <w:color w:val="000000"/>
                <w:sz w:val="28"/>
                <w:szCs w:val="28"/>
              </w:rPr>
              <w:t>13260</w:t>
            </w:r>
          </w:p>
        </w:tc>
        <w:tc>
          <w:tcPr>
            <w:tcW w:w="1630" w:type="dxa"/>
            <w:shd w:val="clear" w:color="auto" w:fill="auto"/>
            <w:vAlign w:val="center"/>
          </w:tcPr>
          <w:p>
            <w:pPr>
              <w:snapToGrid w:val="0"/>
              <w:jc w:val="center"/>
              <w:rPr>
                <w:color w:val="000000"/>
                <w:sz w:val="28"/>
                <w:szCs w:val="28"/>
              </w:rPr>
            </w:pPr>
            <w:r>
              <w:rPr>
                <w:color w:val="000000"/>
                <w:sz w:val="28"/>
                <w:szCs w:val="28"/>
              </w:rPr>
              <w:t>30940</w:t>
            </w:r>
          </w:p>
        </w:tc>
        <w:tc>
          <w:tcPr>
            <w:tcW w:w="3551" w:type="dxa"/>
            <w:shd w:val="clear" w:color="auto" w:fill="auto"/>
            <w:vAlign w:val="center"/>
          </w:tcPr>
          <w:p>
            <w:pPr>
              <w:snapToGrid w:val="0"/>
              <w:jc w:val="left"/>
              <w:rPr>
                <w:color w:val="000000"/>
                <w:sz w:val="28"/>
                <w:szCs w:val="28"/>
              </w:rPr>
            </w:pPr>
            <w:r>
              <w:rPr>
                <w:color w:val="000000"/>
                <w:sz w:val="28"/>
                <w:szCs w:val="28"/>
              </w:rPr>
              <w:t>洪安镇、龙池镇、梅江镇、清溪场镇、石耶镇、雅江镇、溶溪镇、石堤镇。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25" w:hRule="atLeast"/>
          <w:jc w:val="center"/>
        </w:trPr>
        <w:tc>
          <w:tcPr>
            <w:tcW w:w="846" w:type="dxa"/>
            <w:shd w:val="clear" w:color="auto" w:fill="auto"/>
            <w:vAlign w:val="center"/>
          </w:tcPr>
          <w:p>
            <w:pPr>
              <w:snapToGrid w:val="0"/>
              <w:jc w:val="center"/>
              <w:rPr>
                <w:color w:val="000000"/>
                <w:sz w:val="28"/>
                <w:szCs w:val="28"/>
              </w:rPr>
            </w:pPr>
            <w:r>
              <w:rPr>
                <w:rFonts w:hint="eastAsia" w:ascii="宋体" w:hAnsi="宋体" w:eastAsia="宋体" w:cs="宋体"/>
                <w:color w:val="000000"/>
                <w:sz w:val="28"/>
                <w:szCs w:val="28"/>
              </w:rPr>
              <w:t>Ⅲ</w:t>
            </w:r>
          </w:p>
        </w:tc>
        <w:tc>
          <w:tcPr>
            <w:tcW w:w="1375" w:type="dxa"/>
            <w:shd w:val="clear" w:color="auto" w:fill="auto"/>
            <w:vAlign w:val="center"/>
          </w:tcPr>
          <w:p>
            <w:pPr>
              <w:snapToGrid w:val="0"/>
              <w:jc w:val="center"/>
              <w:rPr>
                <w:color w:val="000000"/>
                <w:sz w:val="28"/>
                <w:szCs w:val="28"/>
              </w:rPr>
            </w:pPr>
            <w:r>
              <w:rPr>
                <w:color w:val="000000"/>
                <w:sz w:val="28"/>
                <w:szCs w:val="28"/>
              </w:rPr>
              <w:t>41300</w:t>
            </w:r>
          </w:p>
        </w:tc>
        <w:tc>
          <w:tcPr>
            <w:tcW w:w="1630" w:type="dxa"/>
            <w:shd w:val="clear" w:color="auto" w:fill="auto"/>
            <w:vAlign w:val="center"/>
          </w:tcPr>
          <w:p>
            <w:pPr>
              <w:snapToGrid w:val="0"/>
              <w:jc w:val="center"/>
              <w:rPr>
                <w:color w:val="000000"/>
                <w:sz w:val="28"/>
                <w:szCs w:val="28"/>
              </w:rPr>
            </w:pPr>
            <w:r>
              <w:rPr>
                <w:color w:val="000000"/>
                <w:sz w:val="28"/>
                <w:szCs w:val="28"/>
              </w:rPr>
              <w:t>12390</w:t>
            </w:r>
          </w:p>
        </w:tc>
        <w:tc>
          <w:tcPr>
            <w:tcW w:w="1630" w:type="dxa"/>
            <w:shd w:val="clear" w:color="auto" w:fill="auto"/>
            <w:vAlign w:val="center"/>
          </w:tcPr>
          <w:p>
            <w:pPr>
              <w:snapToGrid w:val="0"/>
              <w:jc w:val="center"/>
              <w:rPr>
                <w:color w:val="000000"/>
                <w:sz w:val="28"/>
                <w:szCs w:val="28"/>
              </w:rPr>
            </w:pPr>
            <w:r>
              <w:rPr>
                <w:color w:val="000000"/>
                <w:sz w:val="28"/>
                <w:szCs w:val="28"/>
              </w:rPr>
              <w:t>28910</w:t>
            </w:r>
          </w:p>
        </w:tc>
        <w:tc>
          <w:tcPr>
            <w:tcW w:w="3551" w:type="dxa"/>
            <w:shd w:val="clear" w:color="auto" w:fill="auto"/>
            <w:vAlign w:val="center"/>
          </w:tcPr>
          <w:p>
            <w:pPr>
              <w:snapToGrid w:val="0"/>
              <w:jc w:val="left"/>
              <w:rPr>
                <w:color w:val="000000"/>
                <w:sz w:val="28"/>
                <w:szCs w:val="28"/>
              </w:rPr>
            </w:pPr>
            <w:r>
              <w:rPr>
                <w:color w:val="000000"/>
                <w:sz w:val="28"/>
                <w:szCs w:val="28"/>
              </w:rPr>
              <w:t>隘口镇、峨溶镇、兰桥镇、膏田镇、里仁镇、妙泉镇、宋农镇、钟灵镇、岑溪乡、大溪乡、海洋乡、溪口镇、孝溪乡、涌洞乡、中平乡。</w:t>
            </w:r>
          </w:p>
        </w:tc>
      </w:tr>
    </w:tbl>
    <w:p>
      <w:pPr>
        <w:spacing w:line="570" w:lineRule="exact"/>
        <w:rPr>
          <w:color w:val="FF0000"/>
          <w:szCs w:val="32"/>
        </w:rPr>
      </w:pPr>
      <w:r>
        <w:rPr>
          <w:color w:val="000000"/>
          <w:szCs w:val="32"/>
        </w:rPr>
        <w:t>说明：外省</w:t>
      </w:r>
      <w:r>
        <w:rPr>
          <w:rFonts w:hint="eastAsia"/>
          <w:color w:val="000000"/>
          <w:szCs w:val="32"/>
        </w:rPr>
        <w:t>、</w:t>
      </w:r>
      <w:r>
        <w:rPr>
          <w:color w:val="000000"/>
          <w:szCs w:val="32"/>
        </w:rPr>
        <w:t>外县“插花地”按土地所属省</w:t>
      </w:r>
      <w:r>
        <w:rPr>
          <w:rFonts w:hint="eastAsia"/>
          <w:color w:val="000000"/>
          <w:szCs w:val="32"/>
        </w:rPr>
        <w:t>、</w:t>
      </w:r>
      <w:r>
        <w:rPr>
          <w:color w:val="000000"/>
          <w:szCs w:val="32"/>
        </w:rPr>
        <w:t>县的标准执行。</w:t>
      </w:r>
    </w:p>
    <w:p>
      <w:pPr>
        <w:spacing w:line="570" w:lineRule="exact"/>
        <w:rPr>
          <w:rFonts w:eastAsia="方正黑体_GBK"/>
          <w:color w:val="000000"/>
          <w:szCs w:val="32"/>
        </w:rPr>
      </w:pPr>
      <w:r>
        <w:rPr>
          <w:rFonts w:eastAsia="方正黑体_GBK"/>
          <w:color w:val="FF0000"/>
          <w:szCs w:val="32"/>
        </w:rPr>
        <w:br w:type="page"/>
      </w:r>
      <w:r>
        <w:rPr>
          <w:rFonts w:eastAsia="方正黑体_GBK"/>
          <w:color w:val="000000"/>
          <w:szCs w:val="32"/>
        </w:rPr>
        <w:t>附件2</w:t>
      </w:r>
    </w:p>
    <w:p>
      <w:pPr>
        <w:widowControl w:val="0"/>
        <w:spacing w:line="600" w:lineRule="exact"/>
        <w:jc w:val="center"/>
        <w:rPr>
          <w:rFonts w:eastAsia="方正小标宋_GBK"/>
          <w:color w:val="000000"/>
          <w:sz w:val="44"/>
          <w:szCs w:val="44"/>
        </w:rPr>
      </w:pPr>
      <w:r>
        <w:rPr>
          <w:rFonts w:eastAsia="方正小标宋_GBK"/>
          <w:color w:val="000000"/>
          <w:sz w:val="36"/>
          <w:szCs w:val="36"/>
        </w:rPr>
        <w:t>秀山县农村房屋重置价格补偿标准</w:t>
      </w:r>
    </w:p>
    <w:tbl>
      <w:tblPr>
        <w:tblStyle w:val="7"/>
        <w:tblW w:w="8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63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2840" w:type="dxa"/>
            <w:tcBorders>
              <w:top w:val="single" w:color="auto" w:sz="12" w:space="0"/>
              <w:left w:val="single" w:color="auto" w:sz="12" w:space="0"/>
              <w:tl2br w:val="single" w:color="auto" w:sz="4" w:space="0"/>
            </w:tcBorders>
            <w:shd w:val="clear" w:color="auto" w:fill="auto"/>
            <w:vAlign w:val="top"/>
          </w:tcPr>
          <w:p>
            <w:pPr>
              <w:snapToGrid w:val="0"/>
              <w:ind w:right="320"/>
              <w:jc w:val="right"/>
              <w:rPr>
                <w:rFonts w:ascii="黑体" w:hAnsi="黑体" w:eastAsia="黑体"/>
                <w:color w:val="000000"/>
                <w:sz w:val="28"/>
                <w:szCs w:val="28"/>
              </w:rPr>
            </w:pPr>
            <w:r>
              <w:rPr>
                <w:rFonts w:ascii="黑体" w:hAnsi="黑体" w:eastAsia="黑体"/>
                <w:color w:val="000000"/>
                <w:sz w:val="28"/>
                <w:szCs w:val="28"/>
              </w:rPr>
              <w:t xml:space="preserve"> 结构</w:t>
            </w:r>
          </w:p>
          <w:p>
            <w:pPr>
              <w:snapToGrid w:val="0"/>
              <w:ind w:firstLine="280" w:firstLineChars="100"/>
              <w:jc w:val="left"/>
              <w:rPr>
                <w:rFonts w:ascii="黑体" w:hAnsi="黑体" w:eastAsia="黑体"/>
                <w:color w:val="000000"/>
                <w:sz w:val="28"/>
                <w:szCs w:val="28"/>
              </w:rPr>
            </w:pPr>
            <w:r>
              <w:rPr>
                <w:rFonts w:ascii="黑体" w:hAnsi="黑体" w:eastAsia="黑体"/>
                <w:color w:val="000000"/>
                <w:sz w:val="28"/>
                <w:szCs w:val="28"/>
              </w:rPr>
              <w:t>类别</w:t>
            </w:r>
          </w:p>
        </w:tc>
        <w:tc>
          <w:tcPr>
            <w:tcW w:w="3630" w:type="dxa"/>
            <w:tcBorders>
              <w:top w:val="single" w:color="auto" w:sz="12" w:space="0"/>
            </w:tcBorders>
            <w:shd w:val="clear" w:color="auto" w:fill="auto"/>
            <w:vAlign w:val="center"/>
          </w:tcPr>
          <w:p>
            <w:pPr>
              <w:snapToGrid w:val="0"/>
              <w:jc w:val="center"/>
              <w:rPr>
                <w:rFonts w:ascii="黑体" w:hAnsi="黑体" w:eastAsia="黑体"/>
                <w:color w:val="000000"/>
                <w:sz w:val="28"/>
                <w:szCs w:val="28"/>
              </w:rPr>
            </w:pPr>
            <w:r>
              <w:rPr>
                <w:rFonts w:ascii="黑体" w:hAnsi="黑体" w:eastAsia="黑体"/>
                <w:color w:val="000000"/>
                <w:sz w:val="28"/>
                <w:szCs w:val="28"/>
              </w:rPr>
              <w:t>房屋结构</w:t>
            </w:r>
          </w:p>
        </w:tc>
        <w:tc>
          <w:tcPr>
            <w:tcW w:w="2445" w:type="dxa"/>
            <w:tcBorders>
              <w:top w:val="single" w:color="auto" w:sz="12" w:space="0"/>
              <w:right w:val="single" w:color="auto" w:sz="12" w:space="0"/>
            </w:tcBorders>
            <w:shd w:val="clear" w:color="auto" w:fill="auto"/>
            <w:vAlign w:val="center"/>
          </w:tcPr>
          <w:p>
            <w:pPr>
              <w:snapToGrid w:val="0"/>
              <w:jc w:val="center"/>
              <w:rPr>
                <w:rFonts w:ascii="黑体" w:hAnsi="黑体" w:eastAsia="黑体"/>
                <w:color w:val="000000"/>
                <w:sz w:val="28"/>
                <w:szCs w:val="28"/>
              </w:rPr>
            </w:pPr>
            <w:r>
              <w:rPr>
                <w:rFonts w:ascii="黑体" w:hAnsi="黑体" w:eastAsia="黑体"/>
                <w:color w:val="000000"/>
                <w:sz w:val="28"/>
                <w:szCs w:val="28"/>
              </w:rPr>
              <w:t>标准</w:t>
            </w:r>
          </w:p>
          <w:p>
            <w:pPr>
              <w:snapToGrid w:val="0"/>
              <w:jc w:val="center"/>
              <w:rPr>
                <w:rFonts w:ascii="黑体" w:hAnsi="黑体" w:eastAsia="黑体"/>
                <w:color w:val="000000"/>
                <w:sz w:val="28"/>
                <w:szCs w:val="28"/>
              </w:rPr>
            </w:pPr>
            <w:r>
              <w:rPr>
                <w:rFonts w:ascii="黑体" w:hAnsi="黑体" w:eastAsia="黑体"/>
                <w:color w:val="000000"/>
                <w:sz w:val="28"/>
                <w:szCs w:val="28"/>
              </w:rPr>
              <w:t>（元／平方米）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2840" w:type="dxa"/>
            <w:tcBorders>
              <w:left w:val="single" w:color="auto" w:sz="12" w:space="0"/>
            </w:tcBorders>
            <w:shd w:val="clear" w:color="auto" w:fill="auto"/>
            <w:vAlign w:val="center"/>
          </w:tcPr>
          <w:p>
            <w:pPr>
              <w:snapToGrid w:val="0"/>
              <w:jc w:val="center"/>
              <w:rPr>
                <w:color w:val="000000"/>
                <w:sz w:val="28"/>
                <w:szCs w:val="28"/>
              </w:rPr>
            </w:pPr>
            <w:r>
              <w:rPr>
                <w:color w:val="000000"/>
                <w:sz w:val="28"/>
                <w:szCs w:val="28"/>
              </w:rPr>
              <w:t>钢砼结构</w:t>
            </w:r>
          </w:p>
        </w:tc>
        <w:tc>
          <w:tcPr>
            <w:tcW w:w="3630" w:type="dxa"/>
            <w:shd w:val="clear" w:color="auto" w:fill="auto"/>
            <w:vAlign w:val="center"/>
          </w:tcPr>
          <w:p>
            <w:pPr>
              <w:snapToGrid w:val="0"/>
              <w:jc w:val="center"/>
              <w:rPr>
                <w:color w:val="000000"/>
                <w:sz w:val="28"/>
                <w:szCs w:val="28"/>
              </w:rPr>
            </w:pPr>
            <w:r>
              <w:rPr>
                <w:color w:val="000000"/>
                <w:sz w:val="28"/>
                <w:szCs w:val="28"/>
              </w:rPr>
              <w:t>框架（剪力墙）现浇盖</w:t>
            </w:r>
          </w:p>
        </w:tc>
        <w:tc>
          <w:tcPr>
            <w:tcW w:w="2445" w:type="dxa"/>
            <w:tcBorders>
              <w:right w:val="single" w:color="auto" w:sz="12" w:space="0"/>
            </w:tcBorders>
            <w:shd w:val="clear" w:color="auto" w:fill="auto"/>
            <w:vAlign w:val="center"/>
          </w:tcPr>
          <w:p>
            <w:pPr>
              <w:snapToGrid w:val="0"/>
              <w:jc w:val="center"/>
              <w:rPr>
                <w:color w:val="000000"/>
                <w:sz w:val="28"/>
                <w:szCs w:val="28"/>
              </w:rPr>
            </w:pPr>
            <w:r>
              <w:rPr>
                <w:color w:val="000000"/>
                <w:sz w:val="28"/>
                <w:szCs w:val="28"/>
              </w:rPr>
              <w:t>115</w:t>
            </w:r>
            <w:r>
              <w:rPr>
                <w:rFonts w:hint="eastAsia"/>
                <w:color w:val="00000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2840" w:type="dxa"/>
            <w:tcBorders>
              <w:left w:val="single" w:color="auto" w:sz="12" w:space="0"/>
            </w:tcBorders>
            <w:shd w:val="clear" w:color="auto" w:fill="auto"/>
            <w:vAlign w:val="center"/>
          </w:tcPr>
          <w:p>
            <w:pPr>
              <w:snapToGrid w:val="0"/>
              <w:jc w:val="center"/>
              <w:rPr>
                <w:color w:val="000000"/>
                <w:sz w:val="28"/>
                <w:szCs w:val="28"/>
              </w:rPr>
            </w:pPr>
            <w:r>
              <w:rPr>
                <w:color w:val="000000"/>
                <w:sz w:val="28"/>
                <w:szCs w:val="28"/>
              </w:rPr>
              <w:t>砖混结构</w:t>
            </w:r>
          </w:p>
        </w:tc>
        <w:tc>
          <w:tcPr>
            <w:tcW w:w="3630" w:type="dxa"/>
            <w:shd w:val="clear" w:color="auto" w:fill="auto"/>
            <w:vAlign w:val="center"/>
          </w:tcPr>
          <w:p>
            <w:pPr>
              <w:snapToGrid w:val="0"/>
              <w:jc w:val="center"/>
              <w:rPr>
                <w:color w:val="000000"/>
                <w:sz w:val="28"/>
                <w:szCs w:val="28"/>
              </w:rPr>
            </w:pPr>
            <w:r>
              <w:rPr>
                <w:color w:val="000000"/>
                <w:sz w:val="28"/>
                <w:szCs w:val="28"/>
              </w:rPr>
              <w:t>砖墙（条石）预制盖</w:t>
            </w:r>
          </w:p>
        </w:tc>
        <w:tc>
          <w:tcPr>
            <w:tcW w:w="2445" w:type="dxa"/>
            <w:tcBorders>
              <w:right w:val="single" w:color="auto" w:sz="12" w:space="0"/>
            </w:tcBorders>
            <w:shd w:val="clear" w:color="auto" w:fill="auto"/>
            <w:vAlign w:val="center"/>
          </w:tcPr>
          <w:p>
            <w:pPr>
              <w:snapToGrid w:val="0"/>
              <w:jc w:val="center"/>
              <w:rPr>
                <w:color w:val="000000"/>
                <w:sz w:val="28"/>
                <w:szCs w:val="28"/>
              </w:rPr>
            </w:pPr>
            <w:r>
              <w:rPr>
                <w:color w:val="000000"/>
                <w:sz w:val="28"/>
                <w:szCs w:val="28"/>
              </w:rPr>
              <w:t>9</w:t>
            </w:r>
            <w:r>
              <w:rPr>
                <w:rFonts w:hint="eastAsia"/>
                <w:color w:val="00000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2840" w:type="dxa"/>
            <w:vMerge w:val="restart"/>
            <w:tcBorders>
              <w:left w:val="single" w:color="auto" w:sz="12" w:space="0"/>
            </w:tcBorders>
            <w:shd w:val="clear" w:color="auto" w:fill="auto"/>
            <w:vAlign w:val="center"/>
          </w:tcPr>
          <w:p>
            <w:pPr>
              <w:snapToGrid w:val="0"/>
              <w:jc w:val="center"/>
              <w:rPr>
                <w:color w:val="000000"/>
                <w:sz w:val="28"/>
                <w:szCs w:val="28"/>
              </w:rPr>
            </w:pPr>
            <w:r>
              <w:rPr>
                <w:color w:val="000000"/>
                <w:sz w:val="28"/>
                <w:szCs w:val="28"/>
              </w:rPr>
              <w:t>砖木结构</w:t>
            </w:r>
          </w:p>
        </w:tc>
        <w:tc>
          <w:tcPr>
            <w:tcW w:w="3630" w:type="dxa"/>
            <w:shd w:val="clear" w:color="auto" w:fill="auto"/>
            <w:vAlign w:val="center"/>
          </w:tcPr>
          <w:p>
            <w:pPr>
              <w:snapToGrid w:val="0"/>
              <w:jc w:val="center"/>
              <w:rPr>
                <w:color w:val="000000"/>
                <w:sz w:val="28"/>
                <w:szCs w:val="28"/>
              </w:rPr>
            </w:pPr>
            <w:r>
              <w:rPr>
                <w:color w:val="000000"/>
                <w:sz w:val="28"/>
                <w:szCs w:val="28"/>
              </w:rPr>
              <w:t>砖墙（木板）穿逗瓦盖</w:t>
            </w:r>
          </w:p>
        </w:tc>
        <w:tc>
          <w:tcPr>
            <w:tcW w:w="2445" w:type="dxa"/>
            <w:tcBorders>
              <w:right w:val="single" w:color="auto" w:sz="12" w:space="0"/>
            </w:tcBorders>
            <w:shd w:val="clear" w:color="auto" w:fill="auto"/>
            <w:vAlign w:val="center"/>
          </w:tcPr>
          <w:p>
            <w:pPr>
              <w:snapToGrid w:val="0"/>
              <w:jc w:val="center"/>
              <w:rPr>
                <w:color w:val="000000"/>
                <w:sz w:val="28"/>
                <w:szCs w:val="28"/>
              </w:rPr>
            </w:pPr>
            <w:r>
              <w:rPr>
                <w:color w:val="000000"/>
                <w:sz w:val="28"/>
                <w:szCs w:val="28"/>
              </w:rPr>
              <w:t>77</w:t>
            </w:r>
            <w:r>
              <w:rPr>
                <w:rFonts w:hint="eastAsia"/>
                <w:color w:val="00000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840" w:type="dxa"/>
            <w:vMerge w:val="continue"/>
            <w:tcBorders>
              <w:left w:val="single" w:color="auto" w:sz="12" w:space="0"/>
            </w:tcBorders>
            <w:shd w:val="clear" w:color="auto" w:fill="auto"/>
            <w:vAlign w:val="center"/>
          </w:tcPr>
          <w:p>
            <w:pPr>
              <w:snapToGrid w:val="0"/>
              <w:jc w:val="center"/>
              <w:rPr>
                <w:color w:val="000000"/>
                <w:sz w:val="28"/>
                <w:szCs w:val="28"/>
              </w:rPr>
            </w:pPr>
          </w:p>
        </w:tc>
        <w:tc>
          <w:tcPr>
            <w:tcW w:w="3630" w:type="dxa"/>
            <w:shd w:val="clear" w:color="auto" w:fill="auto"/>
            <w:vAlign w:val="center"/>
          </w:tcPr>
          <w:p>
            <w:pPr>
              <w:snapToGrid w:val="0"/>
              <w:jc w:val="center"/>
              <w:rPr>
                <w:color w:val="000000"/>
                <w:sz w:val="28"/>
                <w:szCs w:val="28"/>
              </w:rPr>
            </w:pPr>
            <w:r>
              <w:rPr>
                <w:color w:val="000000"/>
                <w:sz w:val="28"/>
                <w:szCs w:val="28"/>
              </w:rPr>
              <w:t>砖墙（片石）瓦盖</w:t>
            </w:r>
          </w:p>
        </w:tc>
        <w:tc>
          <w:tcPr>
            <w:tcW w:w="2445" w:type="dxa"/>
            <w:tcBorders>
              <w:right w:val="single" w:color="auto" w:sz="12" w:space="0"/>
            </w:tcBorders>
            <w:shd w:val="clear" w:color="auto" w:fill="auto"/>
            <w:vAlign w:val="center"/>
          </w:tcPr>
          <w:p>
            <w:pPr>
              <w:snapToGrid w:val="0"/>
              <w:jc w:val="center"/>
              <w:rPr>
                <w:color w:val="000000"/>
                <w:sz w:val="28"/>
                <w:szCs w:val="28"/>
              </w:rPr>
            </w:pPr>
            <w:r>
              <w:rPr>
                <w:color w:val="000000"/>
                <w:sz w:val="28"/>
                <w:szCs w:val="28"/>
              </w:rPr>
              <w:t>7</w:t>
            </w:r>
            <w:r>
              <w:rPr>
                <w:rFonts w:hint="eastAsia"/>
                <w:color w:val="00000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2840" w:type="dxa"/>
            <w:vMerge w:val="continue"/>
            <w:tcBorders>
              <w:left w:val="single" w:color="auto" w:sz="12" w:space="0"/>
            </w:tcBorders>
            <w:shd w:val="clear" w:color="auto" w:fill="auto"/>
            <w:vAlign w:val="center"/>
          </w:tcPr>
          <w:p>
            <w:pPr>
              <w:snapToGrid w:val="0"/>
              <w:jc w:val="center"/>
              <w:rPr>
                <w:color w:val="000000"/>
                <w:sz w:val="28"/>
                <w:szCs w:val="28"/>
              </w:rPr>
            </w:pPr>
          </w:p>
        </w:tc>
        <w:tc>
          <w:tcPr>
            <w:tcW w:w="3630" w:type="dxa"/>
            <w:shd w:val="clear" w:color="auto" w:fill="auto"/>
            <w:vAlign w:val="center"/>
          </w:tcPr>
          <w:p>
            <w:pPr>
              <w:snapToGrid w:val="0"/>
              <w:jc w:val="center"/>
              <w:rPr>
                <w:color w:val="000000"/>
                <w:sz w:val="28"/>
                <w:szCs w:val="28"/>
              </w:rPr>
            </w:pPr>
            <w:r>
              <w:rPr>
                <w:color w:val="000000"/>
                <w:sz w:val="28"/>
                <w:szCs w:val="28"/>
              </w:rPr>
              <w:t>砖墙石棉瓦盖（含油毡、玻纤瓦</w:t>
            </w:r>
            <w:r>
              <w:rPr>
                <w:rFonts w:hint="eastAsia"/>
                <w:color w:val="000000"/>
                <w:sz w:val="28"/>
                <w:szCs w:val="28"/>
              </w:rPr>
              <w:t>、彩钢盖</w:t>
            </w:r>
            <w:r>
              <w:rPr>
                <w:color w:val="000000"/>
                <w:sz w:val="28"/>
                <w:szCs w:val="28"/>
              </w:rPr>
              <w:t>）</w:t>
            </w:r>
          </w:p>
        </w:tc>
        <w:tc>
          <w:tcPr>
            <w:tcW w:w="2445" w:type="dxa"/>
            <w:tcBorders>
              <w:right w:val="single" w:color="auto" w:sz="12" w:space="0"/>
            </w:tcBorders>
            <w:shd w:val="clear" w:color="auto" w:fill="auto"/>
            <w:vAlign w:val="center"/>
          </w:tcPr>
          <w:p>
            <w:pPr>
              <w:snapToGrid w:val="0"/>
              <w:jc w:val="center"/>
              <w:rPr>
                <w:color w:val="000000"/>
                <w:sz w:val="28"/>
                <w:szCs w:val="28"/>
              </w:rPr>
            </w:pPr>
            <w:r>
              <w:rPr>
                <w:color w:val="000000"/>
                <w:sz w:val="28"/>
                <w:szCs w:val="28"/>
              </w:rPr>
              <w:t>6</w:t>
            </w:r>
            <w:r>
              <w:rPr>
                <w:rFonts w:hint="eastAsia"/>
                <w:color w:val="000000"/>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2840" w:type="dxa"/>
            <w:tcBorders>
              <w:left w:val="single" w:color="auto" w:sz="12" w:space="0"/>
            </w:tcBorders>
            <w:shd w:val="clear" w:color="auto" w:fill="auto"/>
            <w:vAlign w:val="center"/>
          </w:tcPr>
          <w:p>
            <w:pPr>
              <w:snapToGrid w:val="0"/>
              <w:jc w:val="center"/>
              <w:rPr>
                <w:color w:val="000000"/>
                <w:sz w:val="28"/>
                <w:szCs w:val="28"/>
              </w:rPr>
            </w:pPr>
            <w:r>
              <w:rPr>
                <w:color w:val="000000"/>
                <w:sz w:val="28"/>
                <w:szCs w:val="28"/>
              </w:rPr>
              <w:t>木结构</w:t>
            </w:r>
          </w:p>
        </w:tc>
        <w:tc>
          <w:tcPr>
            <w:tcW w:w="3630" w:type="dxa"/>
            <w:shd w:val="clear" w:color="auto" w:fill="auto"/>
            <w:vAlign w:val="center"/>
          </w:tcPr>
          <w:p>
            <w:pPr>
              <w:snapToGrid w:val="0"/>
              <w:jc w:val="center"/>
              <w:rPr>
                <w:color w:val="000000"/>
                <w:sz w:val="28"/>
                <w:szCs w:val="28"/>
              </w:rPr>
            </w:pPr>
            <w:r>
              <w:rPr>
                <w:color w:val="000000"/>
                <w:sz w:val="28"/>
                <w:szCs w:val="28"/>
              </w:rPr>
              <w:t>木柱、木墙、瓦盖</w:t>
            </w:r>
          </w:p>
        </w:tc>
        <w:tc>
          <w:tcPr>
            <w:tcW w:w="2445" w:type="dxa"/>
            <w:tcBorders>
              <w:right w:val="single" w:color="auto" w:sz="12" w:space="0"/>
            </w:tcBorders>
            <w:shd w:val="clear" w:color="auto" w:fill="auto"/>
            <w:vAlign w:val="center"/>
          </w:tcPr>
          <w:p>
            <w:pPr>
              <w:snapToGrid w:val="0"/>
              <w:jc w:val="center"/>
              <w:rPr>
                <w:color w:val="000000"/>
                <w:sz w:val="28"/>
                <w:szCs w:val="28"/>
              </w:rPr>
            </w:pPr>
            <w:r>
              <w:rPr>
                <w:color w:val="000000"/>
                <w:sz w:val="28"/>
                <w:szCs w:val="28"/>
              </w:rPr>
              <w:t>7</w:t>
            </w:r>
            <w:r>
              <w:rPr>
                <w:rFonts w:hint="eastAsia"/>
                <w:color w:val="00000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2840" w:type="dxa"/>
            <w:vMerge w:val="restart"/>
            <w:tcBorders>
              <w:left w:val="single" w:color="auto" w:sz="12" w:space="0"/>
            </w:tcBorders>
            <w:shd w:val="clear" w:color="auto" w:fill="auto"/>
            <w:vAlign w:val="center"/>
          </w:tcPr>
          <w:p>
            <w:pPr>
              <w:snapToGrid w:val="0"/>
              <w:jc w:val="center"/>
              <w:rPr>
                <w:color w:val="000000"/>
                <w:sz w:val="28"/>
                <w:szCs w:val="28"/>
              </w:rPr>
            </w:pPr>
            <w:r>
              <w:rPr>
                <w:color w:val="000000"/>
                <w:sz w:val="28"/>
                <w:szCs w:val="28"/>
              </w:rPr>
              <w:t>土墙结构</w:t>
            </w:r>
          </w:p>
        </w:tc>
        <w:tc>
          <w:tcPr>
            <w:tcW w:w="3630" w:type="dxa"/>
            <w:shd w:val="clear" w:color="auto" w:fill="auto"/>
            <w:vAlign w:val="center"/>
          </w:tcPr>
          <w:p>
            <w:pPr>
              <w:snapToGrid w:val="0"/>
              <w:jc w:val="center"/>
              <w:rPr>
                <w:color w:val="000000"/>
                <w:sz w:val="28"/>
                <w:szCs w:val="28"/>
              </w:rPr>
            </w:pPr>
            <w:r>
              <w:rPr>
                <w:color w:val="000000"/>
                <w:sz w:val="28"/>
                <w:szCs w:val="28"/>
              </w:rPr>
              <w:t>土墙瓦盖</w:t>
            </w:r>
          </w:p>
        </w:tc>
        <w:tc>
          <w:tcPr>
            <w:tcW w:w="2445" w:type="dxa"/>
            <w:tcBorders>
              <w:right w:val="single" w:color="auto" w:sz="12" w:space="0"/>
            </w:tcBorders>
            <w:shd w:val="clear" w:color="auto" w:fill="auto"/>
            <w:vAlign w:val="center"/>
          </w:tcPr>
          <w:p>
            <w:pPr>
              <w:snapToGrid w:val="0"/>
              <w:jc w:val="center"/>
              <w:rPr>
                <w:color w:val="000000"/>
                <w:sz w:val="28"/>
                <w:szCs w:val="28"/>
              </w:rPr>
            </w:pPr>
            <w:r>
              <w:rPr>
                <w:color w:val="000000"/>
                <w:sz w:val="28"/>
                <w:szCs w:val="28"/>
              </w:rPr>
              <w:t>44</w:t>
            </w:r>
            <w:r>
              <w:rPr>
                <w:rFonts w:hint="eastAsia"/>
                <w:color w:val="00000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2840" w:type="dxa"/>
            <w:vMerge w:val="continue"/>
            <w:tcBorders>
              <w:left w:val="single" w:color="auto" w:sz="12" w:space="0"/>
            </w:tcBorders>
            <w:shd w:val="clear" w:color="auto" w:fill="auto"/>
            <w:vAlign w:val="center"/>
          </w:tcPr>
          <w:p>
            <w:pPr>
              <w:snapToGrid w:val="0"/>
              <w:jc w:val="center"/>
              <w:rPr>
                <w:color w:val="000000"/>
                <w:sz w:val="28"/>
                <w:szCs w:val="28"/>
              </w:rPr>
            </w:pPr>
          </w:p>
        </w:tc>
        <w:tc>
          <w:tcPr>
            <w:tcW w:w="3630" w:type="dxa"/>
            <w:shd w:val="clear" w:color="auto" w:fill="auto"/>
            <w:vAlign w:val="center"/>
          </w:tcPr>
          <w:p>
            <w:pPr>
              <w:snapToGrid w:val="0"/>
              <w:jc w:val="center"/>
              <w:rPr>
                <w:color w:val="000000"/>
                <w:sz w:val="28"/>
                <w:szCs w:val="28"/>
              </w:rPr>
            </w:pPr>
            <w:r>
              <w:rPr>
                <w:color w:val="000000"/>
                <w:sz w:val="28"/>
                <w:szCs w:val="28"/>
              </w:rPr>
              <w:t>石棉瓦、玻纤瓦盖</w:t>
            </w:r>
          </w:p>
        </w:tc>
        <w:tc>
          <w:tcPr>
            <w:tcW w:w="2445" w:type="dxa"/>
            <w:tcBorders>
              <w:right w:val="single" w:color="auto" w:sz="12" w:space="0"/>
            </w:tcBorders>
            <w:shd w:val="clear" w:color="auto" w:fill="auto"/>
            <w:vAlign w:val="center"/>
          </w:tcPr>
          <w:p>
            <w:pPr>
              <w:snapToGrid w:val="0"/>
              <w:jc w:val="center"/>
              <w:rPr>
                <w:color w:val="000000"/>
                <w:sz w:val="28"/>
                <w:szCs w:val="28"/>
              </w:rPr>
            </w:pPr>
            <w:r>
              <w:rPr>
                <w:color w:val="000000"/>
                <w:sz w:val="28"/>
                <w:szCs w:val="28"/>
              </w:rPr>
              <w:t>3</w:t>
            </w:r>
            <w:r>
              <w:rPr>
                <w:rFonts w:hint="eastAsia"/>
                <w:color w:val="000000"/>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restart"/>
            <w:tcBorders>
              <w:left w:val="single" w:color="auto" w:sz="12" w:space="0"/>
            </w:tcBorders>
            <w:shd w:val="clear" w:color="auto" w:fill="auto"/>
            <w:vAlign w:val="center"/>
          </w:tcPr>
          <w:p>
            <w:pPr>
              <w:snapToGrid w:val="0"/>
              <w:jc w:val="center"/>
              <w:rPr>
                <w:color w:val="000000"/>
                <w:sz w:val="28"/>
                <w:szCs w:val="28"/>
              </w:rPr>
            </w:pPr>
            <w:r>
              <w:rPr>
                <w:color w:val="000000"/>
                <w:sz w:val="28"/>
                <w:szCs w:val="28"/>
              </w:rPr>
              <w:t>简易结构</w:t>
            </w:r>
          </w:p>
        </w:tc>
        <w:tc>
          <w:tcPr>
            <w:tcW w:w="3630" w:type="dxa"/>
            <w:shd w:val="clear" w:color="auto" w:fill="auto"/>
            <w:vAlign w:val="center"/>
          </w:tcPr>
          <w:p>
            <w:pPr>
              <w:snapToGrid w:val="0"/>
              <w:jc w:val="center"/>
              <w:rPr>
                <w:color w:val="000000"/>
                <w:sz w:val="28"/>
                <w:szCs w:val="28"/>
              </w:rPr>
            </w:pPr>
            <w:r>
              <w:rPr>
                <w:color w:val="000000"/>
                <w:sz w:val="28"/>
                <w:szCs w:val="28"/>
              </w:rPr>
              <w:t>砖柱（石柱、木柱）石棉瓦盖（油毡、玻纤瓦）</w:t>
            </w:r>
          </w:p>
        </w:tc>
        <w:tc>
          <w:tcPr>
            <w:tcW w:w="2445" w:type="dxa"/>
            <w:tcBorders>
              <w:right w:val="single" w:color="auto" w:sz="12" w:space="0"/>
            </w:tcBorders>
            <w:shd w:val="clear" w:color="auto" w:fill="auto"/>
            <w:vAlign w:val="center"/>
          </w:tcPr>
          <w:p>
            <w:pPr>
              <w:snapToGrid w:val="0"/>
              <w:jc w:val="center"/>
              <w:rPr>
                <w:color w:val="000000"/>
                <w:sz w:val="28"/>
                <w:szCs w:val="28"/>
              </w:rPr>
            </w:pPr>
            <w:r>
              <w:rPr>
                <w:color w:val="000000"/>
                <w:sz w:val="28"/>
                <w:szCs w:val="28"/>
              </w:rPr>
              <w:t>2</w:t>
            </w:r>
            <w:r>
              <w:rPr>
                <w:rFonts w:hint="eastAsia"/>
                <w:color w:val="00000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840" w:type="dxa"/>
            <w:vMerge w:val="continue"/>
            <w:tcBorders>
              <w:left w:val="single" w:color="auto" w:sz="12" w:space="0"/>
            </w:tcBorders>
            <w:shd w:val="clear" w:color="auto" w:fill="auto"/>
            <w:vAlign w:val="center"/>
          </w:tcPr>
          <w:p>
            <w:pPr>
              <w:snapToGrid w:val="0"/>
              <w:jc w:val="center"/>
              <w:rPr>
                <w:color w:val="000000"/>
                <w:sz w:val="28"/>
                <w:szCs w:val="28"/>
              </w:rPr>
            </w:pPr>
          </w:p>
        </w:tc>
        <w:tc>
          <w:tcPr>
            <w:tcW w:w="3630" w:type="dxa"/>
            <w:shd w:val="clear" w:color="auto" w:fill="auto"/>
            <w:vAlign w:val="center"/>
          </w:tcPr>
          <w:p>
            <w:pPr>
              <w:snapToGrid w:val="0"/>
              <w:jc w:val="center"/>
              <w:rPr>
                <w:color w:val="000000"/>
                <w:sz w:val="28"/>
                <w:szCs w:val="28"/>
              </w:rPr>
            </w:pPr>
            <w:r>
              <w:rPr>
                <w:color w:val="000000"/>
                <w:sz w:val="28"/>
                <w:szCs w:val="28"/>
              </w:rPr>
              <w:t>简易棚房</w:t>
            </w:r>
          </w:p>
        </w:tc>
        <w:tc>
          <w:tcPr>
            <w:tcW w:w="2445" w:type="dxa"/>
            <w:tcBorders>
              <w:right w:val="single" w:color="auto" w:sz="12" w:space="0"/>
            </w:tcBorders>
            <w:shd w:val="clear" w:color="auto" w:fill="auto"/>
            <w:vAlign w:val="center"/>
          </w:tcPr>
          <w:p>
            <w:pPr>
              <w:snapToGrid w:val="0"/>
              <w:jc w:val="center"/>
              <w:rPr>
                <w:color w:val="000000"/>
                <w:sz w:val="28"/>
                <w:szCs w:val="28"/>
              </w:rPr>
            </w:pPr>
            <w:r>
              <w:rPr>
                <w:color w:val="000000"/>
                <w:sz w:val="28"/>
                <w:szCs w:val="28"/>
              </w:rPr>
              <w:t>17</w:t>
            </w:r>
            <w:r>
              <w:rPr>
                <w:rFonts w:hint="eastAsia"/>
                <w:color w:val="00000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840" w:type="dxa"/>
            <w:tcBorders>
              <w:left w:val="single" w:color="auto" w:sz="12" w:space="0"/>
              <w:bottom w:val="single" w:color="auto" w:sz="12" w:space="0"/>
            </w:tcBorders>
            <w:shd w:val="clear" w:color="auto" w:fill="auto"/>
            <w:vAlign w:val="center"/>
          </w:tcPr>
          <w:p>
            <w:pPr>
              <w:snapToGrid w:val="0"/>
              <w:jc w:val="center"/>
              <w:rPr>
                <w:rFonts w:hint="eastAsia"/>
                <w:color w:val="000000"/>
                <w:sz w:val="28"/>
                <w:szCs w:val="28"/>
              </w:rPr>
            </w:pPr>
            <w:r>
              <w:rPr>
                <w:rFonts w:hint="eastAsia"/>
                <w:color w:val="000000"/>
                <w:sz w:val="28"/>
                <w:szCs w:val="28"/>
              </w:rPr>
              <w:t>活动板房</w:t>
            </w:r>
          </w:p>
        </w:tc>
        <w:tc>
          <w:tcPr>
            <w:tcW w:w="3630" w:type="dxa"/>
            <w:tcBorders>
              <w:bottom w:val="single" w:color="auto" w:sz="12" w:space="0"/>
            </w:tcBorders>
            <w:shd w:val="clear" w:color="auto" w:fill="auto"/>
            <w:vAlign w:val="center"/>
          </w:tcPr>
          <w:p>
            <w:pPr>
              <w:snapToGrid w:val="0"/>
              <w:jc w:val="center"/>
              <w:rPr>
                <w:rFonts w:hint="eastAsia"/>
                <w:color w:val="000000"/>
                <w:sz w:val="28"/>
                <w:szCs w:val="28"/>
              </w:rPr>
            </w:pPr>
            <w:r>
              <w:rPr>
                <w:rFonts w:hint="eastAsia"/>
                <w:color w:val="000000"/>
                <w:sz w:val="28"/>
                <w:szCs w:val="28"/>
              </w:rPr>
              <w:t>钢铝柱墙</w:t>
            </w:r>
          </w:p>
        </w:tc>
        <w:tc>
          <w:tcPr>
            <w:tcW w:w="2445" w:type="dxa"/>
            <w:tcBorders>
              <w:bottom w:val="single" w:color="auto" w:sz="12" w:space="0"/>
              <w:right w:val="single" w:color="auto" w:sz="12" w:space="0"/>
            </w:tcBorders>
            <w:shd w:val="clear" w:color="auto" w:fill="auto"/>
            <w:vAlign w:val="center"/>
          </w:tcPr>
          <w:p>
            <w:pPr>
              <w:snapToGrid w:val="0"/>
              <w:jc w:val="center"/>
              <w:rPr>
                <w:color w:val="000000"/>
                <w:sz w:val="28"/>
                <w:szCs w:val="28"/>
              </w:rPr>
            </w:pPr>
            <w:r>
              <w:rPr>
                <w:rFonts w:hint="eastAsia"/>
                <w:color w:val="000000"/>
                <w:sz w:val="28"/>
                <w:szCs w:val="28"/>
              </w:rPr>
              <w:t>350</w:t>
            </w:r>
          </w:p>
        </w:tc>
      </w:tr>
    </w:tbl>
    <w:p>
      <w:pPr>
        <w:spacing w:line="330" w:lineRule="exact"/>
        <w:jc w:val="left"/>
        <w:rPr>
          <w:color w:val="000000"/>
          <w:sz w:val="28"/>
          <w:szCs w:val="28"/>
        </w:rPr>
      </w:pPr>
      <w:r>
        <w:rPr>
          <w:color w:val="000000"/>
          <w:sz w:val="28"/>
          <w:szCs w:val="28"/>
        </w:rPr>
        <w:t>说明：</w:t>
      </w:r>
    </w:p>
    <w:p>
      <w:pPr>
        <w:spacing w:line="330" w:lineRule="exact"/>
        <w:jc w:val="left"/>
        <w:rPr>
          <w:color w:val="000000"/>
          <w:sz w:val="28"/>
          <w:szCs w:val="28"/>
        </w:rPr>
      </w:pPr>
      <w:r>
        <w:rPr>
          <w:color w:val="000000"/>
          <w:sz w:val="28"/>
          <w:szCs w:val="28"/>
        </w:rPr>
        <w:t>1.房屋层高在2.2米以下（不含2.2米），1.5米以上（含1.5米）的，按同类房屋标准的70%计算补偿。</w:t>
      </w:r>
    </w:p>
    <w:p>
      <w:pPr>
        <w:spacing w:line="330" w:lineRule="exact"/>
        <w:jc w:val="left"/>
        <w:rPr>
          <w:color w:val="000000"/>
          <w:sz w:val="28"/>
          <w:szCs w:val="28"/>
        </w:rPr>
      </w:pPr>
      <w:r>
        <w:rPr>
          <w:color w:val="000000"/>
          <w:sz w:val="28"/>
          <w:szCs w:val="28"/>
        </w:rPr>
        <w:t>2.房屋层高在1.5米以下（不含1.5米），1米以上（含1米）的，按同类房屋标准的50%计算补偿。</w:t>
      </w:r>
    </w:p>
    <w:p>
      <w:pPr>
        <w:spacing w:line="330" w:lineRule="exact"/>
        <w:jc w:val="left"/>
        <w:rPr>
          <w:color w:val="000000"/>
          <w:sz w:val="28"/>
          <w:szCs w:val="28"/>
        </w:rPr>
      </w:pPr>
      <w:r>
        <w:rPr>
          <w:color w:val="000000"/>
          <w:sz w:val="28"/>
          <w:szCs w:val="28"/>
        </w:rPr>
        <w:t>3.房屋层高在1米以下（不含1米）的，按同类房屋标准的20%计算补偿。</w:t>
      </w:r>
    </w:p>
    <w:p>
      <w:pPr>
        <w:spacing w:line="330" w:lineRule="exact"/>
        <w:jc w:val="left"/>
        <w:rPr>
          <w:color w:val="000000"/>
          <w:sz w:val="28"/>
          <w:szCs w:val="28"/>
        </w:rPr>
      </w:pPr>
      <w:r>
        <w:rPr>
          <w:color w:val="000000"/>
          <w:sz w:val="28"/>
          <w:szCs w:val="28"/>
        </w:rPr>
        <w:t>4.外阳台按同类房屋的50%计算。</w:t>
      </w:r>
    </w:p>
    <w:p>
      <w:pPr>
        <w:spacing w:line="330" w:lineRule="exact"/>
        <w:jc w:val="left"/>
        <w:rPr>
          <w:color w:val="000000"/>
          <w:sz w:val="28"/>
          <w:szCs w:val="28"/>
        </w:rPr>
      </w:pPr>
      <w:r>
        <w:rPr>
          <w:color w:val="000000"/>
          <w:sz w:val="28"/>
          <w:szCs w:val="28"/>
        </w:rPr>
        <w:t>5.房屋面积以外墙尺寸计算。</w:t>
      </w:r>
    </w:p>
    <w:p>
      <w:pPr>
        <w:spacing w:line="570" w:lineRule="exact"/>
        <w:rPr>
          <w:rFonts w:eastAsia="方正黑体_GBK"/>
          <w:color w:val="000000"/>
          <w:szCs w:val="32"/>
        </w:rPr>
      </w:pPr>
      <w:r>
        <w:rPr>
          <w:rFonts w:eastAsia="方正黑体_GBK"/>
          <w:color w:val="000000"/>
          <w:szCs w:val="32"/>
        </w:rPr>
        <w:t>附件3</w:t>
      </w:r>
    </w:p>
    <w:p>
      <w:pPr>
        <w:widowControl w:val="0"/>
        <w:snapToGrid w:val="0"/>
        <w:jc w:val="center"/>
        <w:rPr>
          <w:rFonts w:ascii="方正小标宋_GBK" w:eastAsia="方正小标宋_GBK"/>
          <w:sz w:val="36"/>
          <w:szCs w:val="28"/>
        </w:rPr>
      </w:pPr>
      <w:r>
        <w:rPr>
          <w:rFonts w:ascii="方正小标宋_GBK" w:eastAsia="方正小标宋_GBK"/>
          <w:sz w:val="36"/>
          <w:szCs w:val="36"/>
        </w:rPr>
        <w:t>秀山县农村房屋装修装饰等补助标准</w:t>
      </w:r>
    </w:p>
    <w:tbl>
      <w:tblPr>
        <w:tblStyle w:val="7"/>
        <w:tblW w:w="8815" w:type="dxa"/>
        <w:tblInd w:w="0" w:type="dxa"/>
        <w:tblLayout w:type="fixed"/>
        <w:tblCellMar>
          <w:top w:w="15" w:type="dxa"/>
          <w:left w:w="15" w:type="dxa"/>
          <w:bottom w:w="15" w:type="dxa"/>
          <w:right w:w="15" w:type="dxa"/>
        </w:tblCellMar>
      </w:tblPr>
      <w:tblGrid>
        <w:gridCol w:w="866"/>
        <w:gridCol w:w="3801"/>
        <w:gridCol w:w="1018"/>
        <w:gridCol w:w="2410"/>
        <w:gridCol w:w="720"/>
      </w:tblGrid>
      <w:tr>
        <w:tblPrEx>
          <w:tblLayout w:type="fixed"/>
          <w:tblCellMar>
            <w:top w:w="15" w:type="dxa"/>
            <w:left w:w="15" w:type="dxa"/>
            <w:bottom w:w="15" w:type="dxa"/>
            <w:right w:w="15" w:type="dxa"/>
          </w:tblCellMar>
        </w:tblPrEx>
        <w:trPr>
          <w:trHeight w:val="20" w:hRule="atLeast"/>
        </w:trPr>
        <w:tc>
          <w:tcPr>
            <w:tcW w:w="866" w:type="dxa"/>
            <w:tcBorders>
              <w:top w:val="single" w:color="auto" w:sz="12" w:space="0"/>
              <w:left w:val="single" w:color="auto" w:sz="12" w:space="0"/>
              <w:right w:val="single" w:color="000000" w:sz="4" w:space="0"/>
            </w:tcBorders>
            <w:shd w:val="clear" w:color="auto" w:fill="auto"/>
            <w:vAlign w:val="center"/>
          </w:tcPr>
          <w:p>
            <w:pPr>
              <w:snapToGrid w:val="0"/>
              <w:jc w:val="center"/>
              <w:textAlignment w:val="center"/>
              <w:rPr>
                <w:rFonts w:ascii="黑体" w:hAnsi="黑体" w:eastAsia="黑体"/>
                <w:color w:val="000000"/>
                <w:sz w:val="23"/>
                <w:szCs w:val="21"/>
              </w:rPr>
            </w:pPr>
            <w:r>
              <w:rPr>
                <w:rFonts w:ascii="黑体" w:hAnsi="黑体" w:eastAsia="黑体"/>
                <w:color w:val="000000"/>
                <w:kern w:val="0"/>
                <w:sz w:val="23"/>
                <w:szCs w:val="21"/>
                <w:lang w:bidi="ar"/>
              </w:rPr>
              <w:t>类别</w:t>
            </w:r>
          </w:p>
        </w:tc>
        <w:tc>
          <w:tcPr>
            <w:tcW w:w="3801" w:type="dxa"/>
            <w:tcBorders>
              <w:top w:val="single" w:color="auto" w:sz="12" w:space="0"/>
              <w:left w:val="single" w:color="000000" w:sz="4" w:space="0"/>
              <w:right w:val="single" w:color="000000" w:sz="4" w:space="0"/>
            </w:tcBorders>
            <w:shd w:val="clear" w:color="auto" w:fill="FFFFFF"/>
            <w:vAlign w:val="center"/>
          </w:tcPr>
          <w:p>
            <w:pPr>
              <w:snapToGrid w:val="0"/>
              <w:jc w:val="center"/>
              <w:textAlignment w:val="center"/>
              <w:rPr>
                <w:rFonts w:ascii="黑体" w:hAnsi="黑体" w:eastAsia="黑体"/>
                <w:color w:val="000000"/>
                <w:sz w:val="23"/>
                <w:szCs w:val="21"/>
              </w:rPr>
            </w:pPr>
            <w:r>
              <w:rPr>
                <w:rFonts w:ascii="黑体" w:hAnsi="黑体" w:eastAsia="黑体"/>
                <w:color w:val="000000"/>
                <w:kern w:val="0"/>
                <w:sz w:val="23"/>
                <w:szCs w:val="21"/>
                <w:lang w:bidi="ar"/>
              </w:rPr>
              <w:t>名称及规格</w:t>
            </w:r>
          </w:p>
        </w:tc>
        <w:tc>
          <w:tcPr>
            <w:tcW w:w="1018" w:type="dxa"/>
            <w:tcBorders>
              <w:top w:val="single" w:color="auto" w:sz="12" w:space="0"/>
              <w:left w:val="single" w:color="000000" w:sz="4" w:space="0"/>
              <w:right w:val="single" w:color="000000" w:sz="4" w:space="0"/>
            </w:tcBorders>
            <w:shd w:val="clear" w:color="auto" w:fill="FFFFFF"/>
            <w:vAlign w:val="center"/>
          </w:tcPr>
          <w:p>
            <w:pPr>
              <w:snapToGrid w:val="0"/>
              <w:jc w:val="center"/>
              <w:textAlignment w:val="center"/>
              <w:rPr>
                <w:rFonts w:ascii="黑体" w:hAnsi="黑体" w:eastAsia="黑体"/>
                <w:color w:val="000000"/>
                <w:sz w:val="23"/>
                <w:szCs w:val="21"/>
              </w:rPr>
            </w:pPr>
            <w:r>
              <w:rPr>
                <w:rFonts w:ascii="黑体" w:hAnsi="黑体" w:eastAsia="黑体"/>
                <w:color w:val="000000"/>
                <w:kern w:val="0"/>
                <w:sz w:val="23"/>
                <w:szCs w:val="21"/>
                <w:lang w:bidi="ar"/>
              </w:rPr>
              <w:t>单位</w:t>
            </w:r>
          </w:p>
        </w:tc>
        <w:tc>
          <w:tcPr>
            <w:tcW w:w="2410" w:type="dxa"/>
            <w:tcBorders>
              <w:top w:val="single" w:color="auto" w:sz="12" w:space="0"/>
              <w:left w:val="single" w:color="000000" w:sz="4" w:space="0"/>
              <w:right w:val="single" w:color="auto" w:sz="4" w:space="0"/>
            </w:tcBorders>
            <w:shd w:val="clear" w:color="auto" w:fill="FFFFFF"/>
            <w:vAlign w:val="center"/>
          </w:tcPr>
          <w:p>
            <w:pPr>
              <w:snapToGrid w:val="0"/>
              <w:jc w:val="center"/>
              <w:textAlignment w:val="center"/>
              <w:rPr>
                <w:rFonts w:ascii="黑体" w:hAnsi="黑体" w:eastAsia="黑体"/>
                <w:color w:val="000000"/>
                <w:sz w:val="23"/>
                <w:szCs w:val="21"/>
              </w:rPr>
            </w:pPr>
            <w:r>
              <w:rPr>
                <w:rFonts w:ascii="黑体" w:hAnsi="黑体" w:eastAsia="黑体"/>
                <w:color w:val="000000"/>
                <w:kern w:val="0"/>
                <w:sz w:val="23"/>
                <w:szCs w:val="21"/>
                <w:lang w:bidi="ar"/>
              </w:rPr>
              <w:t>标准（元）</w:t>
            </w:r>
          </w:p>
        </w:tc>
        <w:tc>
          <w:tcPr>
            <w:tcW w:w="720" w:type="dxa"/>
            <w:tcBorders>
              <w:top w:val="single" w:color="auto" w:sz="12" w:space="0"/>
              <w:left w:val="single" w:color="auto" w:sz="4" w:space="0"/>
              <w:bottom w:val="single" w:color="auto" w:sz="4" w:space="0"/>
              <w:right w:val="single" w:color="auto" w:sz="12" w:space="0"/>
            </w:tcBorders>
            <w:vAlign w:val="center"/>
          </w:tcPr>
          <w:p>
            <w:pPr>
              <w:snapToGrid w:val="0"/>
              <w:jc w:val="center"/>
              <w:textAlignment w:val="center"/>
              <w:rPr>
                <w:rFonts w:ascii="黑体" w:hAnsi="黑体" w:eastAsia="黑体"/>
                <w:color w:val="000000"/>
                <w:sz w:val="23"/>
                <w:szCs w:val="21"/>
              </w:rPr>
            </w:pPr>
            <w:r>
              <w:rPr>
                <w:rFonts w:ascii="黑体" w:hAnsi="黑体" w:eastAsia="黑体"/>
                <w:color w:val="000000"/>
                <w:kern w:val="0"/>
                <w:sz w:val="23"/>
                <w:szCs w:val="21"/>
                <w:lang w:bidi="ar"/>
              </w:rPr>
              <w:t>备注</w:t>
            </w:r>
          </w:p>
        </w:tc>
      </w:tr>
      <w:tr>
        <w:tblPrEx>
          <w:tblLayout w:type="fixed"/>
          <w:tblCellMar>
            <w:top w:w="15" w:type="dxa"/>
            <w:left w:w="15" w:type="dxa"/>
            <w:bottom w:w="15" w:type="dxa"/>
            <w:right w:w="15" w:type="dxa"/>
          </w:tblCellMar>
        </w:tblPrEx>
        <w:trPr>
          <w:trHeight w:val="20" w:hRule="atLeast"/>
        </w:trPr>
        <w:tc>
          <w:tcPr>
            <w:tcW w:w="866" w:type="dxa"/>
            <w:vMerge w:val="restart"/>
            <w:tcBorders>
              <w:top w:val="single" w:color="000000" w:sz="4" w:space="0"/>
              <w:left w:val="single" w:color="auto" w:sz="12" w:space="0"/>
              <w:bottom w:val="single" w:color="000000" w:sz="4"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装修装饰类</w:t>
            </w: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color w:val="000000"/>
                <w:sz w:val="23"/>
                <w:szCs w:val="21"/>
              </w:rPr>
            </w:pPr>
            <w:r>
              <w:rPr>
                <w:color w:val="000000"/>
                <w:kern w:val="0"/>
                <w:sz w:val="23"/>
                <w:szCs w:val="21"/>
                <w:lang w:bidi="ar"/>
              </w:rPr>
              <w:t>水磨石地面</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平方米</w:t>
            </w:r>
          </w:p>
        </w:tc>
        <w:tc>
          <w:tcPr>
            <w:tcW w:w="2410" w:type="dxa"/>
            <w:tcBorders>
              <w:top w:val="single" w:color="000000" w:sz="4" w:space="0"/>
              <w:left w:val="single" w:color="000000" w:sz="4" w:space="0"/>
              <w:bottom w:val="single" w:color="000000" w:sz="4" w:space="0"/>
              <w:right w:val="single" w:color="auto" w:sz="4" w:space="0"/>
            </w:tcBorders>
            <w:vAlign w:val="center"/>
          </w:tcPr>
          <w:p>
            <w:pPr>
              <w:snapToGrid w:val="0"/>
              <w:jc w:val="center"/>
              <w:textAlignment w:val="center"/>
              <w:rPr>
                <w:color w:val="000000"/>
                <w:sz w:val="23"/>
                <w:szCs w:val="21"/>
              </w:rPr>
            </w:pPr>
            <w:r>
              <w:rPr>
                <w:rFonts w:hint="eastAsia"/>
                <w:color w:val="000000"/>
                <w:kern w:val="0"/>
                <w:sz w:val="23"/>
                <w:szCs w:val="21"/>
                <w:lang w:bidi="ar"/>
              </w:rPr>
              <w:t>6</w:t>
            </w:r>
            <w:r>
              <w:rPr>
                <w:color w:val="000000"/>
                <w:kern w:val="0"/>
                <w:sz w:val="23"/>
                <w:szCs w:val="21"/>
                <w:lang w:bidi="ar"/>
              </w:rPr>
              <w:t>5</w:t>
            </w:r>
          </w:p>
        </w:tc>
        <w:tc>
          <w:tcPr>
            <w:tcW w:w="720" w:type="dxa"/>
            <w:tcBorders>
              <w:top w:val="single" w:color="auto" w:sz="4" w:space="0"/>
              <w:left w:val="single" w:color="auto" w:sz="4" w:space="0"/>
              <w:bottom w:val="single" w:color="auto" w:sz="4" w:space="0"/>
              <w:right w:val="single" w:color="auto" w:sz="12" w:space="0"/>
            </w:tcBorders>
            <w:vAlign w:val="center"/>
          </w:tcPr>
          <w:p>
            <w:pPr>
              <w:snapToGrid w:val="0"/>
              <w:rPr>
                <w:color w:val="000000"/>
                <w:sz w:val="23"/>
                <w:szCs w:val="21"/>
              </w:rPr>
            </w:pPr>
          </w:p>
        </w:tc>
      </w:tr>
      <w:tr>
        <w:tblPrEx>
          <w:tblLayout w:type="fixed"/>
          <w:tblCellMar>
            <w:top w:w="15" w:type="dxa"/>
            <w:left w:w="15" w:type="dxa"/>
            <w:bottom w:w="15" w:type="dxa"/>
            <w:right w:w="15" w:type="dxa"/>
          </w:tblCellMar>
        </w:tblPrEx>
        <w:trPr>
          <w:trHeight w:val="20" w:hRule="atLeast"/>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color w:val="000000"/>
                <w:sz w:val="23"/>
                <w:szCs w:val="21"/>
              </w:rPr>
            </w:pPr>
            <w:r>
              <w:rPr>
                <w:color w:val="000000"/>
                <w:kern w:val="0"/>
                <w:sz w:val="23"/>
                <w:szCs w:val="21"/>
                <w:lang w:bidi="ar"/>
              </w:rPr>
              <w:t>陶瓷地砖：40厘米以下、50—60厘米、80厘米以上</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平方米</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rFonts w:hint="eastAsia"/>
                <w:color w:val="000000"/>
                <w:kern w:val="0"/>
                <w:sz w:val="23"/>
                <w:szCs w:val="21"/>
                <w:lang w:bidi="ar"/>
              </w:rPr>
              <w:t>6</w:t>
            </w:r>
            <w:r>
              <w:rPr>
                <w:color w:val="000000"/>
                <w:kern w:val="0"/>
                <w:sz w:val="23"/>
                <w:szCs w:val="21"/>
                <w:lang w:bidi="ar"/>
              </w:rPr>
              <w:t>0、</w:t>
            </w:r>
            <w:r>
              <w:rPr>
                <w:rFonts w:hint="eastAsia"/>
                <w:color w:val="000000"/>
                <w:kern w:val="0"/>
                <w:sz w:val="23"/>
                <w:szCs w:val="21"/>
                <w:lang w:bidi="ar"/>
              </w:rPr>
              <w:t>8</w:t>
            </w:r>
            <w:r>
              <w:rPr>
                <w:color w:val="000000"/>
                <w:kern w:val="0"/>
                <w:sz w:val="23"/>
                <w:szCs w:val="21"/>
                <w:lang w:bidi="ar"/>
              </w:rPr>
              <w:t>0、</w:t>
            </w:r>
            <w:r>
              <w:rPr>
                <w:rFonts w:hint="eastAsia"/>
                <w:color w:val="000000"/>
                <w:kern w:val="0"/>
                <w:sz w:val="23"/>
                <w:szCs w:val="21"/>
                <w:lang w:bidi="ar"/>
              </w:rPr>
              <w:t>9</w:t>
            </w:r>
            <w:r>
              <w:rPr>
                <w:color w:val="000000"/>
                <w:kern w:val="0"/>
                <w:sz w:val="23"/>
                <w:szCs w:val="21"/>
                <w:lang w:bidi="ar"/>
              </w:rPr>
              <w:t>5</w:t>
            </w:r>
          </w:p>
        </w:tc>
        <w:tc>
          <w:tcPr>
            <w:tcW w:w="720" w:type="dxa"/>
            <w:tcBorders>
              <w:top w:val="single" w:color="auto" w:sz="4" w:space="0"/>
              <w:left w:val="single" w:color="000000" w:sz="4" w:space="0"/>
              <w:bottom w:val="single" w:color="000000" w:sz="4" w:space="0"/>
              <w:right w:val="single" w:color="auto" w:sz="12" w:space="0"/>
            </w:tcBorders>
            <w:vAlign w:val="center"/>
          </w:tcPr>
          <w:p>
            <w:pPr>
              <w:snapToGrid w:val="0"/>
              <w:rPr>
                <w:color w:val="000000"/>
                <w:sz w:val="23"/>
                <w:szCs w:val="21"/>
              </w:rPr>
            </w:pPr>
          </w:p>
        </w:tc>
      </w:tr>
      <w:tr>
        <w:tblPrEx>
          <w:tblLayout w:type="fixed"/>
          <w:tblCellMar>
            <w:top w:w="15" w:type="dxa"/>
            <w:left w:w="15" w:type="dxa"/>
            <w:bottom w:w="15" w:type="dxa"/>
            <w:right w:w="15" w:type="dxa"/>
          </w:tblCellMar>
        </w:tblPrEx>
        <w:trPr>
          <w:trHeight w:val="20" w:hRule="atLeast"/>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color w:val="000000"/>
                <w:sz w:val="23"/>
                <w:szCs w:val="21"/>
              </w:rPr>
            </w:pPr>
            <w:r>
              <w:rPr>
                <w:color w:val="000000"/>
                <w:kern w:val="0"/>
                <w:sz w:val="23"/>
                <w:szCs w:val="21"/>
                <w:lang w:bidi="ar"/>
              </w:rPr>
              <w:t>实木地板</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平方米</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rFonts w:hint="eastAsia"/>
                <w:color w:val="000000"/>
                <w:kern w:val="0"/>
                <w:sz w:val="23"/>
                <w:szCs w:val="21"/>
                <w:lang w:bidi="ar"/>
              </w:rPr>
              <w:t>120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rPr>
                <w:color w:val="000000"/>
                <w:sz w:val="23"/>
                <w:szCs w:val="21"/>
              </w:rPr>
            </w:pPr>
          </w:p>
        </w:tc>
      </w:tr>
      <w:tr>
        <w:tblPrEx>
          <w:tblLayout w:type="fixed"/>
          <w:tblCellMar>
            <w:top w:w="15" w:type="dxa"/>
            <w:left w:w="15" w:type="dxa"/>
            <w:bottom w:w="15" w:type="dxa"/>
            <w:right w:w="15" w:type="dxa"/>
          </w:tblCellMar>
        </w:tblPrEx>
        <w:trPr>
          <w:trHeight w:val="20" w:hRule="atLeast"/>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color w:val="000000"/>
                <w:sz w:val="23"/>
                <w:szCs w:val="21"/>
              </w:rPr>
            </w:pPr>
            <w:r>
              <w:rPr>
                <w:color w:val="000000"/>
                <w:kern w:val="0"/>
                <w:sz w:val="23"/>
                <w:szCs w:val="21"/>
                <w:lang w:bidi="ar"/>
              </w:rPr>
              <w:t>强化木地板</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平方米</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1</w:t>
            </w:r>
            <w:r>
              <w:rPr>
                <w:rFonts w:hint="eastAsia"/>
                <w:color w:val="000000"/>
                <w:kern w:val="0"/>
                <w:sz w:val="23"/>
                <w:szCs w:val="21"/>
                <w:lang w:bidi="ar"/>
              </w:rPr>
              <w:t>0</w:t>
            </w:r>
            <w:r>
              <w:rPr>
                <w:color w:val="000000"/>
                <w:kern w:val="0"/>
                <w:sz w:val="23"/>
                <w:szCs w:val="21"/>
                <w:lang w:bidi="ar"/>
              </w:rPr>
              <w:t>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rPr>
                <w:color w:val="000000"/>
                <w:sz w:val="23"/>
                <w:szCs w:val="21"/>
              </w:rPr>
            </w:pPr>
          </w:p>
        </w:tc>
      </w:tr>
      <w:tr>
        <w:tblPrEx>
          <w:tblLayout w:type="fixed"/>
          <w:tblCellMar>
            <w:top w:w="15" w:type="dxa"/>
            <w:left w:w="15" w:type="dxa"/>
            <w:bottom w:w="15" w:type="dxa"/>
            <w:right w:w="15" w:type="dxa"/>
          </w:tblCellMar>
        </w:tblPrEx>
        <w:trPr>
          <w:trHeight w:val="20" w:hRule="atLeast"/>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color w:val="000000"/>
                <w:sz w:val="23"/>
                <w:szCs w:val="21"/>
              </w:rPr>
            </w:pPr>
            <w:r>
              <w:rPr>
                <w:color w:val="000000"/>
                <w:kern w:val="0"/>
                <w:sz w:val="23"/>
                <w:szCs w:val="21"/>
                <w:lang w:bidi="ar"/>
              </w:rPr>
              <w:t>室内墙砖</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平方米</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rFonts w:hint="eastAsia"/>
                <w:color w:val="000000"/>
                <w:kern w:val="0"/>
                <w:sz w:val="23"/>
                <w:szCs w:val="21"/>
                <w:lang w:bidi="ar"/>
              </w:rPr>
              <w:t>5</w:t>
            </w:r>
            <w:r>
              <w:rPr>
                <w:color w:val="000000"/>
                <w:kern w:val="0"/>
                <w:sz w:val="23"/>
                <w:szCs w:val="21"/>
                <w:lang w:bidi="ar"/>
              </w:rPr>
              <w:t>5</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rPr>
                <w:color w:val="000000"/>
                <w:sz w:val="23"/>
                <w:szCs w:val="21"/>
              </w:rPr>
            </w:pPr>
          </w:p>
        </w:tc>
      </w:tr>
      <w:tr>
        <w:tblPrEx>
          <w:tblLayout w:type="fixed"/>
          <w:tblCellMar>
            <w:top w:w="15" w:type="dxa"/>
            <w:left w:w="15" w:type="dxa"/>
            <w:bottom w:w="15" w:type="dxa"/>
            <w:right w:w="15" w:type="dxa"/>
          </w:tblCellMar>
        </w:tblPrEx>
        <w:trPr>
          <w:trHeight w:val="20" w:hRule="atLeast"/>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color w:val="000000"/>
                <w:sz w:val="23"/>
                <w:szCs w:val="21"/>
              </w:rPr>
            </w:pPr>
            <w:r>
              <w:rPr>
                <w:color w:val="000000"/>
                <w:kern w:val="0"/>
                <w:sz w:val="23"/>
                <w:szCs w:val="21"/>
                <w:lang w:bidi="ar"/>
              </w:rPr>
              <w:t>墙纸、墙漆、墙布</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平方米</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rFonts w:hint="eastAsia"/>
                <w:color w:val="000000"/>
                <w:kern w:val="0"/>
                <w:sz w:val="23"/>
                <w:szCs w:val="21"/>
                <w:lang w:bidi="ar"/>
              </w:rPr>
              <w:t>3</w:t>
            </w:r>
            <w:r>
              <w:rPr>
                <w:color w:val="000000"/>
                <w:kern w:val="0"/>
                <w:sz w:val="23"/>
                <w:szCs w:val="21"/>
                <w:lang w:bidi="ar"/>
              </w:rPr>
              <w:t>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rPr>
                <w:color w:val="000000"/>
                <w:sz w:val="23"/>
                <w:szCs w:val="21"/>
              </w:rPr>
            </w:pPr>
          </w:p>
        </w:tc>
      </w:tr>
      <w:tr>
        <w:tblPrEx>
          <w:tblLayout w:type="fixed"/>
          <w:tblCellMar>
            <w:top w:w="15" w:type="dxa"/>
            <w:left w:w="15" w:type="dxa"/>
            <w:bottom w:w="15" w:type="dxa"/>
            <w:right w:w="15" w:type="dxa"/>
          </w:tblCellMar>
        </w:tblPrEx>
        <w:trPr>
          <w:trHeight w:val="20" w:hRule="atLeast"/>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color w:val="000000"/>
                <w:sz w:val="23"/>
                <w:szCs w:val="21"/>
              </w:rPr>
            </w:pPr>
            <w:r>
              <w:rPr>
                <w:color w:val="000000"/>
                <w:kern w:val="0"/>
                <w:sz w:val="23"/>
                <w:szCs w:val="21"/>
                <w:lang w:bidi="ar"/>
              </w:rPr>
              <w:t>电视墙：大理石、普通</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个</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rFonts w:hint="eastAsia"/>
                <w:color w:val="000000"/>
                <w:kern w:val="0"/>
                <w:sz w:val="23"/>
                <w:szCs w:val="21"/>
                <w:lang w:bidi="ar"/>
              </w:rPr>
              <w:t>25</w:t>
            </w:r>
            <w:r>
              <w:rPr>
                <w:color w:val="000000"/>
                <w:kern w:val="0"/>
                <w:sz w:val="23"/>
                <w:szCs w:val="21"/>
                <w:lang w:bidi="ar"/>
              </w:rPr>
              <w:t>00、1</w:t>
            </w:r>
            <w:r>
              <w:rPr>
                <w:rFonts w:hint="eastAsia"/>
                <w:color w:val="000000"/>
                <w:kern w:val="0"/>
                <w:sz w:val="23"/>
                <w:szCs w:val="21"/>
                <w:lang w:bidi="ar"/>
              </w:rPr>
              <w:t>5</w:t>
            </w:r>
            <w:r>
              <w:rPr>
                <w:color w:val="000000"/>
                <w:kern w:val="0"/>
                <w:sz w:val="23"/>
                <w:szCs w:val="21"/>
                <w:lang w:bidi="ar"/>
              </w:rPr>
              <w:t>00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rPr>
                <w:color w:val="000000"/>
                <w:sz w:val="23"/>
                <w:szCs w:val="21"/>
              </w:rPr>
            </w:pPr>
          </w:p>
        </w:tc>
      </w:tr>
      <w:tr>
        <w:tblPrEx>
          <w:tblLayout w:type="fixed"/>
          <w:tblCellMar>
            <w:top w:w="15" w:type="dxa"/>
            <w:left w:w="15" w:type="dxa"/>
            <w:bottom w:w="15" w:type="dxa"/>
            <w:right w:w="15" w:type="dxa"/>
          </w:tblCellMar>
        </w:tblPrEx>
        <w:trPr>
          <w:trHeight w:val="20" w:hRule="atLeast"/>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color w:val="000000"/>
                <w:sz w:val="23"/>
                <w:szCs w:val="21"/>
              </w:rPr>
            </w:pPr>
            <w:r>
              <w:rPr>
                <w:color w:val="000000"/>
                <w:kern w:val="0"/>
                <w:sz w:val="23"/>
                <w:szCs w:val="21"/>
                <w:lang w:bidi="ar"/>
              </w:rPr>
              <w:t>集成吊顶：铝材、塑材和其他</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平方米</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rFonts w:hint="eastAsia"/>
                <w:color w:val="000000"/>
                <w:kern w:val="0"/>
                <w:sz w:val="23"/>
                <w:szCs w:val="21"/>
                <w:lang w:bidi="ar"/>
              </w:rPr>
              <w:t>80</w:t>
            </w:r>
            <w:r>
              <w:rPr>
                <w:color w:val="000000"/>
                <w:kern w:val="0"/>
                <w:sz w:val="23"/>
                <w:szCs w:val="21"/>
                <w:lang w:bidi="ar"/>
              </w:rPr>
              <w:t>、</w:t>
            </w:r>
            <w:r>
              <w:rPr>
                <w:rFonts w:hint="eastAsia"/>
                <w:color w:val="000000"/>
                <w:kern w:val="0"/>
                <w:sz w:val="23"/>
                <w:szCs w:val="21"/>
                <w:lang w:bidi="ar"/>
              </w:rPr>
              <w:t>40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rPr>
                <w:color w:val="000000"/>
                <w:sz w:val="23"/>
                <w:szCs w:val="21"/>
              </w:rPr>
            </w:pPr>
          </w:p>
        </w:tc>
      </w:tr>
      <w:tr>
        <w:tblPrEx>
          <w:tblLayout w:type="fixed"/>
          <w:tblCellMar>
            <w:top w:w="15" w:type="dxa"/>
            <w:left w:w="15" w:type="dxa"/>
            <w:bottom w:w="15" w:type="dxa"/>
            <w:right w:w="15" w:type="dxa"/>
          </w:tblCellMar>
        </w:tblPrEx>
        <w:trPr>
          <w:trHeight w:val="20" w:hRule="atLeast"/>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color w:val="000000"/>
                <w:sz w:val="23"/>
                <w:szCs w:val="21"/>
              </w:rPr>
            </w:pPr>
            <w:r>
              <w:rPr>
                <w:color w:val="000000"/>
                <w:kern w:val="0"/>
                <w:sz w:val="23"/>
                <w:szCs w:val="21"/>
                <w:lang w:bidi="ar"/>
              </w:rPr>
              <w:t>套装门、</w:t>
            </w:r>
            <w:r>
              <w:rPr>
                <w:rFonts w:hint="eastAsia"/>
                <w:color w:val="000000"/>
                <w:kern w:val="0"/>
                <w:sz w:val="23"/>
                <w:szCs w:val="21"/>
                <w:lang w:bidi="ar"/>
              </w:rPr>
              <w:t>普通</w:t>
            </w:r>
            <w:r>
              <w:rPr>
                <w:color w:val="000000"/>
                <w:kern w:val="0"/>
                <w:sz w:val="23"/>
                <w:szCs w:val="21"/>
                <w:lang w:bidi="ar"/>
              </w:rPr>
              <w:t>门</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套</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550、240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rPr>
                <w:color w:val="000000"/>
                <w:sz w:val="23"/>
                <w:szCs w:val="21"/>
              </w:rPr>
            </w:pPr>
          </w:p>
        </w:tc>
      </w:tr>
      <w:tr>
        <w:tblPrEx>
          <w:tblLayout w:type="fixed"/>
          <w:tblCellMar>
            <w:top w:w="15" w:type="dxa"/>
            <w:left w:w="15" w:type="dxa"/>
            <w:bottom w:w="15" w:type="dxa"/>
            <w:right w:w="15" w:type="dxa"/>
          </w:tblCellMar>
        </w:tblPrEx>
        <w:trPr>
          <w:trHeight w:val="20" w:hRule="atLeast"/>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color w:val="000000"/>
                <w:sz w:val="23"/>
                <w:szCs w:val="21"/>
              </w:rPr>
            </w:pPr>
            <w:r>
              <w:rPr>
                <w:color w:val="000000"/>
                <w:kern w:val="0"/>
                <w:sz w:val="23"/>
                <w:szCs w:val="21"/>
                <w:lang w:bidi="ar"/>
              </w:rPr>
              <w:t>防盗门</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个</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rFonts w:hint="eastAsia"/>
                <w:color w:val="000000"/>
                <w:kern w:val="0"/>
                <w:sz w:val="23"/>
                <w:szCs w:val="21"/>
                <w:lang w:bidi="ar"/>
              </w:rPr>
              <w:t>6</w:t>
            </w:r>
            <w:r>
              <w:rPr>
                <w:color w:val="000000"/>
                <w:kern w:val="0"/>
                <w:sz w:val="23"/>
                <w:szCs w:val="21"/>
                <w:lang w:bidi="ar"/>
              </w:rPr>
              <w:t>50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rPr>
                <w:color w:val="000000"/>
                <w:sz w:val="23"/>
                <w:szCs w:val="21"/>
              </w:rPr>
            </w:pPr>
          </w:p>
        </w:tc>
      </w:tr>
      <w:tr>
        <w:tblPrEx>
          <w:tblLayout w:type="fixed"/>
          <w:tblCellMar>
            <w:top w:w="15" w:type="dxa"/>
            <w:left w:w="15" w:type="dxa"/>
            <w:bottom w:w="15" w:type="dxa"/>
            <w:right w:w="15" w:type="dxa"/>
          </w:tblCellMar>
        </w:tblPrEx>
        <w:trPr>
          <w:trHeight w:val="20" w:hRule="atLeast"/>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Fonts w:hint="eastAsia"/>
                <w:color w:val="000000"/>
                <w:sz w:val="23"/>
                <w:szCs w:val="21"/>
              </w:rPr>
            </w:pPr>
            <w:r>
              <w:rPr>
                <w:rFonts w:hint="eastAsia"/>
                <w:color w:val="000000"/>
                <w:sz w:val="23"/>
                <w:szCs w:val="21"/>
              </w:rPr>
              <w:t>包窗</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个</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rFonts w:hint="eastAsia"/>
                <w:color w:val="000000"/>
                <w:kern w:val="0"/>
                <w:sz w:val="23"/>
                <w:szCs w:val="21"/>
                <w:lang w:bidi="ar"/>
              </w:rPr>
              <w:t>1</w:t>
            </w:r>
            <w:r>
              <w:rPr>
                <w:color w:val="000000"/>
                <w:kern w:val="0"/>
                <w:sz w:val="23"/>
                <w:szCs w:val="21"/>
                <w:lang w:bidi="ar"/>
              </w:rPr>
              <w:t>50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rPr>
                <w:color w:val="000000"/>
                <w:sz w:val="23"/>
                <w:szCs w:val="21"/>
              </w:rPr>
            </w:pPr>
          </w:p>
        </w:tc>
      </w:tr>
      <w:tr>
        <w:tblPrEx>
          <w:tblLayout w:type="fixed"/>
          <w:tblCellMar>
            <w:top w:w="15" w:type="dxa"/>
            <w:left w:w="15" w:type="dxa"/>
            <w:bottom w:w="15" w:type="dxa"/>
            <w:right w:w="15" w:type="dxa"/>
          </w:tblCellMar>
        </w:tblPrEx>
        <w:trPr>
          <w:trHeight w:val="20" w:hRule="atLeast"/>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color w:val="000000"/>
                <w:sz w:val="23"/>
                <w:szCs w:val="21"/>
              </w:rPr>
            </w:pPr>
            <w:r>
              <w:rPr>
                <w:color w:val="000000"/>
                <w:kern w:val="0"/>
                <w:sz w:val="23"/>
                <w:szCs w:val="21"/>
                <w:lang w:bidi="ar"/>
              </w:rPr>
              <w:t>拉闸门、卷闸门、玻璃推拉门</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平方米</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rFonts w:hint="eastAsia"/>
                <w:color w:val="000000"/>
                <w:kern w:val="0"/>
                <w:sz w:val="23"/>
                <w:szCs w:val="21"/>
                <w:lang w:bidi="ar"/>
              </w:rPr>
              <w:t>12</w:t>
            </w:r>
            <w:r>
              <w:rPr>
                <w:color w:val="000000"/>
                <w:kern w:val="0"/>
                <w:sz w:val="23"/>
                <w:szCs w:val="21"/>
                <w:lang w:bidi="ar"/>
              </w:rPr>
              <w:t>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rPr>
                <w:color w:val="000000"/>
                <w:sz w:val="23"/>
                <w:szCs w:val="21"/>
              </w:rPr>
            </w:pPr>
          </w:p>
        </w:tc>
      </w:tr>
      <w:tr>
        <w:tblPrEx>
          <w:tblLayout w:type="fixed"/>
          <w:tblCellMar>
            <w:top w:w="15" w:type="dxa"/>
            <w:left w:w="15" w:type="dxa"/>
            <w:bottom w:w="15" w:type="dxa"/>
            <w:right w:w="15" w:type="dxa"/>
          </w:tblCellMar>
        </w:tblPrEx>
        <w:trPr>
          <w:trHeight w:val="20" w:hRule="atLeast"/>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color w:val="000000"/>
                <w:sz w:val="23"/>
                <w:szCs w:val="21"/>
              </w:rPr>
            </w:pPr>
            <w:r>
              <w:rPr>
                <w:color w:val="000000"/>
                <w:kern w:val="0"/>
                <w:sz w:val="23"/>
                <w:szCs w:val="21"/>
                <w:lang w:bidi="ar"/>
              </w:rPr>
              <w:t>固定壁柜</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米</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4</w:t>
            </w:r>
            <w:r>
              <w:rPr>
                <w:rFonts w:hint="eastAsia"/>
                <w:color w:val="000000"/>
                <w:kern w:val="0"/>
                <w:sz w:val="23"/>
                <w:szCs w:val="21"/>
                <w:lang w:bidi="ar"/>
              </w:rPr>
              <w:t>5</w:t>
            </w:r>
            <w:r>
              <w:rPr>
                <w:color w:val="000000"/>
                <w:kern w:val="0"/>
                <w:sz w:val="23"/>
                <w:szCs w:val="21"/>
                <w:lang w:bidi="ar"/>
              </w:rPr>
              <w:t>0</w:t>
            </w:r>
          </w:p>
        </w:tc>
        <w:tc>
          <w:tcPr>
            <w:tcW w:w="720" w:type="dxa"/>
            <w:tcBorders>
              <w:top w:val="single" w:color="000000" w:sz="4" w:space="0"/>
              <w:left w:val="single" w:color="000000" w:sz="4" w:space="0"/>
              <w:bottom w:val="single" w:color="000000" w:sz="4" w:space="0"/>
              <w:right w:val="single" w:color="auto" w:sz="12" w:space="0"/>
            </w:tcBorders>
            <w:vAlign w:val="top"/>
          </w:tcPr>
          <w:p>
            <w:pPr>
              <w:snapToGrid w:val="0"/>
              <w:rPr>
                <w:color w:val="000000"/>
                <w:sz w:val="23"/>
                <w:szCs w:val="21"/>
              </w:rPr>
            </w:pPr>
          </w:p>
        </w:tc>
      </w:tr>
      <w:tr>
        <w:tblPrEx>
          <w:tblLayout w:type="fixed"/>
          <w:tblCellMar>
            <w:top w:w="15" w:type="dxa"/>
            <w:left w:w="15" w:type="dxa"/>
            <w:bottom w:w="15" w:type="dxa"/>
            <w:right w:w="15" w:type="dxa"/>
          </w:tblCellMar>
        </w:tblPrEx>
        <w:trPr>
          <w:trHeight w:val="20" w:hRule="atLeast"/>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color w:val="000000"/>
                <w:sz w:val="23"/>
                <w:szCs w:val="21"/>
              </w:rPr>
            </w:pPr>
            <w:r>
              <w:rPr>
                <w:color w:val="000000"/>
                <w:kern w:val="0"/>
                <w:sz w:val="23"/>
                <w:szCs w:val="21"/>
                <w:lang w:bidi="ar"/>
              </w:rPr>
              <w:t>楼梯扶手</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米</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rFonts w:hint="eastAsia"/>
                <w:color w:val="000000"/>
                <w:kern w:val="0"/>
                <w:sz w:val="23"/>
                <w:szCs w:val="21"/>
                <w:lang w:bidi="ar"/>
              </w:rPr>
              <w:t>9</w:t>
            </w:r>
            <w:r>
              <w:rPr>
                <w:color w:val="000000"/>
                <w:kern w:val="0"/>
                <w:sz w:val="23"/>
                <w:szCs w:val="21"/>
                <w:lang w:bidi="ar"/>
              </w:rPr>
              <w:t>0</w:t>
            </w:r>
          </w:p>
        </w:tc>
        <w:tc>
          <w:tcPr>
            <w:tcW w:w="720" w:type="dxa"/>
            <w:tcBorders>
              <w:top w:val="single" w:color="000000" w:sz="4" w:space="0"/>
              <w:left w:val="single" w:color="000000" w:sz="4" w:space="0"/>
              <w:bottom w:val="single" w:color="000000" w:sz="4" w:space="0"/>
              <w:right w:val="single" w:color="auto" w:sz="12" w:space="0"/>
            </w:tcBorders>
            <w:vAlign w:val="top"/>
          </w:tcPr>
          <w:p>
            <w:pPr>
              <w:snapToGrid w:val="0"/>
              <w:rPr>
                <w:color w:val="000000"/>
                <w:sz w:val="23"/>
                <w:szCs w:val="21"/>
              </w:rPr>
            </w:pPr>
          </w:p>
        </w:tc>
      </w:tr>
      <w:tr>
        <w:tblPrEx>
          <w:tblLayout w:type="fixed"/>
          <w:tblCellMar>
            <w:top w:w="15" w:type="dxa"/>
            <w:left w:w="15" w:type="dxa"/>
            <w:bottom w:w="15" w:type="dxa"/>
            <w:right w:w="15" w:type="dxa"/>
          </w:tblCellMar>
        </w:tblPrEx>
        <w:trPr>
          <w:trHeight w:val="20" w:hRule="atLeast"/>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color w:val="000000"/>
                <w:sz w:val="23"/>
                <w:szCs w:val="21"/>
              </w:rPr>
            </w:pPr>
            <w:r>
              <w:rPr>
                <w:color w:val="000000"/>
                <w:kern w:val="0"/>
                <w:sz w:val="23"/>
                <w:szCs w:val="21"/>
                <w:lang w:bidi="ar"/>
              </w:rPr>
              <w:t>固定洗脸盆、独立固定洗衣槽</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个</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rFonts w:hint="eastAsia"/>
                <w:color w:val="000000"/>
                <w:kern w:val="0"/>
                <w:sz w:val="23"/>
                <w:szCs w:val="21"/>
                <w:lang w:bidi="ar"/>
              </w:rPr>
              <w:t>2</w:t>
            </w:r>
            <w:r>
              <w:rPr>
                <w:color w:val="000000"/>
                <w:kern w:val="0"/>
                <w:sz w:val="23"/>
                <w:szCs w:val="21"/>
                <w:lang w:bidi="ar"/>
              </w:rPr>
              <w:t>00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textAlignment w:val="center"/>
              <w:rPr>
                <w:color w:val="000000"/>
                <w:sz w:val="23"/>
                <w:szCs w:val="21"/>
              </w:rPr>
            </w:pPr>
          </w:p>
        </w:tc>
      </w:tr>
      <w:tr>
        <w:tblPrEx>
          <w:tblLayout w:type="fixed"/>
          <w:tblCellMar>
            <w:top w:w="15" w:type="dxa"/>
            <w:left w:w="15" w:type="dxa"/>
            <w:bottom w:w="15" w:type="dxa"/>
            <w:right w:w="15" w:type="dxa"/>
          </w:tblCellMar>
        </w:tblPrEx>
        <w:trPr>
          <w:trHeight w:val="20" w:hRule="atLeast"/>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color w:val="000000"/>
                <w:sz w:val="23"/>
                <w:szCs w:val="21"/>
              </w:rPr>
            </w:pPr>
            <w:r>
              <w:rPr>
                <w:color w:val="000000"/>
                <w:kern w:val="0"/>
                <w:sz w:val="23"/>
                <w:szCs w:val="21"/>
                <w:lang w:bidi="ar"/>
              </w:rPr>
              <w:t>固定案板碗柜（现浇结构）</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立方米</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400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jc w:val="center"/>
              <w:rPr>
                <w:color w:val="000000"/>
                <w:sz w:val="23"/>
                <w:szCs w:val="21"/>
              </w:rPr>
            </w:pPr>
          </w:p>
        </w:tc>
      </w:tr>
      <w:tr>
        <w:tblPrEx>
          <w:tblLayout w:type="fixed"/>
          <w:tblCellMar>
            <w:top w:w="15" w:type="dxa"/>
            <w:left w:w="15" w:type="dxa"/>
            <w:bottom w:w="15" w:type="dxa"/>
            <w:right w:w="15" w:type="dxa"/>
          </w:tblCellMar>
        </w:tblPrEx>
        <w:trPr>
          <w:trHeight w:val="20" w:hRule="atLeast"/>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color w:val="000000"/>
                <w:sz w:val="23"/>
                <w:szCs w:val="21"/>
              </w:rPr>
            </w:pPr>
            <w:r>
              <w:rPr>
                <w:color w:val="000000"/>
                <w:kern w:val="0"/>
                <w:sz w:val="23"/>
                <w:szCs w:val="21"/>
                <w:lang w:bidi="ar"/>
              </w:rPr>
              <w:t>整体橱柜</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米</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650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jc w:val="center"/>
              <w:rPr>
                <w:color w:val="000000"/>
                <w:sz w:val="23"/>
                <w:szCs w:val="21"/>
              </w:rPr>
            </w:pPr>
          </w:p>
        </w:tc>
      </w:tr>
      <w:tr>
        <w:tblPrEx>
          <w:tblLayout w:type="fixed"/>
          <w:tblCellMar>
            <w:top w:w="15" w:type="dxa"/>
            <w:left w:w="15" w:type="dxa"/>
            <w:bottom w:w="15" w:type="dxa"/>
            <w:right w:w="15" w:type="dxa"/>
          </w:tblCellMar>
        </w:tblPrEx>
        <w:trPr>
          <w:trHeight w:val="20" w:hRule="atLeast"/>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color w:val="000000"/>
                <w:sz w:val="23"/>
                <w:szCs w:val="21"/>
              </w:rPr>
            </w:pPr>
            <w:r>
              <w:rPr>
                <w:color w:val="000000"/>
                <w:kern w:val="0"/>
                <w:sz w:val="23"/>
                <w:szCs w:val="21"/>
                <w:lang w:bidi="ar"/>
              </w:rPr>
              <w:t>防盗窗</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平方米</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rFonts w:hint="eastAsia"/>
                <w:color w:val="000000"/>
                <w:kern w:val="0"/>
                <w:sz w:val="23"/>
                <w:szCs w:val="21"/>
                <w:lang w:bidi="ar"/>
              </w:rPr>
              <w:t>8</w:t>
            </w:r>
            <w:r>
              <w:rPr>
                <w:color w:val="000000"/>
                <w:kern w:val="0"/>
                <w:sz w:val="23"/>
                <w:szCs w:val="21"/>
                <w:lang w:bidi="ar"/>
              </w:rPr>
              <w:t>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jc w:val="center"/>
              <w:rPr>
                <w:color w:val="000000"/>
                <w:sz w:val="23"/>
                <w:szCs w:val="21"/>
              </w:rPr>
            </w:pPr>
          </w:p>
        </w:tc>
      </w:tr>
      <w:tr>
        <w:tblPrEx>
          <w:tblLayout w:type="fixed"/>
          <w:tblCellMar>
            <w:top w:w="15" w:type="dxa"/>
            <w:left w:w="15" w:type="dxa"/>
            <w:bottom w:w="15" w:type="dxa"/>
            <w:right w:w="15" w:type="dxa"/>
          </w:tblCellMar>
        </w:tblPrEx>
        <w:trPr>
          <w:trHeight w:val="20" w:hRule="atLeast"/>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color w:val="000000"/>
                <w:sz w:val="23"/>
                <w:szCs w:val="21"/>
              </w:rPr>
            </w:pPr>
            <w:r>
              <w:rPr>
                <w:color w:val="000000"/>
                <w:kern w:val="0"/>
                <w:sz w:val="23"/>
                <w:szCs w:val="21"/>
                <w:lang w:bidi="ar"/>
              </w:rPr>
              <w:t>浴缸</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个</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rFonts w:hint="eastAsia"/>
                <w:color w:val="000000"/>
                <w:kern w:val="0"/>
                <w:sz w:val="23"/>
                <w:szCs w:val="21"/>
                <w:lang w:bidi="ar"/>
              </w:rPr>
              <w:t>6</w:t>
            </w:r>
            <w:r>
              <w:rPr>
                <w:color w:val="000000"/>
                <w:kern w:val="0"/>
                <w:sz w:val="23"/>
                <w:szCs w:val="21"/>
                <w:lang w:bidi="ar"/>
              </w:rPr>
              <w:t>00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jc w:val="center"/>
              <w:rPr>
                <w:color w:val="000000"/>
                <w:sz w:val="23"/>
                <w:szCs w:val="21"/>
              </w:rPr>
            </w:pPr>
          </w:p>
        </w:tc>
      </w:tr>
      <w:tr>
        <w:tblPrEx>
          <w:tblLayout w:type="fixed"/>
          <w:tblCellMar>
            <w:top w:w="15" w:type="dxa"/>
            <w:left w:w="15" w:type="dxa"/>
            <w:bottom w:w="15" w:type="dxa"/>
            <w:right w:w="15" w:type="dxa"/>
          </w:tblCellMar>
        </w:tblPrEx>
        <w:trPr>
          <w:trHeight w:val="20" w:hRule="atLeast"/>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color w:val="000000"/>
                <w:sz w:val="23"/>
                <w:szCs w:val="21"/>
              </w:rPr>
            </w:pPr>
            <w:r>
              <w:rPr>
                <w:color w:val="000000"/>
                <w:kern w:val="0"/>
                <w:sz w:val="23"/>
                <w:szCs w:val="21"/>
                <w:lang w:bidi="ar"/>
              </w:rPr>
              <w:t>坐便器（马桶）</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个</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rFonts w:hint="eastAsia"/>
                <w:color w:val="000000"/>
                <w:kern w:val="0"/>
                <w:sz w:val="23"/>
                <w:szCs w:val="21"/>
                <w:lang w:bidi="ar"/>
              </w:rPr>
              <w:t>3</w:t>
            </w:r>
            <w:r>
              <w:rPr>
                <w:color w:val="000000"/>
                <w:kern w:val="0"/>
                <w:sz w:val="23"/>
                <w:szCs w:val="21"/>
                <w:lang w:bidi="ar"/>
              </w:rPr>
              <w:t>00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jc w:val="center"/>
              <w:rPr>
                <w:color w:val="000000"/>
                <w:sz w:val="23"/>
                <w:szCs w:val="21"/>
              </w:rPr>
            </w:pPr>
          </w:p>
        </w:tc>
      </w:tr>
      <w:tr>
        <w:tblPrEx>
          <w:tblLayout w:type="fixed"/>
          <w:tblCellMar>
            <w:top w:w="15" w:type="dxa"/>
            <w:left w:w="15" w:type="dxa"/>
            <w:bottom w:w="15" w:type="dxa"/>
            <w:right w:w="15" w:type="dxa"/>
          </w:tblCellMar>
        </w:tblPrEx>
        <w:trPr>
          <w:trHeight w:val="20" w:hRule="atLeast"/>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color w:val="000000"/>
                <w:sz w:val="23"/>
                <w:szCs w:val="21"/>
              </w:rPr>
            </w:pPr>
            <w:r>
              <w:rPr>
                <w:color w:val="000000"/>
                <w:kern w:val="0"/>
                <w:sz w:val="23"/>
                <w:szCs w:val="21"/>
                <w:lang w:bidi="ar"/>
              </w:rPr>
              <w:t>便槽</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个</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100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jc w:val="center"/>
              <w:rPr>
                <w:color w:val="000000"/>
                <w:sz w:val="23"/>
                <w:szCs w:val="21"/>
              </w:rPr>
            </w:pPr>
          </w:p>
        </w:tc>
      </w:tr>
      <w:tr>
        <w:tblPrEx>
          <w:tblLayout w:type="fixed"/>
          <w:tblCellMar>
            <w:top w:w="15" w:type="dxa"/>
            <w:left w:w="15" w:type="dxa"/>
            <w:bottom w:w="15" w:type="dxa"/>
            <w:right w:w="15" w:type="dxa"/>
          </w:tblCellMar>
        </w:tblPrEx>
        <w:trPr>
          <w:trHeight w:val="20" w:hRule="atLeast"/>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color w:val="000000"/>
                <w:kern w:val="0"/>
                <w:sz w:val="23"/>
                <w:szCs w:val="21"/>
                <w:lang w:bidi="ar"/>
              </w:rPr>
            </w:pPr>
            <w:r>
              <w:rPr>
                <w:color w:val="000000"/>
                <w:kern w:val="0"/>
                <w:sz w:val="23"/>
                <w:szCs w:val="21"/>
                <w:lang w:bidi="ar"/>
              </w:rPr>
              <w:t>固定灶：三眼及以上、两眼及以下</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kern w:val="0"/>
                <w:sz w:val="23"/>
                <w:szCs w:val="21"/>
                <w:lang w:bidi="ar"/>
              </w:rPr>
            </w:pPr>
            <w:r>
              <w:rPr>
                <w:color w:val="000000"/>
                <w:kern w:val="0"/>
                <w:sz w:val="23"/>
                <w:szCs w:val="21"/>
                <w:lang w:bidi="ar"/>
              </w:rPr>
              <w:t>个</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kern w:val="0"/>
                <w:sz w:val="23"/>
                <w:szCs w:val="21"/>
                <w:lang w:bidi="ar"/>
              </w:rPr>
            </w:pPr>
            <w:r>
              <w:rPr>
                <w:color w:val="000000"/>
                <w:kern w:val="0"/>
                <w:sz w:val="23"/>
                <w:szCs w:val="21"/>
                <w:lang w:bidi="ar"/>
              </w:rPr>
              <w:t>450、350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jc w:val="center"/>
              <w:rPr>
                <w:color w:val="000000"/>
                <w:sz w:val="23"/>
                <w:szCs w:val="21"/>
              </w:rPr>
            </w:pPr>
          </w:p>
        </w:tc>
      </w:tr>
      <w:tr>
        <w:tblPrEx>
          <w:tblLayout w:type="fixed"/>
          <w:tblCellMar>
            <w:top w:w="15" w:type="dxa"/>
            <w:left w:w="15" w:type="dxa"/>
            <w:bottom w:w="15" w:type="dxa"/>
            <w:right w:w="15" w:type="dxa"/>
          </w:tblCellMar>
        </w:tblPrEx>
        <w:trPr>
          <w:trHeight w:val="20" w:hRule="atLeast"/>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color w:val="000000"/>
                <w:sz w:val="23"/>
                <w:szCs w:val="21"/>
              </w:rPr>
            </w:pPr>
            <w:r>
              <w:rPr>
                <w:color w:val="000000"/>
                <w:kern w:val="0"/>
                <w:sz w:val="23"/>
                <w:szCs w:val="21"/>
                <w:lang w:bidi="ar"/>
              </w:rPr>
              <w:t>闭路电视、电话、宽带</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户</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100</w:t>
            </w:r>
          </w:p>
        </w:tc>
        <w:tc>
          <w:tcPr>
            <w:tcW w:w="720" w:type="dxa"/>
            <w:tcBorders>
              <w:top w:val="single" w:color="000000" w:sz="4" w:space="0"/>
              <w:left w:val="single" w:color="000000" w:sz="4" w:space="0"/>
              <w:bottom w:val="single" w:color="000000" w:sz="4" w:space="0"/>
              <w:right w:val="single" w:color="auto" w:sz="12" w:space="0"/>
            </w:tcBorders>
            <w:vAlign w:val="top"/>
          </w:tcPr>
          <w:p>
            <w:pPr>
              <w:snapToGrid w:val="0"/>
              <w:textAlignment w:val="top"/>
              <w:rPr>
                <w:color w:val="000000"/>
                <w:sz w:val="23"/>
                <w:szCs w:val="21"/>
              </w:rPr>
            </w:pPr>
          </w:p>
        </w:tc>
      </w:tr>
      <w:tr>
        <w:tblPrEx>
          <w:tblLayout w:type="fixed"/>
          <w:tblCellMar>
            <w:top w:w="15" w:type="dxa"/>
            <w:left w:w="15" w:type="dxa"/>
            <w:bottom w:w="15" w:type="dxa"/>
            <w:right w:w="15" w:type="dxa"/>
          </w:tblCellMar>
        </w:tblPrEx>
        <w:trPr>
          <w:trHeight w:val="20" w:hRule="atLeast"/>
        </w:trPr>
        <w:tc>
          <w:tcPr>
            <w:tcW w:w="866" w:type="dxa"/>
            <w:vMerge w:val="restart"/>
            <w:tcBorders>
              <w:top w:val="single" w:color="000000" w:sz="4" w:space="0"/>
              <w:left w:val="single" w:color="auto" w:sz="12"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搬迁移装类</w:t>
            </w: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color w:val="000000"/>
                <w:kern w:val="0"/>
                <w:sz w:val="23"/>
                <w:szCs w:val="21"/>
                <w:lang w:bidi="ar"/>
              </w:rPr>
            </w:pPr>
            <w:r>
              <w:rPr>
                <w:color w:val="000000"/>
                <w:kern w:val="0"/>
                <w:sz w:val="23"/>
                <w:szCs w:val="21"/>
                <w:lang w:bidi="ar"/>
              </w:rPr>
              <w:t>热水器、油烟机</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kern w:val="0"/>
                <w:sz w:val="23"/>
                <w:szCs w:val="21"/>
                <w:lang w:bidi="ar"/>
              </w:rPr>
            </w:pPr>
            <w:r>
              <w:rPr>
                <w:rFonts w:hint="eastAsia"/>
                <w:color w:val="000000"/>
                <w:kern w:val="0"/>
                <w:sz w:val="23"/>
                <w:szCs w:val="21"/>
                <w:lang w:bidi="ar"/>
              </w:rPr>
              <w:t>台</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kern w:val="0"/>
                <w:sz w:val="23"/>
                <w:szCs w:val="21"/>
                <w:lang w:bidi="ar"/>
              </w:rPr>
            </w:pPr>
            <w:r>
              <w:rPr>
                <w:rFonts w:hint="eastAsia"/>
                <w:color w:val="000000"/>
                <w:kern w:val="0"/>
                <w:sz w:val="23"/>
                <w:szCs w:val="21"/>
                <w:lang w:bidi="ar"/>
              </w:rPr>
              <w:t>100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textAlignment w:val="top"/>
              <w:rPr>
                <w:color w:val="000000"/>
                <w:sz w:val="23"/>
                <w:szCs w:val="21"/>
              </w:rPr>
            </w:pPr>
          </w:p>
        </w:tc>
      </w:tr>
      <w:tr>
        <w:tblPrEx>
          <w:tblLayout w:type="fixed"/>
          <w:tblCellMar>
            <w:top w:w="15" w:type="dxa"/>
            <w:left w:w="15" w:type="dxa"/>
            <w:bottom w:w="15" w:type="dxa"/>
            <w:right w:w="15" w:type="dxa"/>
          </w:tblCellMar>
        </w:tblPrEx>
        <w:trPr>
          <w:trHeight w:val="20" w:hRule="atLeast"/>
        </w:trPr>
        <w:tc>
          <w:tcPr>
            <w:tcW w:w="866" w:type="dxa"/>
            <w:vMerge w:val="continue"/>
            <w:tcBorders>
              <w:left w:val="single" w:color="auto" w:sz="12" w:space="0"/>
              <w:right w:val="single" w:color="000000" w:sz="4" w:space="0"/>
            </w:tcBorders>
            <w:vAlign w:val="center"/>
          </w:tcPr>
          <w:p>
            <w:pPr>
              <w:snapToGrid w:val="0"/>
              <w:jc w:val="center"/>
              <w:textAlignment w:val="center"/>
              <w:rPr>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color w:val="000000"/>
                <w:sz w:val="23"/>
                <w:szCs w:val="21"/>
              </w:rPr>
            </w:pPr>
            <w:r>
              <w:rPr>
                <w:color w:val="000000"/>
                <w:kern w:val="0"/>
                <w:sz w:val="23"/>
                <w:szCs w:val="21"/>
                <w:lang w:bidi="ar"/>
              </w:rPr>
              <w:t>太阳能、空调</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台</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400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textAlignment w:val="top"/>
              <w:rPr>
                <w:color w:val="000000"/>
                <w:sz w:val="23"/>
                <w:szCs w:val="21"/>
              </w:rPr>
            </w:pPr>
          </w:p>
        </w:tc>
      </w:tr>
      <w:tr>
        <w:tblPrEx>
          <w:tblLayout w:type="fixed"/>
          <w:tblCellMar>
            <w:top w:w="15" w:type="dxa"/>
            <w:left w:w="15" w:type="dxa"/>
            <w:bottom w:w="15" w:type="dxa"/>
            <w:right w:w="15" w:type="dxa"/>
          </w:tblCellMar>
        </w:tblPrEx>
        <w:trPr>
          <w:trHeight w:val="20" w:hRule="atLeast"/>
        </w:trPr>
        <w:tc>
          <w:tcPr>
            <w:tcW w:w="866" w:type="dxa"/>
            <w:vMerge w:val="continue"/>
            <w:tcBorders>
              <w:left w:val="single" w:color="auto" w:sz="12" w:space="0"/>
              <w:bottom w:val="single" w:color="auto" w:sz="12" w:space="0"/>
              <w:right w:val="single" w:color="000000" w:sz="4" w:space="0"/>
            </w:tcBorders>
            <w:vAlign w:val="center"/>
          </w:tcPr>
          <w:p>
            <w:pPr>
              <w:snapToGrid w:val="0"/>
              <w:jc w:val="center"/>
              <w:rPr>
                <w:color w:val="000000"/>
                <w:sz w:val="23"/>
                <w:szCs w:val="21"/>
              </w:rPr>
            </w:pPr>
          </w:p>
        </w:tc>
        <w:tc>
          <w:tcPr>
            <w:tcW w:w="3801" w:type="dxa"/>
            <w:tcBorders>
              <w:top w:val="single" w:color="000000" w:sz="4" w:space="0"/>
              <w:left w:val="single" w:color="000000" w:sz="4" w:space="0"/>
              <w:bottom w:val="single" w:color="auto" w:sz="12" w:space="0"/>
              <w:right w:val="single" w:color="000000" w:sz="4" w:space="0"/>
            </w:tcBorders>
            <w:vAlign w:val="center"/>
          </w:tcPr>
          <w:p>
            <w:pPr>
              <w:snapToGrid w:val="0"/>
              <w:jc w:val="left"/>
              <w:textAlignment w:val="center"/>
              <w:rPr>
                <w:color w:val="000000"/>
                <w:sz w:val="23"/>
                <w:szCs w:val="21"/>
              </w:rPr>
            </w:pPr>
            <w:r>
              <w:rPr>
                <w:color w:val="000000"/>
                <w:kern w:val="0"/>
                <w:sz w:val="23"/>
                <w:szCs w:val="21"/>
                <w:lang w:bidi="ar"/>
              </w:rPr>
              <w:t>天然气移装费</w:t>
            </w:r>
          </w:p>
        </w:tc>
        <w:tc>
          <w:tcPr>
            <w:tcW w:w="1018" w:type="dxa"/>
            <w:tcBorders>
              <w:top w:val="single" w:color="000000" w:sz="4" w:space="0"/>
              <w:left w:val="single" w:color="000000" w:sz="4" w:space="0"/>
              <w:bottom w:val="single" w:color="auto" w:sz="12" w:space="0"/>
              <w:right w:val="single" w:color="000000" w:sz="4" w:space="0"/>
            </w:tcBorders>
            <w:vAlign w:val="center"/>
          </w:tcPr>
          <w:p>
            <w:pPr>
              <w:snapToGrid w:val="0"/>
              <w:jc w:val="center"/>
              <w:textAlignment w:val="center"/>
              <w:rPr>
                <w:color w:val="000000"/>
                <w:sz w:val="23"/>
                <w:szCs w:val="21"/>
              </w:rPr>
            </w:pPr>
            <w:r>
              <w:rPr>
                <w:color w:val="000000"/>
                <w:kern w:val="0"/>
                <w:sz w:val="23"/>
                <w:szCs w:val="21"/>
                <w:lang w:bidi="ar"/>
              </w:rPr>
              <w:t>户</w:t>
            </w:r>
          </w:p>
        </w:tc>
        <w:tc>
          <w:tcPr>
            <w:tcW w:w="2410" w:type="dxa"/>
            <w:tcBorders>
              <w:top w:val="single" w:color="000000" w:sz="4" w:space="0"/>
              <w:left w:val="single" w:color="000000" w:sz="4" w:space="0"/>
              <w:bottom w:val="single" w:color="auto" w:sz="12" w:space="0"/>
              <w:right w:val="single" w:color="000000" w:sz="4" w:space="0"/>
            </w:tcBorders>
            <w:vAlign w:val="top"/>
          </w:tcPr>
          <w:p>
            <w:pPr>
              <w:snapToGrid w:val="0"/>
              <w:jc w:val="center"/>
              <w:textAlignment w:val="top"/>
              <w:rPr>
                <w:color w:val="000000"/>
                <w:sz w:val="23"/>
                <w:szCs w:val="21"/>
              </w:rPr>
            </w:pPr>
            <w:r>
              <w:rPr>
                <w:color w:val="000000"/>
                <w:kern w:val="0"/>
                <w:sz w:val="23"/>
                <w:szCs w:val="21"/>
                <w:lang w:bidi="ar"/>
              </w:rPr>
              <w:t>主管单位适时收费标准</w:t>
            </w:r>
          </w:p>
        </w:tc>
        <w:tc>
          <w:tcPr>
            <w:tcW w:w="720" w:type="dxa"/>
            <w:tcBorders>
              <w:top w:val="single" w:color="000000" w:sz="4" w:space="0"/>
              <w:left w:val="single" w:color="000000" w:sz="4" w:space="0"/>
              <w:bottom w:val="single" w:color="auto" w:sz="12" w:space="0"/>
              <w:right w:val="single" w:color="auto" w:sz="12" w:space="0"/>
            </w:tcBorders>
            <w:vAlign w:val="top"/>
          </w:tcPr>
          <w:p>
            <w:pPr>
              <w:snapToGrid w:val="0"/>
              <w:rPr>
                <w:color w:val="000000"/>
                <w:sz w:val="23"/>
                <w:szCs w:val="21"/>
              </w:rPr>
            </w:pPr>
          </w:p>
        </w:tc>
      </w:tr>
    </w:tbl>
    <w:p>
      <w:pPr>
        <w:rPr>
          <w:rFonts w:eastAsia="宋体"/>
          <w:bCs/>
          <w:color w:val="000000"/>
          <w:szCs w:val="32"/>
        </w:rPr>
      </w:pPr>
    </w:p>
    <w:p>
      <w:pPr>
        <w:rPr>
          <w:rFonts w:eastAsia="方正黑体_GBK"/>
          <w:color w:val="000000"/>
          <w:szCs w:val="32"/>
        </w:rPr>
      </w:pPr>
      <w:r>
        <w:rPr>
          <w:rFonts w:eastAsia="宋体"/>
          <w:bCs/>
          <w:color w:val="000000"/>
          <w:szCs w:val="32"/>
        </w:rPr>
        <w:br w:type="page"/>
      </w:r>
      <w:r>
        <w:rPr>
          <w:rFonts w:eastAsia="方正黑体_GBK"/>
          <w:color w:val="000000"/>
          <w:szCs w:val="32"/>
        </w:rPr>
        <w:t>附件4</w:t>
      </w:r>
    </w:p>
    <w:p>
      <w:pPr>
        <w:spacing w:line="600" w:lineRule="exact"/>
        <w:jc w:val="center"/>
        <w:rPr>
          <w:rFonts w:eastAsia="方正小标宋_GBK"/>
          <w:color w:val="000000"/>
          <w:kern w:val="0"/>
          <w:sz w:val="36"/>
          <w:szCs w:val="36"/>
          <w:lang w:bidi="ar"/>
        </w:rPr>
      </w:pPr>
      <w:r>
        <w:rPr>
          <w:rFonts w:eastAsia="方正小标宋_GBK"/>
          <w:color w:val="000000"/>
          <w:kern w:val="0"/>
          <w:sz w:val="36"/>
          <w:szCs w:val="36"/>
          <w:lang w:bidi="ar"/>
        </w:rPr>
        <w:t>秀山县征地建（构）筑物等补偿标准</w:t>
      </w:r>
    </w:p>
    <w:tbl>
      <w:tblPr>
        <w:tblStyle w:val="7"/>
        <w:tblW w:w="8874" w:type="dxa"/>
        <w:tblInd w:w="0" w:type="dxa"/>
        <w:tblLayout w:type="fixed"/>
        <w:tblCellMar>
          <w:top w:w="15" w:type="dxa"/>
          <w:left w:w="15" w:type="dxa"/>
          <w:bottom w:w="15" w:type="dxa"/>
          <w:right w:w="15" w:type="dxa"/>
        </w:tblCellMar>
      </w:tblPr>
      <w:tblGrid>
        <w:gridCol w:w="741"/>
        <w:gridCol w:w="4377"/>
        <w:gridCol w:w="1112"/>
        <w:gridCol w:w="1408"/>
        <w:gridCol w:w="1236"/>
      </w:tblGrid>
      <w:tr>
        <w:tblPrEx>
          <w:tblLayout w:type="fixed"/>
          <w:tblCellMar>
            <w:top w:w="15" w:type="dxa"/>
            <w:left w:w="15" w:type="dxa"/>
            <w:bottom w:w="15" w:type="dxa"/>
            <w:right w:w="15" w:type="dxa"/>
          </w:tblCellMar>
        </w:tblPrEx>
        <w:trPr>
          <w:trHeight w:val="20" w:hRule="atLeast"/>
        </w:trPr>
        <w:tc>
          <w:tcPr>
            <w:tcW w:w="741" w:type="dxa"/>
            <w:tcBorders>
              <w:top w:val="single" w:color="auto" w:sz="12" w:space="0"/>
              <w:left w:val="single" w:color="auto" w:sz="12" w:space="0"/>
              <w:bottom w:val="single" w:color="auto" w:sz="4" w:space="0"/>
              <w:right w:val="single" w:color="auto" w:sz="4" w:space="0"/>
            </w:tcBorders>
            <w:shd w:val="clear" w:color="auto" w:fill="auto"/>
            <w:vAlign w:val="center"/>
          </w:tcPr>
          <w:p>
            <w:pPr>
              <w:snapToGrid w:val="0"/>
              <w:jc w:val="center"/>
              <w:textAlignment w:val="center"/>
              <w:rPr>
                <w:rFonts w:ascii="黑体" w:hAnsi="黑体" w:eastAsia="黑体"/>
                <w:color w:val="000000"/>
                <w:sz w:val="21"/>
                <w:szCs w:val="21"/>
              </w:rPr>
            </w:pPr>
            <w:r>
              <w:rPr>
                <w:rFonts w:ascii="黑体" w:hAnsi="黑体" w:eastAsia="黑体"/>
                <w:color w:val="000000"/>
                <w:kern w:val="0"/>
                <w:sz w:val="21"/>
                <w:szCs w:val="21"/>
                <w:lang w:bidi="ar"/>
              </w:rPr>
              <w:t>类别</w:t>
            </w:r>
          </w:p>
        </w:tc>
        <w:tc>
          <w:tcPr>
            <w:tcW w:w="4377" w:type="dxa"/>
            <w:tcBorders>
              <w:top w:val="single" w:color="auto" w:sz="12" w:space="0"/>
              <w:left w:val="single" w:color="auto" w:sz="4" w:space="0"/>
              <w:bottom w:val="single" w:color="auto" w:sz="4" w:space="0"/>
              <w:right w:val="single" w:color="auto" w:sz="4" w:space="0"/>
            </w:tcBorders>
            <w:shd w:val="clear" w:color="auto" w:fill="FFFFFF"/>
            <w:vAlign w:val="center"/>
          </w:tcPr>
          <w:p>
            <w:pPr>
              <w:snapToGrid w:val="0"/>
              <w:jc w:val="center"/>
              <w:textAlignment w:val="center"/>
              <w:rPr>
                <w:rFonts w:ascii="黑体" w:hAnsi="黑体" w:eastAsia="黑体"/>
                <w:color w:val="000000"/>
                <w:sz w:val="21"/>
                <w:szCs w:val="21"/>
              </w:rPr>
            </w:pPr>
            <w:r>
              <w:rPr>
                <w:rFonts w:ascii="黑体" w:hAnsi="黑体" w:eastAsia="黑体"/>
                <w:color w:val="000000"/>
                <w:kern w:val="0"/>
                <w:sz w:val="21"/>
                <w:szCs w:val="21"/>
                <w:lang w:bidi="ar"/>
              </w:rPr>
              <w:t>名称</w:t>
            </w:r>
          </w:p>
        </w:tc>
        <w:tc>
          <w:tcPr>
            <w:tcW w:w="1112" w:type="dxa"/>
            <w:tcBorders>
              <w:top w:val="single" w:color="auto" w:sz="12" w:space="0"/>
              <w:left w:val="single" w:color="auto" w:sz="4" w:space="0"/>
              <w:bottom w:val="single" w:color="auto" w:sz="4" w:space="0"/>
              <w:right w:val="single" w:color="auto" w:sz="4" w:space="0"/>
            </w:tcBorders>
            <w:shd w:val="clear" w:color="auto" w:fill="FFFFFF"/>
            <w:vAlign w:val="center"/>
          </w:tcPr>
          <w:p>
            <w:pPr>
              <w:snapToGrid w:val="0"/>
              <w:jc w:val="center"/>
              <w:textAlignment w:val="center"/>
              <w:rPr>
                <w:rFonts w:ascii="黑体" w:hAnsi="黑体" w:eastAsia="黑体"/>
                <w:color w:val="000000"/>
                <w:sz w:val="21"/>
                <w:szCs w:val="21"/>
              </w:rPr>
            </w:pPr>
            <w:r>
              <w:rPr>
                <w:rFonts w:ascii="黑体" w:hAnsi="黑体" w:eastAsia="黑体"/>
                <w:color w:val="000000"/>
                <w:kern w:val="0"/>
                <w:sz w:val="21"/>
                <w:szCs w:val="21"/>
                <w:lang w:bidi="ar"/>
              </w:rPr>
              <w:t>单位</w:t>
            </w:r>
          </w:p>
        </w:tc>
        <w:tc>
          <w:tcPr>
            <w:tcW w:w="1408" w:type="dxa"/>
            <w:tcBorders>
              <w:top w:val="single" w:color="auto" w:sz="12" w:space="0"/>
              <w:left w:val="single" w:color="auto" w:sz="4" w:space="0"/>
              <w:bottom w:val="single" w:color="auto" w:sz="4" w:space="0"/>
              <w:right w:val="single" w:color="auto" w:sz="4" w:space="0"/>
            </w:tcBorders>
            <w:shd w:val="clear" w:color="auto" w:fill="FFFFFF"/>
            <w:vAlign w:val="center"/>
          </w:tcPr>
          <w:p>
            <w:pPr>
              <w:snapToGrid w:val="0"/>
              <w:jc w:val="center"/>
              <w:textAlignment w:val="center"/>
              <w:rPr>
                <w:rFonts w:ascii="黑体" w:hAnsi="黑体" w:eastAsia="黑体"/>
                <w:color w:val="000000"/>
                <w:sz w:val="21"/>
                <w:szCs w:val="21"/>
              </w:rPr>
            </w:pPr>
            <w:r>
              <w:rPr>
                <w:rFonts w:ascii="黑体" w:hAnsi="黑体" w:eastAsia="黑体"/>
                <w:color w:val="000000"/>
                <w:kern w:val="0"/>
                <w:sz w:val="21"/>
                <w:szCs w:val="21"/>
                <w:lang w:bidi="ar"/>
              </w:rPr>
              <w:t>标准（元）</w:t>
            </w:r>
          </w:p>
        </w:tc>
        <w:tc>
          <w:tcPr>
            <w:tcW w:w="1236" w:type="dxa"/>
            <w:tcBorders>
              <w:top w:val="single" w:color="auto" w:sz="12" w:space="0"/>
              <w:left w:val="single" w:color="auto" w:sz="4" w:space="0"/>
              <w:bottom w:val="single" w:color="auto" w:sz="4" w:space="0"/>
              <w:right w:val="single" w:color="auto" w:sz="12" w:space="0"/>
            </w:tcBorders>
            <w:vAlign w:val="center"/>
          </w:tcPr>
          <w:p>
            <w:pPr>
              <w:snapToGrid w:val="0"/>
              <w:jc w:val="center"/>
              <w:rPr>
                <w:rFonts w:ascii="黑体" w:hAnsi="黑体" w:eastAsia="黑体"/>
                <w:color w:val="000000"/>
                <w:sz w:val="21"/>
                <w:szCs w:val="21"/>
              </w:rPr>
            </w:pPr>
            <w:r>
              <w:rPr>
                <w:rFonts w:ascii="黑体" w:hAnsi="黑体" w:eastAsia="黑体"/>
                <w:color w:val="000000"/>
                <w:sz w:val="21"/>
                <w:szCs w:val="21"/>
              </w:rPr>
              <w:t>备注</w:t>
            </w:r>
          </w:p>
        </w:tc>
      </w:tr>
      <w:tr>
        <w:tblPrEx>
          <w:tblLayout w:type="fixed"/>
          <w:tblCellMar>
            <w:top w:w="15" w:type="dxa"/>
            <w:left w:w="15" w:type="dxa"/>
            <w:bottom w:w="15" w:type="dxa"/>
            <w:right w:w="15" w:type="dxa"/>
          </w:tblCellMar>
        </w:tblPrEx>
        <w:trPr>
          <w:trHeight w:val="20" w:hRule="atLeast"/>
        </w:trPr>
        <w:tc>
          <w:tcPr>
            <w:tcW w:w="741" w:type="dxa"/>
            <w:vMerge w:val="restart"/>
            <w:tcBorders>
              <w:top w:val="single" w:color="auto" w:sz="4" w:space="0"/>
              <w:left w:val="single" w:color="auto" w:sz="12" w:space="0"/>
              <w:bottom w:val="single" w:color="000000" w:sz="4" w:space="0"/>
              <w:right w:val="single" w:color="000000" w:sz="4" w:space="0"/>
            </w:tcBorders>
            <w:shd w:val="clear" w:color="auto" w:fill="FFFFFF"/>
            <w:vAlign w:val="center"/>
          </w:tcPr>
          <w:p>
            <w:pPr>
              <w:snapToGrid w:val="0"/>
              <w:jc w:val="center"/>
              <w:textAlignment w:val="center"/>
              <w:rPr>
                <w:color w:val="000000"/>
                <w:kern w:val="0"/>
                <w:sz w:val="21"/>
                <w:szCs w:val="21"/>
                <w:lang w:bidi="ar"/>
              </w:rPr>
            </w:pPr>
            <w:r>
              <w:rPr>
                <w:color w:val="000000"/>
                <w:kern w:val="0"/>
                <w:sz w:val="21"/>
                <w:szCs w:val="21"/>
                <w:lang w:bidi="ar"/>
              </w:rPr>
              <w:t>构筑</w:t>
            </w:r>
          </w:p>
          <w:p>
            <w:pPr>
              <w:snapToGrid w:val="0"/>
              <w:jc w:val="center"/>
              <w:textAlignment w:val="center"/>
              <w:rPr>
                <w:color w:val="000000"/>
                <w:sz w:val="21"/>
                <w:szCs w:val="21"/>
              </w:rPr>
            </w:pPr>
            <w:r>
              <w:rPr>
                <w:color w:val="000000"/>
                <w:kern w:val="0"/>
                <w:sz w:val="21"/>
                <w:szCs w:val="21"/>
                <w:lang w:bidi="ar"/>
              </w:rPr>
              <w:t>物类</w:t>
            </w:r>
          </w:p>
        </w:tc>
        <w:tc>
          <w:tcPr>
            <w:tcW w:w="4377" w:type="dxa"/>
            <w:tcBorders>
              <w:top w:val="single" w:color="auto" w:sz="4" w:space="0"/>
              <w:left w:val="single" w:color="000000" w:sz="4" w:space="0"/>
              <w:bottom w:val="single" w:color="000000" w:sz="4" w:space="0"/>
              <w:right w:val="single" w:color="000000" w:sz="4" w:space="0"/>
            </w:tcBorders>
            <w:shd w:val="clear" w:color="auto" w:fill="FFFFFF"/>
            <w:vAlign w:val="center"/>
          </w:tcPr>
          <w:p>
            <w:pPr>
              <w:snapToGrid w:val="0"/>
              <w:jc w:val="left"/>
              <w:textAlignment w:val="center"/>
              <w:rPr>
                <w:color w:val="000000"/>
                <w:sz w:val="21"/>
                <w:szCs w:val="21"/>
              </w:rPr>
            </w:pPr>
            <w:r>
              <w:rPr>
                <w:color w:val="000000"/>
                <w:kern w:val="0"/>
                <w:sz w:val="21"/>
                <w:szCs w:val="21"/>
                <w:lang w:bidi="ar"/>
              </w:rPr>
              <w:t>堡坎（条石、碎石）</w:t>
            </w:r>
          </w:p>
        </w:tc>
        <w:tc>
          <w:tcPr>
            <w:tcW w:w="1112" w:type="dxa"/>
            <w:tcBorders>
              <w:top w:val="single" w:color="auto"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color w:val="000000"/>
                <w:sz w:val="21"/>
                <w:szCs w:val="21"/>
              </w:rPr>
            </w:pPr>
            <w:r>
              <w:rPr>
                <w:color w:val="000000"/>
                <w:kern w:val="0"/>
                <w:sz w:val="21"/>
                <w:szCs w:val="21"/>
                <w:lang w:bidi="ar"/>
              </w:rPr>
              <w:t>立方米</w:t>
            </w:r>
          </w:p>
        </w:tc>
        <w:tc>
          <w:tcPr>
            <w:tcW w:w="1408" w:type="dxa"/>
            <w:tcBorders>
              <w:top w:val="single" w:color="auto"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color w:val="000000"/>
                <w:sz w:val="21"/>
                <w:szCs w:val="21"/>
              </w:rPr>
            </w:pPr>
            <w:r>
              <w:rPr>
                <w:rFonts w:hint="eastAsia"/>
                <w:color w:val="000000"/>
                <w:kern w:val="0"/>
                <w:sz w:val="21"/>
                <w:szCs w:val="21"/>
                <w:lang w:bidi="ar"/>
              </w:rPr>
              <w:t>260</w:t>
            </w:r>
            <w:r>
              <w:rPr>
                <w:color w:val="000000"/>
                <w:kern w:val="0"/>
                <w:sz w:val="21"/>
                <w:szCs w:val="21"/>
                <w:lang w:bidi="ar"/>
              </w:rPr>
              <w:t>、2</w:t>
            </w:r>
            <w:r>
              <w:rPr>
                <w:rFonts w:hint="eastAsia"/>
                <w:color w:val="000000"/>
                <w:kern w:val="0"/>
                <w:sz w:val="21"/>
                <w:szCs w:val="21"/>
                <w:lang w:bidi="ar"/>
              </w:rPr>
              <w:t>4</w:t>
            </w:r>
            <w:r>
              <w:rPr>
                <w:color w:val="000000"/>
                <w:kern w:val="0"/>
                <w:sz w:val="21"/>
                <w:szCs w:val="21"/>
                <w:lang w:bidi="ar"/>
              </w:rPr>
              <w:t>0</w:t>
            </w:r>
          </w:p>
        </w:tc>
        <w:tc>
          <w:tcPr>
            <w:tcW w:w="1236" w:type="dxa"/>
            <w:tcBorders>
              <w:top w:val="single" w:color="auto" w:sz="4" w:space="0"/>
              <w:left w:val="single" w:color="000000" w:sz="4" w:space="0"/>
              <w:bottom w:val="single" w:color="000000" w:sz="4" w:space="0"/>
              <w:right w:val="single" w:color="auto" w:sz="12" w:space="0"/>
            </w:tcBorders>
            <w:shd w:val="clear" w:color="auto" w:fill="FFFFFF"/>
            <w:vAlign w:val="center"/>
          </w:tcPr>
          <w:p>
            <w:pPr>
              <w:snapToGrid w:val="0"/>
              <w:jc w:val="left"/>
              <w:rPr>
                <w:color w:val="000000"/>
                <w:sz w:val="21"/>
                <w:szCs w:val="21"/>
              </w:rPr>
            </w:pPr>
          </w:p>
        </w:tc>
      </w:tr>
      <w:tr>
        <w:tblPrEx>
          <w:tblLayout w:type="fixed"/>
          <w:tblCellMar>
            <w:top w:w="15" w:type="dxa"/>
            <w:left w:w="15" w:type="dxa"/>
            <w:bottom w:w="15" w:type="dxa"/>
            <w:right w:w="15" w:type="dxa"/>
          </w:tblCellMar>
        </w:tblPrEx>
        <w:trPr>
          <w:trHeight w:val="20" w:hRule="atLeast"/>
        </w:trPr>
        <w:tc>
          <w:tcPr>
            <w:tcW w:w="741" w:type="dxa"/>
            <w:vMerge w:val="continue"/>
            <w:tcBorders>
              <w:top w:val="single" w:color="000000" w:sz="4" w:space="0"/>
              <w:left w:val="single" w:color="auto" w:sz="12" w:space="0"/>
              <w:bottom w:val="single" w:color="000000" w:sz="4" w:space="0"/>
              <w:right w:val="single" w:color="000000" w:sz="4" w:space="0"/>
            </w:tcBorders>
            <w:shd w:val="clear" w:color="auto" w:fill="FFFFFF"/>
            <w:vAlign w:val="center"/>
          </w:tcPr>
          <w:p>
            <w:pPr>
              <w:snapToGrid w:val="0"/>
              <w:jc w:val="center"/>
              <w:rPr>
                <w:color w:val="000000"/>
                <w:sz w:val="21"/>
                <w:szCs w:val="21"/>
              </w:rPr>
            </w:pPr>
          </w:p>
        </w:tc>
        <w:tc>
          <w:tcPr>
            <w:tcW w:w="4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left"/>
              <w:textAlignment w:val="center"/>
              <w:rPr>
                <w:color w:val="000000"/>
                <w:sz w:val="21"/>
                <w:szCs w:val="21"/>
              </w:rPr>
            </w:pPr>
            <w:r>
              <w:rPr>
                <w:color w:val="000000"/>
                <w:kern w:val="0"/>
                <w:sz w:val="21"/>
                <w:szCs w:val="21"/>
                <w:lang w:bidi="ar"/>
              </w:rPr>
              <w:t>围墙</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color w:val="000000"/>
                <w:sz w:val="21"/>
                <w:szCs w:val="21"/>
              </w:rPr>
            </w:pPr>
            <w:r>
              <w:rPr>
                <w:color w:val="000000"/>
                <w:kern w:val="0"/>
                <w:sz w:val="21"/>
                <w:szCs w:val="21"/>
                <w:lang w:bidi="ar"/>
              </w:rPr>
              <w:t>平方米</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color w:val="000000"/>
                <w:sz w:val="21"/>
                <w:szCs w:val="21"/>
              </w:rPr>
            </w:pPr>
            <w:r>
              <w:rPr>
                <w:color w:val="000000"/>
                <w:kern w:val="0"/>
                <w:sz w:val="21"/>
                <w:szCs w:val="21"/>
                <w:lang w:bidi="ar"/>
              </w:rPr>
              <w:t>50</w:t>
            </w:r>
          </w:p>
        </w:tc>
        <w:tc>
          <w:tcPr>
            <w:tcW w:w="1236" w:type="dxa"/>
            <w:tcBorders>
              <w:top w:val="single" w:color="000000" w:sz="4" w:space="0"/>
              <w:left w:val="single" w:color="000000" w:sz="4" w:space="0"/>
              <w:bottom w:val="single" w:color="000000" w:sz="4" w:space="0"/>
              <w:right w:val="single" w:color="auto" w:sz="12" w:space="0"/>
            </w:tcBorders>
            <w:shd w:val="clear" w:color="auto" w:fill="FFFFFF"/>
            <w:vAlign w:val="center"/>
          </w:tcPr>
          <w:p>
            <w:pPr>
              <w:snapToGrid w:val="0"/>
              <w:jc w:val="center"/>
              <w:rPr>
                <w:color w:val="000000"/>
                <w:sz w:val="21"/>
                <w:szCs w:val="21"/>
              </w:rPr>
            </w:pPr>
          </w:p>
        </w:tc>
      </w:tr>
      <w:tr>
        <w:tblPrEx>
          <w:tblLayout w:type="fixed"/>
          <w:tblCellMar>
            <w:top w:w="15" w:type="dxa"/>
            <w:left w:w="15" w:type="dxa"/>
            <w:bottom w:w="15" w:type="dxa"/>
            <w:right w:w="15" w:type="dxa"/>
          </w:tblCellMar>
        </w:tblPrEx>
        <w:trPr>
          <w:trHeight w:val="20" w:hRule="atLeast"/>
        </w:trPr>
        <w:tc>
          <w:tcPr>
            <w:tcW w:w="741" w:type="dxa"/>
            <w:vMerge w:val="continue"/>
            <w:tcBorders>
              <w:top w:val="single" w:color="000000" w:sz="4" w:space="0"/>
              <w:left w:val="single" w:color="auto" w:sz="12" w:space="0"/>
              <w:bottom w:val="single" w:color="000000" w:sz="4" w:space="0"/>
              <w:right w:val="single" w:color="000000" w:sz="4" w:space="0"/>
            </w:tcBorders>
            <w:shd w:val="clear" w:color="auto" w:fill="FFFFFF"/>
            <w:vAlign w:val="center"/>
          </w:tcPr>
          <w:p>
            <w:pPr>
              <w:snapToGrid w:val="0"/>
              <w:jc w:val="center"/>
              <w:rPr>
                <w:color w:val="000000"/>
                <w:sz w:val="21"/>
                <w:szCs w:val="21"/>
              </w:rPr>
            </w:pPr>
          </w:p>
        </w:tc>
        <w:tc>
          <w:tcPr>
            <w:tcW w:w="4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left"/>
              <w:textAlignment w:val="center"/>
              <w:rPr>
                <w:color w:val="000000"/>
                <w:sz w:val="21"/>
                <w:szCs w:val="21"/>
              </w:rPr>
            </w:pPr>
            <w:r>
              <w:rPr>
                <w:color w:val="000000"/>
                <w:kern w:val="0"/>
                <w:sz w:val="21"/>
                <w:szCs w:val="21"/>
                <w:lang w:bidi="ar"/>
              </w:rPr>
              <w:t>户外围栏（瓷器类、钢铁类）</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color w:val="000000"/>
                <w:sz w:val="21"/>
                <w:szCs w:val="21"/>
              </w:rPr>
            </w:pPr>
            <w:r>
              <w:rPr>
                <w:color w:val="000000"/>
                <w:kern w:val="0"/>
                <w:sz w:val="21"/>
                <w:szCs w:val="21"/>
                <w:lang w:bidi="ar"/>
              </w:rPr>
              <w:t>平方米</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color w:val="000000"/>
                <w:sz w:val="21"/>
                <w:szCs w:val="21"/>
              </w:rPr>
            </w:pPr>
            <w:r>
              <w:rPr>
                <w:color w:val="000000"/>
                <w:kern w:val="0"/>
                <w:sz w:val="21"/>
                <w:szCs w:val="21"/>
                <w:lang w:bidi="ar"/>
              </w:rPr>
              <w:t>25、20</w:t>
            </w:r>
          </w:p>
        </w:tc>
        <w:tc>
          <w:tcPr>
            <w:tcW w:w="1236" w:type="dxa"/>
            <w:tcBorders>
              <w:top w:val="single" w:color="000000" w:sz="4" w:space="0"/>
              <w:left w:val="single" w:color="000000" w:sz="4" w:space="0"/>
              <w:bottom w:val="single" w:color="000000" w:sz="4" w:space="0"/>
              <w:right w:val="single" w:color="auto" w:sz="12" w:space="0"/>
            </w:tcBorders>
            <w:shd w:val="clear" w:color="auto" w:fill="FFFFFF"/>
            <w:vAlign w:val="center"/>
          </w:tcPr>
          <w:p>
            <w:pPr>
              <w:snapToGrid w:val="0"/>
              <w:jc w:val="center"/>
              <w:rPr>
                <w:color w:val="000000"/>
                <w:sz w:val="21"/>
                <w:szCs w:val="21"/>
              </w:rPr>
            </w:pPr>
          </w:p>
        </w:tc>
      </w:tr>
      <w:tr>
        <w:tblPrEx>
          <w:tblLayout w:type="fixed"/>
          <w:tblCellMar>
            <w:top w:w="15" w:type="dxa"/>
            <w:left w:w="15" w:type="dxa"/>
            <w:bottom w:w="15" w:type="dxa"/>
            <w:right w:w="15" w:type="dxa"/>
          </w:tblCellMar>
        </w:tblPrEx>
        <w:trPr>
          <w:trHeight w:val="20" w:hRule="atLeast"/>
        </w:trPr>
        <w:tc>
          <w:tcPr>
            <w:tcW w:w="741" w:type="dxa"/>
            <w:vMerge w:val="continue"/>
            <w:tcBorders>
              <w:top w:val="single" w:color="000000" w:sz="4" w:space="0"/>
              <w:left w:val="single" w:color="auto" w:sz="12" w:space="0"/>
              <w:bottom w:val="single" w:color="000000" w:sz="4" w:space="0"/>
              <w:right w:val="single" w:color="000000" w:sz="4" w:space="0"/>
            </w:tcBorders>
            <w:shd w:val="clear" w:color="auto" w:fill="FFFFFF"/>
            <w:vAlign w:val="center"/>
          </w:tcPr>
          <w:p>
            <w:pPr>
              <w:snapToGrid w:val="0"/>
              <w:jc w:val="center"/>
              <w:rPr>
                <w:color w:val="000000"/>
                <w:sz w:val="21"/>
                <w:szCs w:val="21"/>
              </w:rPr>
            </w:pPr>
          </w:p>
        </w:tc>
        <w:tc>
          <w:tcPr>
            <w:tcW w:w="4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left"/>
              <w:textAlignment w:val="center"/>
              <w:rPr>
                <w:color w:val="000000"/>
                <w:sz w:val="21"/>
                <w:szCs w:val="21"/>
              </w:rPr>
            </w:pPr>
            <w:r>
              <w:rPr>
                <w:color w:val="000000"/>
                <w:kern w:val="0"/>
                <w:sz w:val="21"/>
                <w:szCs w:val="21"/>
                <w:lang w:bidi="ar"/>
              </w:rPr>
              <w:t>道路（石板、水泥）</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color w:val="000000"/>
                <w:sz w:val="21"/>
                <w:szCs w:val="21"/>
              </w:rPr>
            </w:pPr>
            <w:r>
              <w:rPr>
                <w:color w:val="000000"/>
                <w:kern w:val="0"/>
                <w:sz w:val="21"/>
                <w:szCs w:val="21"/>
                <w:lang w:bidi="ar"/>
              </w:rPr>
              <w:t>平方米</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color w:val="000000"/>
                <w:sz w:val="21"/>
                <w:szCs w:val="21"/>
              </w:rPr>
            </w:pPr>
            <w:r>
              <w:rPr>
                <w:color w:val="000000"/>
                <w:kern w:val="0"/>
                <w:sz w:val="21"/>
                <w:szCs w:val="21"/>
                <w:lang w:bidi="ar"/>
              </w:rPr>
              <w:t>90、80</w:t>
            </w:r>
          </w:p>
        </w:tc>
        <w:tc>
          <w:tcPr>
            <w:tcW w:w="1236" w:type="dxa"/>
            <w:tcBorders>
              <w:top w:val="single" w:color="000000" w:sz="4" w:space="0"/>
              <w:left w:val="single" w:color="000000" w:sz="4" w:space="0"/>
              <w:bottom w:val="single" w:color="000000" w:sz="4" w:space="0"/>
              <w:right w:val="single" w:color="auto" w:sz="12" w:space="0"/>
            </w:tcBorders>
            <w:shd w:val="clear" w:color="auto" w:fill="FFFFFF"/>
            <w:vAlign w:val="center"/>
          </w:tcPr>
          <w:p>
            <w:pPr>
              <w:snapToGrid w:val="0"/>
              <w:jc w:val="left"/>
              <w:rPr>
                <w:color w:val="000000"/>
                <w:sz w:val="21"/>
                <w:szCs w:val="21"/>
              </w:rPr>
            </w:pPr>
          </w:p>
        </w:tc>
      </w:tr>
      <w:tr>
        <w:tblPrEx>
          <w:tblLayout w:type="fixed"/>
          <w:tblCellMar>
            <w:top w:w="15" w:type="dxa"/>
            <w:left w:w="15" w:type="dxa"/>
            <w:bottom w:w="15" w:type="dxa"/>
            <w:right w:w="15" w:type="dxa"/>
          </w:tblCellMar>
        </w:tblPrEx>
        <w:trPr>
          <w:trHeight w:val="20" w:hRule="atLeast"/>
        </w:trPr>
        <w:tc>
          <w:tcPr>
            <w:tcW w:w="741" w:type="dxa"/>
            <w:vMerge w:val="continue"/>
            <w:tcBorders>
              <w:top w:val="single" w:color="000000" w:sz="4" w:space="0"/>
              <w:left w:val="single" w:color="auto" w:sz="12" w:space="0"/>
              <w:bottom w:val="single" w:color="000000" w:sz="4" w:space="0"/>
              <w:right w:val="single" w:color="000000" w:sz="4" w:space="0"/>
            </w:tcBorders>
            <w:shd w:val="clear" w:color="auto" w:fill="FFFFFF"/>
            <w:vAlign w:val="center"/>
          </w:tcPr>
          <w:p>
            <w:pPr>
              <w:snapToGrid w:val="0"/>
              <w:jc w:val="center"/>
              <w:rPr>
                <w:color w:val="000000"/>
                <w:sz w:val="21"/>
                <w:szCs w:val="21"/>
              </w:rPr>
            </w:pPr>
          </w:p>
        </w:tc>
        <w:tc>
          <w:tcPr>
            <w:tcW w:w="4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left"/>
              <w:textAlignment w:val="center"/>
              <w:rPr>
                <w:color w:val="000000"/>
                <w:sz w:val="21"/>
                <w:szCs w:val="21"/>
              </w:rPr>
            </w:pPr>
            <w:r>
              <w:rPr>
                <w:color w:val="000000"/>
                <w:kern w:val="0"/>
                <w:sz w:val="21"/>
                <w:szCs w:val="21"/>
                <w:lang w:bidi="ar"/>
              </w:rPr>
              <w:t>砖瓦窑、石灰窑</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color w:val="000000"/>
                <w:sz w:val="21"/>
                <w:szCs w:val="21"/>
              </w:rPr>
            </w:pPr>
            <w:r>
              <w:rPr>
                <w:color w:val="000000"/>
                <w:kern w:val="0"/>
                <w:sz w:val="21"/>
                <w:szCs w:val="21"/>
                <w:lang w:bidi="ar"/>
              </w:rPr>
              <w:t>座</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color w:val="000000"/>
                <w:sz w:val="21"/>
                <w:szCs w:val="21"/>
              </w:rPr>
            </w:pPr>
            <w:r>
              <w:rPr>
                <w:color w:val="000000"/>
                <w:kern w:val="0"/>
                <w:sz w:val="21"/>
                <w:szCs w:val="21"/>
                <w:lang w:bidi="ar"/>
              </w:rPr>
              <w:t>2500、1250</w:t>
            </w:r>
          </w:p>
        </w:tc>
        <w:tc>
          <w:tcPr>
            <w:tcW w:w="1236" w:type="dxa"/>
            <w:tcBorders>
              <w:top w:val="single" w:color="000000" w:sz="4" w:space="0"/>
              <w:left w:val="single" w:color="000000" w:sz="4" w:space="0"/>
              <w:bottom w:val="single" w:color="000000" w:sz="4" w:space="0"/>
              <w:right w:val="single" w:color="auto" w:sz="12" w:space="0"/>
            </w:tcBorders>
            <w:shd w:val="clear" w:color="auto" w:fill="FFFFFF"/>
            <w:vAlign w:val="center"/>
          </w:tcPr>
          <w:p>
            <w:pPr>
              <w:snapToGrid w:val="0"/>
              <w:jc w:val="left"/>
              <w:rPr>
                <w:color w:val="000000"/>
                <w:sz w:val="21"/>
                <w:szCs w:val="21"/>
              </w:rPr>
            </w:pPr>
          </w:p>
        </w:tc>
      </w:tr>
      <w:tr>
        <w:tblPrEx>
          <w:tblLayout w:type="fixed"/>
          <w:tblCellMar>
            <w:top w:w="15" w:type="dxa"/>
            <w:left w:w="15" w:type="dxa"/>
            <w:bottom w:w="15" w:type="dxa"/>
            <w:right w:w="15" w:type="dxa"/>
          </w:tblCellMar>
        </w:tblPrEx>
        <w:trPr>
          <w:trHeight w:val="20" w:hRule="atLeast"/>
        </w:trPr>
        <w:tc>
          <w:tcPr>
            <w:tcW w:w="741" w:type="dxa"/>
            <w:vMerge w:val="continue"/>
            <w:tcBorders>
              <w:top w:val="single" w:color="000000" w:sz="4" w:space="0"/>
              <w:left w:val="single" w:color="auto" w:sz="12" w:space="0"/>
              <w:bottom w:val="single" w:color="000000" w:sz="4" w:space="0"/>
              <w:right w:val="single" w:color="000000" w:sz="4" w:space="0"/>
            </w:tcBorders>
            <w:shd w:val="clear" w:color="auto" w:fill="FFFFFF"/>
            <w:vAlign w:val="center"/>
          </w:tcPr>
          <w:p>
            <w:pPr>
              <w:snapToGrid w:val="0"/>
              <w:jc w:val="center"/>
              <w:rPr>
                <w:color w:val="000000"/>
                <w:sz w:val="21"/>
                <w:szCs w:val="21"/>
              </w:rPr>
            </w:pPr>
          </w:p>
        </w:tc>
        <w:tc>
          <w:tcPr>
            <w:tcW w:w="4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left"/>
              <w:textAlignment w:val="center"/>
              <w:rPr>
                <w:color w:val="000000"/>
                <w:sz w:val="21"/>
                <w:szCs w:val="21"/>
              </w:rPr>
            </w:pPr>
            <w:r>
              <w:rPr>
                <w:color w:val="000000"/>
                <w:kern w:val="0"/>
                <w:sz w:val="21"/>
                <w:szCs w:val="21"/>
                <w:lang w:bidi="ar"/>
              </w:rPr>
              <w:t>水井（条石、水泥、简易）</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color w:val="000000"/>
                <w:sz w:val="21"/>
                <w:szCs w:val="21"/>
              </w:rPr>
            </w:pPr>
            <w:r>
              <w:rPr>
                <w:color w:val="000000"/>
                <w:kern w:val="0"/>
                <w:sz w:val="21"/>
                <w:szCs w:val="21"/>
                <w:lang w:bidi="ar"/>
              </w:rPr>
              <w:t>立方米</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color w:val="000000"/>
                <w:sz w:val="21"/>
                <w:szCs w:val="21"/>
              </w:rPr>
            </w:pPr>
            <w:r>
              <w:rPr>
                <w:rFonts w:hint="eastAsia"/>
                <w:color w:val="000000"/>
                <w:kern w:val="0"/>
                <w:sz w:val="21"/>
                <w:szCs w:val="21"/>
                <w:lang w:bidi="ar"/>
              </w:rPr>
              <w:t>85</w:t>
            </w:r>
            <w:r>
              <w:rPr>
                <w:color w:val="000000"/>
                <w:kern w:val="0"/>
                <w:sz w:val="21"/>
                <w:szCs w:val="21"/>
                <w:lang w:bidi="ar"/>
              </w:rPr>
              <w:t>、</w:t>
            </w:r>
            <w:r>
              <w:rPr>
                <w:rFonts w:hint="eastAsia"/>
                <w:color w:val="000000"/>
                <w:kern w:val="0"/>
                <w:sz w:val="21"/>
                <w:szCs w:val="21"/>
                <w:lang w:bidi="ar"/>
              </w:rPr>
              <w:t>7</w:t>
            </w:r>
            <w:r>
              <w:rPr>
                <w:color w:val="000000"/>
                <w:kern w:val="0"/>
                <w:sz w:val="21"/>
                <w:szCs w:val="21"/>
                <w:lang w:bidi="ar"/>
              </w:rPr>
              <w:t>0、</w:t>
            </w:r>
            <w:r>
              <w:rPr>
                <w:rFonts w:hint="eastAsia"/>
                <w:color w:val="000000"/>
                <w:kern w:val="0"/>
                <w:sz w:val="21"/>
                <w:szCs w:val="21"/>
                <w:lang w:bidi="ar"/>
              </w:rPr>
              <w:t>45</w:t>
            </w:r>
          </w:p>
        </w:tc>
        <w:tc>
          <w:tcPr>
            <w:tcW w:w="1236" w:type="dxa"/>
            <w:tcBorders>
              <w:top w:val="single" w:color="000000" w:sz="4" w:space="0"/>
              <w:left w:val="single" w:color="000000" w:sz="4" w:space="0"/>
              <w:bottom w:val="single" w:color="000000" w:sz="4" w:space="0"/>
              <w:right w:val="single" w:color="auto" w:sz="12" w:space="0"/>
            </w:tcBorders>
            <w:shd w:val="clear" w:color="auto" w:fill="FFFFFF"/>
            <w:vAlign w:val="center"/>
          </w:tcPr>
          <w:p>
            <w:pPr>
              <w:snapToGrid w:val="0"/>
              <w:jc w:val="left"/>
              <w:rPr>
                <w:color w:val="000000"/>
                <w:sz w:val="21"/>
                <w:szCs w:val="21"/>
              </w:rPr>
            </w:pPr>
          </w:p>
        </w:tc>
      </w:tr>
      <w:tr>
        <w:tblPrEx>
          <w:tblLayout w:type="fixed"/>
          <w:tblCellMar>
            <w:top w:w="15" w:type="dxa"/>
            <w:left w:w="15" w:type="dxa"/>
            <w:bottom w:w="15" w:type="dxa"/>
            <w:right w:w="15" w:type="dxa"/>
          </w:tblCellMar>
        </w:tblPrEx>
        <w:trPr>
          <w:trHeight w:val="20" w:hRule="atLeast"/>
        </w:trPr>
        <w:tc>
          <w:tcPr>
            <w:tcW w:w="741" w:type="dxa"/>
            <w:vMerge w:val="continue"/>
            <w:tcBorders>
              <w:top w:val="single" w:color="000000" w:sz="4" w:space="0"/>
              <w:left w:val="single" w:color="auto" w:sz="12" w:space="0"/>
              <w:bottom w:val="single" w:color="000000" w:sz="4" w:space="0"/>
              <w:right w:val="single" w:color="000000" w:sz="4" w:space="0"/>
            </w:tcBorders>
            <w:shd w:val="clear" w:color="auto" w:fill="FFFFFF"/>
            <w:vAlign w:val="center"/>
          </w:tcPr>
          <w:p>
            <w:pPr>
              <w:snapToGrid w:val="0"/>
              <w:jc w:val="center"/>
              <w:rPr>
                <w:color w:val="000000"/>
                <w:sz w:val="21"/>
                <w:szCs w:val="21"/>
              </w:rPr>
            </w:pPr>
          </w:p>
        </w:tc>
        <w:tc>
          <w:tcPr>
            <w:tcW w:w="4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left"/>
              <w:textAlignment w:val="center"/>
              <w:rPr>
                <w:color w:val="000000"/>
                <w:sz w:val="21"/>
                <w:szCs w:val="21"/>
              </w:rPr>
            </w:pPr>
            <w:r>
              <w:rPr>
                <w:color w:val="000000"/>
                <w:kern w:val="0"/>
                <w:sz w:val="21"/>
                <w:szCs w:val="21"/>
                <w:lang w:bidi="ar"/>
              </w:rPr>
              <w:t>机井、钻孔井</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color w:val="000000"/>
                <w:sz w:val="21"/>
                <w:szCs w:val="21"/>
              </w:rPr>
            </w:pPr>
            <w:r>
              <w:rPr>
                <w:color w:val="000000"/>
                <w:kern w:val="0"/>
                <w:sz w:val="21"/>
                <w:szCs w:val="21"/>
                <w:lang w:bidi="ar"/>
              </w:rPr>
              <w:t>立方米、米</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color w:val="000000"/>
                <w:sz w:val="21"/>
                <w:szCs w:val="21"/>
              </w:rPr>
            </w:pPr>
            <w:r>
              <w:rPr>
                <w:color w:val="000000"/>
                <w:kern w:val="0"/>
                <w:sz w:val="21"/>
                <w:szCs w:val="21"/>
                <w:lang w:bidi="ar"/>
              </w:rPr>
              <w:t>400、300</w:t>
            </w:r>
          </w:p>
        </w:tc>
        <w:tc>
          <w:tcPr>
            <w:tcW w:w="1236" w:type="dxa"/>
            <w:tcBorders>
              <w:top w:val="single" w:color="000000" w:sz="4" w:space="0"/>
              <w:left w:val="single" w:color="000000" w:sz="4" w:space="0"/>
              <w:bottom w:val="single" w:color="000000" w:sz="4" w:space="0"/>
              <w:right w:val="single" w:color="auto" w:sz="12" w:space="0"/>
            </w:tcBorders>
            <w:shd w:val="clear" w:color="auto" w:fill="FFFFFF"/>
            <w:vAlign w:val="center"/>
          </w:tcPr>
          <w:p>
            <w:pPr>
              <w:snapToGrid w:val="0"/>
              <w:jc w:val="left"/>
              <w:rPr>
                <w:color w:val="000000"/>
                <w:sz w:val="21"/>
                <w:szCs w:val="21"/>
              </w:rPr>
            </w:pPr>
          </w:p>
        </w:tc>
      </w:tr>
      <w:tr>
        <w:tblPrEx>
          <w:tblLayout w:type="fixed"/>
          <w:tblCellMar>
            <w:top w:w="15" w:type="dxa"/>
            <w:left w:w="15" w:type="dxa"/>
            <w:bottom w:w="15" w:type="dxa"/>
            <w:right w:w="15" w:type="dxa"/>
          </w:tblCellMar>
        </w:tblPrEx>
        <w:trPr>
          <w:trHeight w:val="20" w:hRule="atLeast"/>
        </w:trPr>
        <w:tc>
          <w:tcPr>
            <w:tcW w:w="741" w:type="dxa"/>
            <w:vMerge w:val="continue"/>
            <w:tcBorders>
              <w:top w:val="single" w:color="000000" w:sz="4" w:space="0"/>
              <w:left w:val="single" w:color="auto" w:sz="12" w:space="0"/>
              <w:bottom w:val="single" w:color="000000" w:sz="4" w:space="0"/>
              <w:right w:val="single" w:color="000000" w:sz="4" w:space="0"/>
            </w:tcBorders>
            <w:shd w:val="clear" w:color="auto" w:fill="FFFFFF"/>
            <w:vAlign w:val="center"/>
          </w:tcPr>
          <w:p>
            <w:pPr>
              <w:snapToGrid w:val="0"/>
              <w:jc w:val="center"/>
              <w:rPr>
                <w:color w:val="000000"/>
                <w:sz w:val="21"/>
                <w:szCs w:val="21"/>
              </w:rPr>
            </w:pPr>
          </w:p>
        </w:tc>
        <w:tc>
          <w:tcPr>
            <w:tcW w:w="4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left"/>
              <w:textAlignment w:val="center"/>
              <w:rPr>
                <w:color w:val="000000"/>
                <w:sz w:val="21"/>
                <w:szCs w:val="21"/>
              </w:rPr>
            </w:pPr>
            <w:r>
              <w:rPr>
                <w:color w:val="000000"/>
                <w:kern w:val="0"/>
                <w:sz w:val="21"/>
                <w:szCs w:val="21"/>
                <w:lang w:bidi="ar"/>
              </w:rPr>
              <w:t>坟墓（双人、单人）</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color w:val="000000"/>
                <w:sz w:val="21"/>
                <w:szCs w:val="21"/>
              </w:rPr>
            </w:pPr>
            <w:r>
              <w:rPr>
                <w:color w:val="000000"/>
                <w:kern w:val="0"/>
                <w:sz w:val="21"/>
                <w:szCs w:val="21"/>
                <w:lang w:bidi="ar"/>
              </w:rPr>
              <w:t>座</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color w:val="000000"/>
                <w:sz w:val="21"/>
                <w:szCs w:val="21"/>
              </w:rPr>
            </w:pPr>
            <w:r>
              <w:rPr>
                <w:rFonts w:hint="eastAsia"/>
                <w:color w:val="000000"/>
                <w:kern w:val="0"/>
                <w:sz w:val="21"/>
                <w:szCs w:val="21"/>
                <w:lang w:bidi="ar"/>
              </w:rPr>
              <w:t>3</w:t>
            </w:r>
            <w:r>
              <w:rPr>
                <w:color w:val="000000"/>
                <w:kern w:val="0"/>
                <w:sz w:val="21"/>
                <w:szCs w:val="21"/>
                <w:lang w:bidi="ar"/>
              </w:rPr>
              <w:t>000、</w:t>
            </w:r>
            <w:r>
              <w:rPr>
                <w:rFonts w:hint="eastAsia"/>
                <w:color w:val="000000"/>
                <w:kern w:val="0"/>
                <w:sz w:val="21"/>
                <w:szCs w:val="21"/>
                <w:lang w:bidi="ar"/>
              </w:rPr>
              <w:t>2</w:t>
            </w:r>
            <w:r>
              <w:rPr>
                <w:color w:val="000000"/>
                <w:kern w:val="0"/>
                <w:sz w:val="21"/>
                <w:szCs w:val="21"/>
                <w:lang w:bidi="ar"/>
              </w:rPr>
              <w:t>000</w:t>
            </w:r>
          </w:p>
        </w:tc>
        <w:tc>
          <w:tcPr>
            <w:tcW w:w="1236" w:type="dxa"/>
            <w:tcBorders>
              <w:top w:val="single" w:color="000000" w:sz="4" w:space="0"/>
              <w:left w:val="single" w:color="000000" w:sz="4" w:space="0"/>
              <w:bottom w:val="single" w:color="000000" w:sz="4" w:space="0"/>
              <w:right w:val="single" w:color="auto" w:sz="12" w:space="0"/>
            </w:tcBorders>
            <w:shd w:val="clear" w:color="auto" w:fill="FFFFFF"/>
            <w:vAlign w:val="center"/>
          </w:tcPr>
          <w:p>
            <w:pPr>
              <w:snapToGrid w:val="0"/>
              <w:jc w:val="left"/>
              <w:textAlignment w:val="center"/>
              <w:rPr>
                <w:color w:val="000000"/>
                <w:sz w:val="21"/>
                <w:szCs w:val="21"/>
              </w:rPr>
            </w:pPr>
          </w:p>
        </w:tc>
      </w:tr>
      <w:tr>
        <w:tblPrEx>
          <w:tblLayout w:type="fixed"/>
          <w:tblCellMar>
            <w:top w:w="15" w:type="dxa"/>
            <w:left w:w="15" w:type="dxa"/>
            <w:bottom w:w="15" w:type="dxa"/>
            <w:right w:w="15" w:type="dxa"/>
          </w:tblCellMar>
        </w:tblPrEx>
        <w:trPr>
          <w:trHeight w:val="20" w:hRule="atLeast"/>
        </w:trPr>
        <w:tc>
          <w:tcPr>
            <w:tcW w:w="741" w:type="dxa"/>
            <w:vMerge w:val="continue"/>
            <w:tcBorders>
              <w:top w:val="single" w:color="000000" w:sz="4" w:space="0"/>
              <w:left w:val="single" w:color="auto" w:sz="12" w:space="0"/>
              <w:bottom w:val="single" w:color="000000" w:sz="4" w:space="0"/>
              <w:right w:val="single" w:color="000000" w:sz="4" w:space="0"/>
            </w:tcBorders>
            <w:shd w:val="clear" w:color="auto" w:fill="FFFFFF"/>
            <w:vAlign w:val="center"/>
          </w:tcPr>
          <w:p>
            <w:pPr>
              <w:snapToGrid w:val="0"/>
              <w:jc w:val="center"/>
              <w:rPr>
                <w:color w:val="000000"/>
                <w:sz w:val="21"/>
                <w:szCs w:val="21"/>
              </w:rPr>
            </w:pPr>
          </w:p>
        </w:tc>
        <w:tc>
          <w:tcPr>
            <w:tcW w:w="4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left"/>
              <w:textAlignment w:val="center"/>
              <w:rPr>
                <w:color w:val="000000"/>
                <w:sz w:val="21"/>
                <w:szCs w:val="21"/>
              </w:rPr>
            </w:pPr>
            <w:r>
              <w:rPr>
                <w:color w:val="000000"/>
                <w:kern w:val="0"/>
                <w:sz w:val="21"/>
                <w:szCs w:val="21"/>
                <w:lang w:bidi="ar"/>
              </w:rPr>
              <w:t>坟墓墓碑（组合碑、四角碑、令碑）</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color w:val="000000"/>
                <w:sz w:val="21"/>
                <w:szCs w:val="21"/>
              </w:rPr>
            </w:pPr>
            <w:r>
              <w:rPr>
                <w:color w:val="000000"/>
                <w:kern w:val="0"/>
                <w:sz w:val="21"/>
                <w:szCs w:val="21"/>
                <w:lang w:bidi="ar"/>
              </w:rPr>
              <w:t>座</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color w:val="000000"/>
                <w:sz w:val="21"/>
                <w:szCs w:val="21"/>
              </w:rPr>
            </w:pPr>
            <w:r>
              <w:rPr>
                <w:color w:val="000000"/>
                <w:kern w:val="0"/>
                <w:sz w:val="21"/>
                <w:szCs w:val="21"/>
                <w:lang w:bidi="ar"/>
              </w:rPr>
              <w:t>2000、1500、1000</w:t>
            </w:r>
          </w:p>
        </w:tc>
        <w:tc>
          <w:tcPr>
            <w:tcW w:w="1236" w:type="dxa"/>
            <w:tcBorders>
              <w:top w:val="single" w:color="000000" w:sz="4" w:space="0"/>
              <w:left w:val="single" w:color="000000" w:sz="4" w:space="0"/>
              <w:bottom w:val="single" w:color="000000" w:sz="4" w:space="0"/>
              <w:right w:val="single" w:color="auto" w:sz="12" w:space="0"/>
            </w:tcBorders>
            <w:shd w:val="clear" w:color="auto" w:fill="FFFFFF"/>
            <w:vAlign w:val="center"/>
          </w:tcPr>
          <w:p>
            <w:pPr>
              <w:snapToGrid w:val="0"/>
              <w:jc w:val="left"/>
              <w:rPr>
                <w:color w:val="000000"/>
                <w:sz w:val="21"/>
                <w:szCs w:val="21"/>
              </w:rPr>
            </w:pPr>
          </w:p>
        </w:tc>
      </w:tr>
      <w:tr>
        <w:tblPrEx>
          <w:tblLayout w:type="fixed"/>
          <w:tblCellMar>
            <w:top w:w="15" w:type="dxa"/>
            <w:left w:w="15" w:type="dxa"/>
            <w:bottom w:w="15" w:type="dxa"/>
            <w:right w:w="15" w:type="dxa"/>
          </w:tblCellMar>
        </w:tblPrEx>
        <w:trPr>
          <w:trHeight w:val="20" w:hRule="atLeast"/>
        </w:trPr>
        <w:tc>
          <w:tcPr>
            <w:tcW w:w="741" w:type="dxa"/>
            <w:vMerge w:val="continue"/>
            <w:tcBorders>
              <w:top w:val="single" w:color="000000" w:sz="4" w:space="0"/>
              <w:left w:val="single" w:color="auto" w:sz="12" w:space="0"/>
              <w:bottom w:val="single" w:color="000000" w:sz="4" w:space="0"/>
              <w:right w:val="single" w:color="000000" w:sz="4" w:space="0"/>
            </w:tcBorders>
            <w:shd w:val="clear" w:color="auto" w:fill="FFFFFF"/>
            <w:vAlign w:val="center"/>
          </w:tcPr>
          <w:p>
            <w:pPr>
              <w:snapToGrid w:val="0"/>
              <w:jc w:val="center"/>
              <w:rPr>
                <w:color w:val="000000"/>
                <w:sz w:val="21"/>
                <w:szCs w:val="21"/>
              </w:rPr>
            </w:pPr>
          </w:p>
        </w:tc>
        <w:tc>
          <w:tcPr>
            <w:tcW w:w="4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left"/>
              <w:textAlignment w:val="center"/>
              <w:rPr>
                <w:color w:val="000000"/>
                <w:sz w:val="21"/>
                <w:szCs w:val="21"/>
              </w:rPr>
            </w:pPr>
            <w:r>
              <w:rPr>
                <w:color w:val="000000"/>
                <w:kern w:val="0"/>
                <w:sz w:val="21"/>
                <w:szCs w:val="21"/>
                <w:lang w:bidi="ar"/>
              </w:rPr>
              <w:t>地坝（石板、水泥）</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color w:val="000000"/>
                <w:sz w:val="21"/>
                <w:szCs w:val="21"/>
              </w:rPr>
            </w:pPr>
            <w:r>
              <w:rPr>
                <w:color w:val="000000"/>
                <w:kern w:val="0"/>
                <w:sz w:val="21"/>
                <w:szCs w:val="21"/>
                <w:lang w:bidi="ar"/>
              </w:rPr>
              <w:t>平方米</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color w:val="000000"/>
                <w:sz w:val="21"/>
                <w:szCs w:val="21"/>
              </w:rPr>
            </w:pPr>
            <w:r>
              <w:rPr>
                <w:rFonts w:hint="eastAsia"/>
                <w:color w:val="000000"/>
                <w:kern w:val="0"/>
                <w:sz w:val="21"/>
                <w:szCs w:val="21"/>
                <w:lang w:bidi="ar"/>
              </w:rPr>
              <w:t>5</w:t>
            </w:r>
            <w:r>
              <w:rPr>
                <w:color w:val="000000"/>
                <w:kern w:val="0"/>
                <w:sz w:val="21"/>
                <w:szCs w:val="21"/>
                <w:lang w:bidi="ar"/>
              </w:rPr>
              <w:t>5、</w:t>
            </w:r>
            <w:r>
              <w:rPr>
                <w:rFonts w:hint="eastAsia"/>
                <w:color w:val="000000"/>
                <w:kern w:val="0"/>
                <w:sz w:val="21"/>
                <w:szCs w:val="21"/>
                <w:lang w:bidi="ar"/>
              </w:rPr>
              <w:t>45</w:t>
            </w:r>
          </w:p>
        </w:tc>
        <w:tc>
          <w:tcPr>
            <w:tcW w:w="1236" w:type="dxa"/>
            <w:tcBorders>
              <w:top w:val="single" w:color="000000" w:sz="4" w:space="0"/>
              <w:left w:val="single" w:color="000000" w:sz="4" w:space="0"/>
              <w:bottom w:val="single" w:color="000000" w:sz="4" w:space="0"/>
              <w:right w:val="single" w:color="auto" w:sz="12" w:space="0"/>
            </w:tcBorders>
            <w:shd w:val="clear" w:color="auto" w:fill="FFFFFF"/>
            <w:vAlign w:val="center"/>
          </w:tcPr>
          <w:p>
            <w:pPr>
              <w:snapToGrid w:val="0"/>
              <w:jc w:val="left"/>
              <w:textAlignment w:val="center"/>
              <w:rPr>
                <w:color w:val="000000"/>
                <w:sz w:val="21"/>
                <w:szCs w:val="21"/>
              </w:rPr>
            </w:pPr>
          </w:p>
        </w:tc>
      </w:tr>
      <w:tr>
        <w:tblPrEx>
          <w:tblLayout w:type="fixed"/>
          <w:tblCellMar>
            <w:top w:w="15" w:type="dxa"/>
            <w:left w:w="15" w:type="dxa"/>
            <w:bottom w:w="15" w:type="dxa"/>
            <w:right w:w="15" w:type="dxa"/>
          </w:tblCellMar>
        </w:tblPrEx>
        <w:trPr>
          <w:trHeight w:val="20" w:hRule="atLeast"/>
        </w:trPr>
        <w:tc>
          <w:tcPr>
            <w:tcW w:w="741" w:type="dxa"/>
            <w:vMerge w:val="continue"/>
            <w:tcBorders>
              <w:top w:val="single" w:color="000000" w:sz="4" w:space="0"/>
              <w:left w:val="single" w:color="auto" w:sz="12" w:space="0"/>
              <w:bottom w:val="single" w:color="000000" w:sz="4" w:space="0"/>
              <w:right w:val="single" w:color="000000" w:sz="4" w:space="0"/>
            </w:tcBorders>
            <w:shd w:val="clear" w:color="auto" w:fill="FFFFFF"/>
            <w:vAlign w:val="center"/>
          </w:tcPr>
          <w:p>
            <w:pPr>
              <w:snapToGrid w:val="0"/>
              <w:jc w:val="center"/>
              <w:rPr>
                <w:color w:val="000000"/>
                <w:sz w:val="21"/>
                <w:szCs w:val="21"/>
              </w:rPr>
            </w:pPr>
          </w:p>
        </w:tc>
        <w:tc>
          <w:tcPr>
            <w:tcW w:w="4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left"/>
              <w:textAlignment w:val="center"/>
              <w:rPr>
                <w:color w:val="000000"/>
                <w:sz w:val="21"/>
                <w:szCs w:val="21"/>
              </w:rPr>
            </w:pPr>
            <w:r>
              <w:rPr>
                <w:color w:val="000000"/>
                <w:kern w:val="0"/>
                <w:sz w:val="21"/>
                <w:szCs w:val="21"/>
                <w:lang w:bidi="ar"/>
              </w:rPr>
              <w:t>室外化粪池、粪池</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color w:val="000000"/>
                <w:sz w:val="21"/>
                <w:szCs w:val="21"/>
              </w:rPr>
            </w:pPr>
            <w:r>
              <w:rPr>
                <w:color w:val="000000"/>
                <w:sz w:val="21"/>
                <w:szCs w:val="21"/>
              </w:rPr>
              <w:t>个</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color w:val="000000"/>
                <w:sz w:val="21"/>
                <w:szCs w:val="21"/>
              </w:rPr>
            </w:pPr>
            <w:r>
              <w:rPr>
                <w:color w:val="000000"/>
                <w:kern w:val="0"/>
                <w:sz w:val="21"/>
                <w:szCs w:val="21"/>
                <w:lang w:bidi="ar"/>
              </w:rPr>
              <w:t>500</w:t>
            </w:r>
          </w:p>
        </w:tc>
        <w:tc>
          <w:tcPr>
            <w:tcW w:w="1236" w:type="dxa"/>
            <w:tcBorders>
              <w:top w:val="single" w:color="000000" w:sz="4" w:space="0"/>
              <w:left w:val="single" w:color="000000" w:sz="4" w:space="0"/>
              <w:bottom w:val="single" w:color="000000" w:sz="4" w:space="0"/>
              <w:right w:val="single" w:color="auto" w:sz="12" w:space="0"/>
            </w:tcBorders>
            <w:shd w:val="clear" w:color="auto" w:fill="FFFFFF"/>
            <w:vAlign w:val="center"/>
          </w:tcPr>
          <w:p>
            <w:pPr>
              <w:snapToGrid w:val="0"/>
              <w:jc w:val="left"/>
              <w:rPr>
                <w:color w:val="000000"/>
                <w:sz w:val="21"/>
                <w:szCs w:val="21"/>
              </w:rPr>
            </w:pPr>
          </w:p>
        </w:tc>
      </w:tr>
      <w:tr>
        <w:tblPrEx>
          <w:tblLayout w:type="fixed"/>
          <w:tblCellMar>
            <w:top w:w="15" w:type="dxa"/>
            <w:left w:w="15" w:type="dxa"/>
            <w:bottom w:w="15" w:type="dxa"/>
            <w:right w:w="15" w:type="dxa"/>
          </w:tblCellMar>
        </w:tblPrEx>
        <w:trPr>
          <w:trHeight w:val="20" w:hRule="atLeast"/>
        </w:trPr>
        <w:tc>
          <w:tcPr>
            <w:tcW w:w="741" w:type="dxa"/>
            <w:vMerge w:val="continue"/>
            <w:tcBorders>
              <w:top w:val="single" w:color="000000" w:sz="4" w:space="0"/>
              <w:left w:val="single" w:color="auto" w:sz="12" w:space="0"/>
              <w:bottom w:val="single" w:color="000000" w:sz="4" w:space="0"/>
              <w:right w:val="single" w:color="000000" w:sz="4" w:space="0"/>
            </w:tcBorders>
            <w:shd w:val="clear" w:color="auto" w:fill="FFFFFF"/>
            <w:vAlign w:val="center"/>
          </w:tcPr>
          <w:p>
            <w:pPr>
              <w:snapToGrid w:val="0"/>
              <w:jc w:val="center"/>
              <w:rPr>
                <w:color w:val="000000"/>
                <w:sz w:val="21"/>
                <w:szCs w:val="21"/>
              </w:rPr>
            </w:pPr>
          </w:p>
        </w:tc>
        <w:tc>
          <w:tcPr>
            <w:tcW w:w="4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left"/>
              <w:textAlignment w:val="center"/>
              <w:rPr>
                <w:color w:val="000000"/>
                <w:sz w:val="21"/>
                <w:szCs w:val="21"/>
              </w:rPr>
            </w:pPr>
            <w:r>
              <w:rPr>
                <w:color w:val="000000"/>
                <w:kern w:val="0"/>
                <w:sz w:val="21"/>
                <w:szCs w:val="21"/>
                <w:lang w:bidi="ar"/>
              </w:rPr>
              <w:t>贮水池、沼气池</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color w:val="000000"/>
                <w:sz w:val="21"/>
                <w:szCs w:val="21"/>
              </w:rPr>
            </w:pPr>
            <w:r>
              <w:rPr>
                <w:color w:val="000000"/>
                <w:kern w:val="0"/>
                <w:sz w:val="21"/>
                <w:szCs w:val="21"/>
                <w:lang w:bidi="ar"/>
              </w:rPr>
              <w:t>立方米、个</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color w:val="000000"/>
                <w:sz w:val="21"/>
                <w:szCs w:val="21"/>
              </w:rPr>
            </w:pPr>
            <w:r>
              <w:rPr>
                <w:rFonts w:hint="eastAsia"/>
                <w:color w:val="000000"/>
                <w:kern w:val="0"/>
                <w:sz w:val="21"/>
                <w:szCs w:val="21"/>
                <w:lang w:bidi="ar"/>
              </w:rPr>
              <w:t>7</w:t>
            </w:r>
            <w:r>
              <w:rPr>
                <w:color w:val="000000"/>
                <w:kern w:val="0"/>
                <w:sz w:val="21"/>
                <w:szCs w:val="21"/>
                <w:lang w:bidi="ar"/>
              </w:rPr>
              <w:t>0、</w:t>
            </w:r>
            <w:r>
              <w:rPr>
                <w:rFonts w:hint="eastAsia"/>
                <w:color w:val="000000"/>
                <w:kern w:val="0"/>
                <w:sz w:val="21"/>
                <w:szCs w:val="21"/>
                <w:lang w:bidi="ar"/>
              </w:rPr>
              <w:t>1</w:t>
            </w:r>
            <w:r>
              <w:rPr>
                <w:color w:val="000000"/>
                <w:kern w:val="0"/>
                <w:sz w:val="21"/>
                <w:szCs w:val="21"/>
                <w:lang w:bidi="ar"/>
              </w:rPr>
              <w:t>200</w:t>
            </w:r>
          </w:p>
        </w:tc>
        <w:tc>
          <w:tcPr>
            <w:tcW w:w="1236" w:type="dxa"/>
            <w:tcBorders>
              <w:top w:val="single" w:color="000000" w:sz="4" w:space="0"/>
              <w:left w:val="single" w:color="000000" w:sz="4" w:space="0"/>
              <w:bottom w:val="single" w:color="000000" w:sz="4" w:space="0"/>
              <w:right w:val="single" w:color="auto" w:sz="12" w:space="0"/>
            </w:tcBorders>
            <w:shd w:val="clear" w:color="auto" w:fill="FFFFFF"/>
            <w:vAlign w:val="center"/>
          </w:tcPr>
          <w:p>
            <w:pPr>
              <w:snapToGrid w:val="0"/>
              <w:jc w:val="left"/>
              <w:rPr>
                <w:color w:val="000000"/>
                <w:sz w:val="21"/>
                <w:szCs w:val="21"/>
              </w:rPr>
            </w:pPr>
          </w:p>
        </w:tc>
      </w:tr>
      <w:tr>
        <w:tblPrEx>
          <w:tblLayout w:type="fixed"/>
          <w:tblCellMar>
            <w:top w:w="15" w:type="dxa"/>
            <w:left w:w="15" w:type="dxa"/>
            <w:bottom w:w="15" w:type="dxa"/>
            <w:right w:w="15" w:type="dxa"/>
          </w:tblCellMar>
        </w:tblPrEx>
        <w:trPr>
          <w:trHeight w:val="20" w:hRule="atLeast"/>
        </w:trPr>
        <w:tc>
          <w:tcPr>
            <w:tcW w:w="741" w:type="dxa"/>
            <w:vMerge w:val="continue"/>
            <w:tcBorders>
              <w:top w:val="single" w:color="000000" w:sz="4" w:space="0"/>
              <w:left w:val="single" w:color="auto" w:sz="12" w:space="0"/>
              <w:bottom w:val="single" w:color="000000" w:sz="4" w:space="0"/>
              <w:right w:val="single" w:color="000000" w:sz="4" w:space="0"/>
            </w:tcBorders>
            <w:shd w:val="clear" w:color="auto" w:fill="FFFFFF"/>
            <w:vAlign w:val="center"/>
          </w:tcPr>
          <w:p>
            <w:pPr>
              <w:snapToGrid w:val="0"/>
              <w:jc w:val="center"/>
              <w:rPr>
                <w:color w:val="000000"/>
                <w:sz w:val="21"/>
                <w:szCs w:val="21"/>
              </w:rPr>
            </w:pPr>
          </w:p>
        </w:tc>
        <w:tc>
          <w:tcPr>
            <w:tcW w:w="4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left"/>
              <w:textAlignment w:val="center"/>
              <w:rPr>
                <w:color w:val="000000"/>
                <w:sz w:val="21"/>
                <w:szCs w:val="21"/>
              </w:rPr>
            </w:pPr>
            <w:r>
              <w:rPr>
                <w:color w:val="000000"/>
                <w:kern w:val="0"/>
                <w:sz w:val="21"/>
                <w:szCs w:val="21"/>
                <w:lang w:bidi="ar"/>
              </w:rPr>
              <w:t>苕窖</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color w:val="000000"/>
                <w:sz w:val="21"/>
                <w:szCs w:val="21"/>
              </w:rPr>
            </w:pPr>
            <w:r>
              <w:rPr>
                <w:color w:val="000000"/>
                <w:kern w:val="0"/>
                <w:sz w:val="21"/>
                <w:szCs w:val="21"/>
                <w:lang w:bidi="ar"/>
              </w:rPr>
              <w:t>个</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color w:val="000000"/>
                <w:sz w:val="21"/>
                <w:szCs w:val="21"/>
              </w:rPr>
            </w:pPr>
            <w:r>
              <w:rPr>
                <w:color w:val="000000"/>
                <w:kern w:val="0"/>
                <w:sz w:val="21"/>
                <w:szCs w:val="21"/>
                <w:lang w:bidi="ar"/>
              </w:rPr>
              <w:t>400</w:t>
            </w:r>
          </w:p>
        </w:tc>
        <w:tc>
          <w:tcPr>
            <w:tcW w:w="1236" w:type="dxa"/>
            <w:tcBorders>
              <w:top w:val="single" w:color="000000" w:sz="4" w:space="0"/>
              <w:left w:val="single" w:color="000000" w:sz="4" w:space="0"/>
              <w:bottom w:val="single" w:color="000000" w:sz="4" w:space="0"/>
              <w:right w:val="single" w:color="auto" w:sz="12" w:space="0"/>
            </w:tcBorders>
            <w:shd w:val="clear" w:color="auto" w:fill="FFFFFF"/>
            <w:vAlign w:val="center"/>
          </w:tcPr>
          <w:p>
            <w:pPr>
              <w:snapToGrid w:val="0"/>
              <w:rPr>
                <w:color w:val="000000"/>
                <w:sz w:val="21"/>
                <w:szCs w:val="21"/>
              </w:rPr>
            </w:pPr>
          </w:p>
        </w:tc>
      </w:tr>
      <w:tr>
        <w:tblPrEx>
          <w:tblLayout w:type="fixed"/>
          <w:tblCellMar>
            <w:top w:w="15" w:type="dxa"/>
            <w:left w:w="15" w:type="dxa"/>
            <w:bottom w:w="15" w:type="dxa"/>
            <w:right w:w="15" w:type="dxa"/>
          </w:tblCellMar>
        </w:tblPrEx>
        <w:trPr>
          <w:trHeight w:val="20" w:hRule="atLeast"/>
        </w:trPr>
        <w:tc>
          <w:tcPr>
            <w:tcW w:w="741" w:type="dxa"/>
            <w:vMerge w:val="continue"/>
            <w:tcBorders>
              <w:top w:val="single" w:color="000000" w:sz="4" w:space="0"/>
              <w:left w:val="single" w:color="auto" w:sz="12" w:space="0"/>
              <w:bottom w:val="single" w:color="000000" w:sz="4" w:space="0"/>
              <w:right w:val="single" w:color="000000" w:sz="4" w:space="0"/>
            </w:tcBorders>
            <w:shd w:val="clear" w:color="auto" w:fill="FFFFFF"/>
            <w:vAlign w:val="center"/>
          </w:tcPr>
          <w:p>
            <w:pPr>
              <w:snapToGrid w:val="0"/>
              <w:jc w:val="center"/>
              <w:rPr>
                <w:color w:val="000000"/>
                <w:sz w:val="21"/>
                <w:szCs w:val="21"/>
              </w:rPr>
            </w:pPr>
          </w:p>
        </w:tc>
        <w:tc>
          <w:tcPr>
            <w:tcW w:w="4377" w:type="dxa"/>
            <w:tcBorders>
              <w:top w:val="single" w:color="000000" w:sz="4" w:space="0"/>
              <w:left w:val="single" w:color="000000" w:sz="4" w:space="0"/>
              <w:bottom w:val="single" w:color="auto" w:sz="4" w:space="0"/>
              <w:right w:val="single" w:color="000000" w:sz="4" w:space="0"/>
            </w:tcBorders>
            <w:shd w:val="clear" w:color="auto" w:fill="FFFFFF"/>
            <w:vAlign w:val="center"/>
          </w:tcPr>
          <w:p>
            <w:pPr>
              <w:snapToGrid w:val="0"/>
              <w:jc w:val="left"/>
              <w:textAlignment w:val="center"/>
              <w:rPr>
                <w:color w:val="000000"/>
                <w:sz w:val="21"/>
                <w:szCs w:val="21"/>
              </w:rPr>
            </w:pPr>
            <w:r>
              <w:rPr>
                <w:color w:val="000000"/>
                <w:kern w:val="0"/>
                <w:sz w:val="21"/>
                <w:szCs w:val="21"/>
                <w:lang w:bidi="ar"/>
              </w:rPr>
              <w:t>水渠（条石、砖）</w:t>
            </w:r>
          </w:p>
        </w:tc>
        <w:tc>
          <w:tcPr>
            <w:tcW w:w="1112" w:type="dxa"/>
            <w:tcBorders>
              <w:top w:val="single" w:color="000000" w:sz="4" w:space="0"/>
              <w:left w:val="single" w:color="000000" w:sz="4" w:space="0"/>
              <w:bottom w:val="single" w:color="auto" w:sz="4" w:space="0"/>
              <w:right w:val="single" w:color="000000" w:sz="4" w:space="0"/>
            </w:tcBorders>
            <w:shd w:val="clear" w:color="auto" w:fill="FFFFFF"/>
            <w:vAlign w:val="center"/>
          </w:tcPr>
          <w:p>
            <w:pPr>
              <w:snapToGrid w:val="0"/>
              <w:jc w:val="center"/>
              <w:textAlignment w:val="center"/>
              <w:rPr>
                <w:color w:val="000000"/>
                <w:sz w:val="21"/>
                <w:szCs w:val="21"/>
              </w:rPr>
            </w:pPr>
            <w:r>
              <w:rPr>
                <w:color w:val="000000"/>
                <w:kern w:val="0"/>
                <w:sz w:val="21"/>
                <w:szCs w:val="21"/>
                <w:lang w:bidi="ar"/>
              </w:rPr>
              <w:t>立方米</w:t>
            </w:r>
          </w:p>
        </w:tc>
        <w:tc>
          <w:tcPr>
            <w:tcW w:w="1408" w:type="dxa"/>
            <w:tcBorders>
              <w:top w:val="single" w:color="000000" w:sz="4" w:space="0"/>
              <w:left w:val="single" w:color="000000" w:sz="4" w:space="0"/>
              <w:bottom w:val="single" w:color="auto" w:sz="4" w:space="0"/>
              <w:right w:val="single" w:color="000000" w:sz="4" w:space="0"/>
            </w:tcBorders>
            <w:shd w:val="clear" w:color="auto" w:fill="FFFFFF"/>
            <w:vAlign w:val="center"/>
          </w:tcPr>
          <w:p>
            <w:pPr>
              <w:snapToGrid w:val="0"/>
              <w:jc w:val="center"/>
              <w:textAlignment w:val="center"/>
              <w:rPr>
                <w:color w:val="000000"/>
                <w:sz w:val="21"/>
                <w:szCs w:val="21"/>
              </w:rPr>
            </w:pPr>
            <w:r>
              <w:rPr>
                <w:color w:val="000000"/>
                <w:kern w:val="0"/>
                <w:sz w:val="21"/>
                <w:szCs w:val="21"/>
                <w:lang w:bidi="ar"/>
              </w:rPr>
              <w:t>40</w:t>
            </w:r>
          </w:p>
        </w:tc>
        <w:tc>
          <w:tcPr>
            <w:tcW w:w="1236" w:type="dxa"/>
            <w:tcBorders>
              <w:top w:val="single" w:color="000000" w:sz="4" w:space="0"/>
              <w:left w:val="single" w:color="000000" w:sz="4" w:space="0"/>
              <w:bottom w:val="single" w:color="auto" w:sz="4" w:space="0"/>
              <w:right w:val="single" w:color="auto" w:sz="12" w:space="0"/>
            </w:tcBorders>
            <w:shd w:val="clear" w:color="auto" w:fill="FFFFFF"/>
            <w:vAlign w:val="center"/>
          </w:tcPr>
          <w:p>
            <w:pPr>
              <w:snapToGrid w:val="0"/>
              <w:jc w:val="left"/>
              <w:textAlignment w:val="center"/>
              <w:rPr>
                <w:color w:val="000000"/>
                <w:sz w:val="21"/>
                <w:szCs w:val="21"/>
              </w:rPr>
            </w:pPr>
          </w:p>
        </w:tc>
      </w:tr>
      <w:tr>
        <w:tblPrEx>
          <w:tblLayout w:type="fixed"/>
          <w:tblCellMar>
            <w:top w:w="15" w:type="dxa"/>
            <w:left w:w="15" w:type="dxa"/>
            <w:bottom w:w="15" w:type="dxa"/>
            <w:right w:w="15" w:type="dxa"/>
          </w:tblCellMar>
        </w:tblPrEx>
        <w:trPr>
          <w:trHeight w:val="20" w:hRule="atLeast"/>
        </w:trPr>
        <w:tc>
          <w:tcPr>
            <w:tcW w:w="741" w:type="dxa"/>
            <w:vMerge w:val="restart"/>
            <w:tcBorders>
              <w:top w:val="single" w:color="auto" w:sz="4" w:space="0"/>
              <w:left w:val="single" w:color="auto" w:sz="12" w:space="0"/>
              <w:bottom w:val="single" w:color="auto" w:sz="4" w:space="0"/>
              <w:right w:val="single" w:color="auto" w:sz="4" w:space="0"/>
            </w:tcBorders>
            <w:shd w:val="clear" w:color="auto" w:fill="FFFFFF"/>
            <w:vAlign w:val="center"/>
          </w:tcPr>
          <w:p>
            <w:pPr>
              <w:snapToGrid w:val="0"/>
              <w:jc w:val="center"/>
              <w:textAlignment w:val="center"/>
              <w:rPr>
                <w:color w:val="000000"/>
                <w:sz w:val="21"/>
                <w:szCs w:val="21"/>
              </w:rPr>
            </w:pPr>
            <w:r>
              <w:rPr>
                <w:color w:val="000000"/>
                <w:kern w:val="0"/>
                <w:sz w:val="21"/>
                <w:szCs w:val="21"/>
                <w:lang w:bidi="ar"/>
              </w:rPr>
              <w:t>设施设备类</w:t>
            </w:r>
          </w:p>
        </w:tc>
        <w:tc>
          <w:tcPr>
            <w:tcW w:w="437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textAlignment w:val="center"/>
              <w:rPr>
                <w:color w:val="000000"/>
                <w:sz w:val="21"/>
                <w:szCs w:val="21"/>
              </w:rPr>
            </w:pPr>
            <w:r>
              <w:rPr>
                <w:color w:val="000000"/>
                <w:kern w:val="0"/>
                <w:sz w:val="21"/>
                <w:szCs w:val="21"/>
                <w:lang w:bidi="ar"/>
              </w:rPr>
              <w:t>水泥电线杆9米及以上、9米以下</w:t>
            </w:r>
          </w:p>
        </w:tc>
        <w:tc>
          <w:tcPr>
            <w:tcW w:w="11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textAlignment w:val="center"/>
              <w:rPr>
                <w:color w:val="000000"/>
                <w:sz w:val="21"/>
                <w:szCs w:val="21"/>
              </w:rPr>
            </w:pPr>
            <w:r>
              <w:rPr>
                <w:color w:val="000000"/>
                <w:kern w:val="0"/>
                <w:sz w:val="21"/>
                <w:szCs w:val="21"/>
                <w:lang w:bidi="ar"/>
              </w:rPr>
              <w:t>根</w:t>
            </w:r>
          </w:p>
        </w:tc>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textAlignment w:val="center"/>
              <w:rPr>
                <w:color w:val="000000"/>
                <w:sz w:val="21"/>
                <w:szCs w:val="21"/>
              </w:rPr>
            </w:pPr>
            <w:r>
              <w:rPr>
                <w:rFonts w:hint="eastAsia"/>
                <w:color w:val="000000"/>
                <w:kern w:val="0"/>
                <w:sz w:val="21"/>
                <w:szCs w:val="21"/>
                <w:lang w:bidi="ar"/>
              </w:rPr>
              <w:t>49</w:t>
            </w:r>
            <w:r>
              <w:rPr>
                <w:color w:val="000000"/>
                <w:kern w:val="0"/>
                <w:sz w:val="21"/>
                <w:szCs w:val="21"/>
                <w:lang w:bidi="ar"/>
              </w:rPr>
              <w:t>0、</w:t>
            </w:r>
            <w:r>
              <w:rPr>
                <w:rFonts w:hint="eastAsia"/>
                <w:color w:val="000000"/>
                <w:kern w:val="0"/>
                <w:sz w:val="21"/>
                <w:szCs w:val="21"/>
                <w:lang w:bidi="ar"/>
              </w:rPr>
              <w:t>3</w:t>
            </w:r>
            <w:r>
              <w:rPr>
                <w:color w:val="000000"/>
                <w:kern w:val="0"/>
                <w:sz w:val="21"/>
                <w:szCs w:val="21"/>
                <w:lang w:bidi="ar"/>
              </w:rPr>
              <w:t>00</w:t>
            </w:r>
          </w:p>
        </w:tc>
        <w:tc>
          <w:tcPr>
            <w:tcW w:w="1236" w:type="dxa"/>
            <w:tcBorders>
              <w:top w:val="single" w:color="auto" w:sz="4" w:space="0"/>
              <w:left w:val="single" w:color="auto" w:sz="4" w:space="0"/>
              <w:bottom w:val="single" w:color="auto" w:sz="4" w:space="0"/>
              <w:right w:val="single" w:color="auto" w:sz="12" w:space="0"/>
            </w:tcBorders>
            <w:shd w:val="clear" w:color="auto" w:fill="FFFFFF"/>
            <w:vAlign w:val="center"/>
          </w:tcPr>
          <w:p>
            <w:pPr>
              <w:snapToGrid w:val="0"/>
              <w:jc w:val="center"/>
              <w:textAlignment w:val="center"/>
              <w:rPr>
                <w:color w:val="000000"/>
                <w:sz w:val="21"/>
                <w:szCs w:val="21"/>
              </w:rPr>
            </w:pPr>
            <w:r>
              <w:rPr>
                <w:color w:val="000000"/>
                <w:kern w:val="0"/>
                <w:sz w:val="21"/>
                <w:szCs w:val="21"/>
                <w:lang w:bidi="ar"/>
              </w:rPr>
              <w:t>集体、个人投资的</w:t>
            </w:r>
          </w:p>
        </w:tc>
      </w:tr>
      <w:tr>
        <w:tblPrEx>
          <w:tblLayout w:type="fixed"/>
          <w:tblCellMar>
            <w:top w:w="15" w:type="dxa"/>
            <w:left w:w="15" w:type="dxa"/>
            <w:bottom w:w="15" w:type="dxa"/>
            <w:right w:w="15" w:type="dxa"/>
          </w:tblCellMar>
        </w:tblPrEx>
        <w:trPr>
          <w:trHeight w:val="20" w:hRule="atLeast"/>
        </w:trPr>
        <w:tc>
          <w:tcPr>
            <w:tcW w:w="741" w:type="dxa"/>
            <w:vMerge w:val="continue"/>
            <w:tcBorders>
              <w:top w:val="single" w:color="auto" w:sz="4" w:space="0"/>
              <w:left w:val="single" w:color="auto" w:sz="12" w:space="0"/>
              <w:bottom w:val="single" w:color="auto" w:sz="4" w:space="0"/>
              <w:right w:val="single" w:color="auto" w:sz="4" w:space="0"/>
            </w:tcBorders>
            <w:shd w:val="clear" w:color="auto" w:fill="FFFFFF"/>
            <w:vAlign w:val="center"/>
          </w:tcPr>
          <w:p>
            <w:pPr>
              <w:snapToGrid w:val="0"/>
              <w:jc w:val="center"/>
              <w:rPr>
                <w:color w:val="000000"/>
                <w:sz w:val="21"/>
                <w:szCs w:val="21"/>
              </w:rPr>
            </w:pPr>
          </w:p>
        </w:tc>
        <w:tc>
          <w:tcPr>
            <w:tcW w:w="437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textAlignment w:val="center"/>
              <w:rPr>
                <w:color w:val="000000"/>
                <w:kern w:val="0"/>
                <w:sz w:val="21"/>
                <w:szCs w:val="21"/>
                <w:lang w:bidi="ar"/>
              </w:rPr>
            </w:pPr>
            <w:r>
              <w:rPr>
                <w:color w:val="000000"/>
                <w:kern w:val="0"/>
                <w:sz w:val="21"/>
                <w:szCs w:val="21"/>
                <w:lang w:bidi="ar"/>
              </w:rPr>
              <w:t>室外电线（动力、照明）</w:t>
            </w:r>
          </w:p>
        </w:tc>
        <w:tc>
          <w:tcPr>
            <w:tcW w:w="11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textAlignment w:val="center"/>
              <w:rPr>
                <w:color w:val="000000"/>
                <w:sz w:val="21"/>
                <w:szCs w:val="21"/>
              </w:rPr>
            </w:pPr>
            <w:r>
              <w:rPr>
                <w:color w:val="000000"/>
                <w:kern w:val="0"/>
                <w:sz w:val="21"/>
                <w:szCs w:val="21"/>
                <w:lang w:bidi="ar"/>
              </w:rPr>
              <w:t>米</w:t>
            </w:r>
          </w:p>
        </w:tc>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textAlignment w:val="center"/>
              <w:rPr>
                <w:color w:val="000000"/>
                <w:sz w:val="21"/>
                <w:szCs w:val="21"/>
              </w:rPr>
            </w:pPr>
            <w:r>
              <w:rPr>
                <w:color w:val="000000"/>
                <w:kern w:val="0"/>
                <w:sz w:val="21"/>
                <w:szCs w:val="21"/>
                <w:lang w:bidi="ar"/>
              </w:rPr>
              <w:t>5、4</w:t>
            </w:r>
          </w:p>
        </w:tc>
        <w:tc>
          <w:tcPr>
            <w:tcW w:w="1236" w:type="dxa"/>
            <w:tcBorders>
              <w:top w:val="single" w:color="auto" w:sz="4" w:space="0"/>
              <w:left w:val="single" w:color="auto" w:sz="4" w:space="0"/>
              <w:bottom w:val="single" w:color="auto" w:sz="4" w:space="0"/>
              <w:right w:val="single" w:color="auto" w:sz="12" w:space="0"/>
            </w:tcBorders>
            <w:shd w:val="clear" w:color="auto" w:fill="FFFFFF"/>
            <w:vAlign w:val="center"/>
          </w:tcPr>
          <w:p>
            <w:pPr>
              <w:snapToGrid w:val="0"/>
              <w:rPr>
                <w:color w:val="000000"/>
                <w:sz w:val="21"/>
                <w:szCs w:val="21"/>
              </w:rPr>
            </w:pPr>
          </w:p>
        </w:tc>
      </w:tr>
      <w:tr>
        <w:tblPrEx>
          <w:tblLayout w:type="fixed"/>
          <w:tblCellMar>
            <w:top w:w="15" w:type="dxa"/>
            <w:left w:w="15" w:type="dxa"/>
            <w:bottom w:w="15" w:type="dxa"/>
            <w:right w:w="15" w:type="dxa"/>
          </w:tblCellMar>
        </w:tblPrEx>
        <w:trPr>
          <w:trHeight w:val="20" w:hRule="atLeast"/>
        </w:trPr>
        <w:tc>
          <w:tcPr>
            <w:tcW w:w="741" w:type="dxa"/>
            <w:vMerge w:val="continue"/>
            <w:tcBorders>
              <w:top w:val="single" w:color="auto" w:sz="4" w:space="0"/>
              <w:left w:val="single" w:color="auto" w:sz="12" w:space="0"/>
              <w:bottom w:val="single" w:color="auto" w:sz="4" w:space="0"/>
              <w:right w:val="single" w:color="auto" w:sz="4" w:space="0"/>
            </w:tcBorders>
            <w:shd w:val="clear" w:color="auto" w:fill="FFFFFF"/>
            <w:vAlign w:val="center"/>
          </w:tcPr>
          <w:p>
            <w:pPr>
              <w:snapToGrid w:val="0"/>
              <w:jc w:val="center"/>
              <w:rPr>
                <w:color w:val="000000"/>
                <w:sz w:val="21"/>
                <w:szCs w:val="21"/>
              </w:rPr>
            </w:pPr>
          </w:p>
        </w:tc>
        <w:tc>
          <w:tcPr>
            <w:tcW w:w="437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textAlignment w:val="center"/>
              <w:rPr>
                <w:color w:val="000000"/>
                <w:kern w:val="0"/>
                <w:sz w:val="21"/>
                <w:szCs w:val="21"/>
                <w:lang w:bidi="ar"/>
              </w:rPr>
            </w:pPr>
            <w:r>
              <w:rPr>
                <w:color w:val="000000"/>
                <w:kern w:val="0"/>
                <w:sz w:val="21"/>
                <w:szCs w:val="21"/>
                <w:lang w:bidi="ar"/>
              </w:rPr>
              <w:t>养殖和种植大棚（钢架类、竹木类）</w:t>
            </w:r>
          </w:p>
        </w:tc>
        <w:tc>
          <w:tcPr>
            <w:tcW w:w="11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textAlignment w:val="center"/>
              <w:rPr>
                <w:color w:val="000000"/>
                <w:sz w:val="21"/>
                <w:szCs w:val="21"/>
              </w:rPr>
            </w:pPr>
            <w:r>
              <w:rPr>
                <w:color w:val="000000"/>
                <w:kern w:val="0"/>
                <w:sz w:val="21"/>
                <w:szCs w:val="21"/>
                <w:lang w:bidi="ar"/>
              </w:rPr>
              <w:t>亩</w:t>
            </w:r>
          </w:p>
        </w:tc>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textAlignment w:val="center"/>
              <w:rPr>
                <w:color w:val="000000"/>
                <w:sz w:val="21"/>
                <w:szCs w:val="21"/>
              </w:rPr>
            </w:pPr>
            <w:r>
              <w:rPr>
                <w:color w:val="000000"/>
                <w:kern w:val="0"/>
                <w:sz w:val="21"/>
                <w:szCs w:val="21"/>
                <w:lang w:bidi="ar"/>
              </w:rPr>
              <w:t>5000、2600</w:t>
            </w:r>
          </w:p>
        </w:tc>
        <w:tc>
          <w:tcPr>
            <w:tcW w:w="1236" w:type="dxa"/>
            <w:tcBorders>
              <w:top w:val="single" w:color="auto" w:sz="4" w:space="0"/>
              <w:left w:val="single" w:color="auto" w:sz="4" w:space="0"/>
              <w:bottom w:val="single" w:color="auto" w:sz="4" w:space="0"/>
              <w:right w:val="single" w:color="auto" w:sz="12" w:space="0"/>
            </w:tcBorders>
            <w:shd w:val="clear" w:color="auto" w:fill="FFFFFF"/>
            <w:vAlign w:val="center"/>
          </w:tcPr>
          <w:p>
            <w:pPr>
              <w:snapToGrid w:val="0"/>
              <w:jc w:val="center"/>
              <w:rPr>
                <w:color w:val="000000"/>
                <w:sz w:val="21"/>
                <w:szCs w:val="21"/>
              </w:rPr>
            </w:pPr>
          </w:p>
        </w:tc>
      </w:tr>
      <w:tr>
        <w:tblPrEx>
          <w:tblLayout w:type="fixed"/>
          <w:tblCellMar>
            <w:top w:w="15" w:type="dxa"/>
            <w:left w:w="15" w:type="dxa"/>
            <w:bottom w:w="15" w:type="dxa"/>
            <w:right w:w="15" w:type="dxa"/>
          </w:tblCellMar>
        </w:tblPrEx>
        <w:trPr>
          <w:trHeight w:val="20" w:hRule="atLeast"/>
        </w:trPr>
        <w:tc>
          <w:tcPr>
            <w:tcW w:w="741" w:type="dxa"/>
            <w:vMerge w:val="continue"/>
            <w:tcBorders>
              <w:top w:val="single" w:color="auto" w:sz="4" w:space="0"/>
              <w:left w:val="single" w:color="auto" w:sz="12" w:space="0"/>
              <w:bottom w:val="single" w:color="auto" w:sz="4" w:space="0"/>
              <w:right w:val="single" w:color="auto" w:sz="4" w:space="0"/>
            </w:tcBorders>
            <w:shd w:val="clear" w:color="auto" w:fill="FFFFFF"/>
            <w:vAlign w:val="center"/>
          </w:tcPr>
          <w:p>
            <w:pPr>
              <w:snapToGrid w:val="0"/>
              <w:jc w:val="center"/>
              <w:rPr>
                <w:color w:val="000000"/>
                <w:sz w:val="21"/>
                <w:szCs w:val="21"/>
              </w:rPr>
            </w:pPr>
          </w:p>
        </w:tc>
        <w:tc>
          <w:tcPr>
            <w:tcW w:w="4377"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center"/>
              <w:rPr>
                <w:color w:val="000000"/>
                <w:sz w:val="21"/>
                <w:szCs w:val="21"/>
              </w:rPr>
            </w:pPr>
            <w:r>
              <w:rPr>
                <w:color w:val="000000"/>
                <w:kern w:val="0"/>
                <w:sz w:val="21"/>
                <w:szCs w:val="21"/>
                <w:lang w:bidi="ar"/>
              </w:rPr>
              <w:t>固定广告牌、宣传栏</w:t>
            </w:r>
            <w:r>
              <w:rPr>
                <w:rFonts w:hint="eastAsia"/>
                <w:color w:val="000000"/>
                <w:kern w:val="0"/>
                <w:sz w:val="21"/>
                <w:szCs w:val="21"/>
                <w:lang w:bidi="ar"/>
              </w:rPr>
              <w:t>等</w:t>
            </w:r>
            <w:r>
              <w:rPr>
                <w:color w:val="000000"/>
                <w:kern w:val="0"/>
                <w:sz w:val="21"/>
                <w:szCs w:val="21"/>
                <w:lang w:bidi="ar"/>
              </w:rPr>
              <w:t>（金属类、木</w:t>
            </w:r>
            <w:r>
              <w:rPr>
                <w:rFonts w:hint="eastAsia"/>
                <w:color w:val="000000"/>
                <w:kern w:val="0"/>
                <w:sz w:val="21"/>
                <w:szCs w:val="21"/>
                <w:lang w:bidi="ar"/>
              </w:rPr>
              <w:t>质</w:t>
            </w:r>
            <w:r>
              <w:rPr>
                <w:color w:val="000000"/>
                <w:kern w:val="0"/>
                <w:sz w:val="21"/>
                <w:szCs w:val="21"/>
                <w:lang w:bidi="ar"/>
              </w:rPr>
              <w:t>类）</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color w:val="000000"/>
                <w:sz w:val="21"/>
                <w:szCs w:val="21"/>
              </w:rPr>
            </w:pPr>
            <w:r>
              <w:rPr>
                <w:color w:val="000000"/>
                <w:kern w:val="0"/>
                <w:sz w:val="21"/>
                <w:szCs w:val="21"/>
                <w:lang w:bidi="ar"/>
              </w:rPr>
              <w:t>平方米</w:t>
            </w:r>
          </w:p>
        </w:tc>
        <w:tc>
          <w:tcPr>
            <w:tcW w:w="140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color w:val="000000"/>
                <w:sz w:val="21"/>
                <w:szCs w:val="21"/>
              </w:rPr>
            </w:pPr>
            <w:r>
              <w:rPr>
                <w:color w:val="000000"/>
                <w:kern w:val="0"/>
                <w:sz w:val="21"/>
                <w:szCs w:val="21"/>
                <w:lang w:bidi="ar"/>
              </w:rPr>
              <w:t>200、100</w:t>
            </w:r>
          </w:p>
        </w:tc>
        <w:tc>
          <w:tcPr>
            <w:tcW w:w="1236" w:type="dxa"/>
            <w:tcBorders>
              <w:top w:val="single" w:color="auto" w:sz="4" w:space="0"/>
              <w:left w:val="single" w:color="auto" w:sz="4" w:space="0"/>
              <w:bottom w:val="single" w:color="auto" w:sz="4" w:space="0"/>
              <w:right w:val="single" w:color="auto" w:sz="12" w:space="0"/>
            </w:tcBorders>
            <w:vAlign w:val="center"/>
          </w:tcPr>
          <w:p>
            <w:pPr>
              <w:snapToGrid w:val="0"/>
              <w:jc w:val="center"/>
              <w:textAlignment w:val="center"/>
              <w:rPr>
                <w:color w:val="000000"/>
                <w:sz w:val="21"/>
                <w:szCs w:val="21"/>
              </w:rPr>
            </w:pPr>
          </w:p>
        </w:tc>
      </w:tr>
      <w:tr>
        <w:tblPrEx>
          <w:tblLayout w:type="fixed"/>
          <w:tblCellMar>
            <w:top w:w="15" w:type="dxa"/>
            <w:left w:w="15" w:type="dxa"/>
            <w:bottom w:w="15" w:type="dxa"/>
            <w:right w:w="15" w:type="dxa"/>
          </w:tblCellMar>
        </w:tblPrEx>
        <w:trPr>
          <w:trHeight w:val="20" w:hRule="atLeast"/>
        </w:trPr>
        <w:tc>
          <w:tcPr>
            <w:tcW w:w="741" w:type="dxa"/>
            <w:vMerge w:val="continue"/>
            <w:tcBorders>
              <w:top w:val="single" w:color="auto" w:sz="4" w:space="0"/>
              <w:left w:val="single" w:color="auto" w:sz="12" w:space="0"/>
              <w:bottom w:val="single" w:color="auto" w:sz="4" w:space="0"/>
              <w:right w:val="single" w:color="auto" w:sz="4" w:space="0"/>
            </w:tcBorders>
            <w:shd w:val="clear" w:color="auto" w:fill="FFFFFF"/>
            <w:vAlign w:val="center"/>
          </w:tcPr>
          <w:p>
            <w:pPr>
              <w:snapToGrid w:val="0"/>
              <w:jc w:val="center"/>
              <w:rPr>
                <w:color w:val="000000"/>
                <w:sz w:val="21"/>
                <w:szCs w:val="21"/>
              </w:rPr>
            </w:pPr>
          </w:p>
        </w:tc>
        <w:tc>
          <w:tcPr>
            <w:tcW w:w="4377"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center"/>
              <w:rPr>
                <w:color w:val="000000"/>
                <w:sz w:val="21"/>
                <w:szCs w:val="21"/>
              </w:rPr>
            </w:pPr>
            <w:r>
              <w:rPr>
                <w:color w:val="000000"/>
                <w:kern w:val="0"/>
                <w:sz w:val="21"/>
                <w:szCs w:val="21"/>
                <w:lang w:bidi="ar"/>
              </w:rPr>
              <w:t>独立式路灯</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color w:val="000000"/>
                <w:sz w:val="21"/>
                <w:szCs w:val="21"/>
              </w:rPr>
            </w:pPr>
            <w:r>
              <w:rPr>
                <w:color w:val="000000"/>
                <w:kern w:val="0"/>
                <w:sz w:val="21"/>
                <w:szCs w:val="21"/>
                <w:lang w:bidi="ar"/>
              </w:rPr>
              <w:t>套</w:t>
            </w:r>
          </w:p>
        </w:tc>
        <w:tc>
          <w:tcPr>
            <w:tcW w:w="140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color w:val="000000"/>
                <w:sz w:val="21"/>
                <w:szCs w:val="21"/>
              </w:rPr>
            </w:pPr>
            <w:r>
              <w:rPr>
                <w:color w:val="000000"/>
                <w:kern w:val="0"/>
                <w:sz w:val="21"/>
                <w:szCs w:val="21"/>
                <w:lang w:bidi="ar"/>
              </w:rPr>
              <w:t>300</w:t>
            </w:r>
          </w:p>
        </w:tc>
        <w:tc>
          <w:tcPr>
            <w:tcW w:w="1236" w:type="dxa"/>
            <w:tcBorders>
              <w:top w:val="single" w:color="auto" w:sz="4" w:space="0"/>
              <w:left w:val="single" w:color="auto" w:sz="4" w:space="0"/>
              <w:bottom w:val="single" w:color="auto" w:sz="4" w:space="0"/>
              <w:right w:val="single" w:color="auto" w:sz="12" w:space="0"/>
            </w:tcBorders>
            <w:vAlign w:val="center"/>
          </w:tcPr>
          <w:p>
            <w:pPr>
              <w:snapToGrid w:val="0"/>
              <w:jc w:val="center"/>
              <w:rPr>
                <w:color w:val="000000"/>
                <w:sz w:val="21"/>
                <w:szCs w:val="21"/>
              </w:rPr>
            </w:pPr>
          </w:p>
        </w:tc>
      </w:tr>
      <w:tr>
        <w:tblPrEx>
          <w:tblLayout w:type="fixed"/>
          <w:tblCellMar>
            <w:top w:w="15" w:type="dxa"/>
            <w:left w:w="15" w:type="dxa"/>
            <w:bottom w:w="15" w:type="dxa"/>
            <w:right w:w="15" w:type="dxa"/>
          </w:tblCellMar>
        </w:tblPrEx>
        <w:trPr>
          <w:trHeight w:val="20" w:hRule="atLeast"/>
        </w:trPr>
        <w:tc>
          <w:tcPr>
            <w:tcW w:w="741" w:type="dxa"/>
            <w:vMerge w:val="continue"/>
            <w:tcBorders>
              <w:top w:val="single" w:color="auto" w:sz="4" w:space="0"/>
              <w:left w:val="single" w:color="auto" w:sz="12" w:space="0"/>
              <w:bottom w:val="single" w:color="auto" w:sz="4" w:space="0"/>
              <w:right w:val="single" w:color="auto" w:sz="4" w:space="0"/>
            </w:tcBorders>
            <w:shd w:val="clear" w:color="auto" w:fill="FFFFFF"/>
            <w:vAlign w:val="center"/>
          </w:tcPr>
          <w:p>
            <w:pPr>
              <w:snapToGrid w:val="0"/>
              <w:jc w:val="center"/>
              <w:rPr>
                <w:color w:val="000000"/>
                <w:sz w:val="21"/>
                <w:szCs w:val="21"/>
              </w:rPr>
            </w:pPr>
          </w:p>
        </w:tc>
        <w:tc>
          <w:tcPr>
            <w:tcW w:w="4377"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center"/>
              <w:rPr>
                <w:color w:val="000000"/>
                <w:sz w:val="21"/>
                <w:szCs w:val="21"/>
              </w:rPr>
            </w:pPr>
            <w:r>
              <w:rPr>
                <w:color w:val="000000"/>
                <w:kern w:val="0"/>
                <w:sz w:val="21"/>
                <w:szCs w:val="21"/>
                <w:lang w:bidi="ar"/>
              </w:rPr>
              <w:t>摄像头</w:t>
            </w:r>
            <w:r>
              <w:rPr>
                <w:rFonts w:hint="eastAsia"/>
                <w:color w:val="000000"/>
                <w:kern w:val="0"/>
                <w:sz w:val="21"/>
                <w:szCs w:val="21"/>
                <w:lang w:bidi="ar"/>
              </w:rPr>
              <w:t>拆装费</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color w:val="000000"/>
                <w:sz w:val="21"/>
                <w:szCs w:val="21"/>
              </w:rPr>
            </w:pPr>
            <w:r>
              <w:rPr>
                <w:color w:val="000000"/>
                <w:kern w:val="0"/>
                <w:sz w:val="21"/>
                <w:szCs w:val="21"/>
                <w:lang w:bidi="ar"/>
              </w:rPr>
              <w:t>个</w:t>
            </w:r>
          </w:p>
        </w:tc>
        <w:tc>
          <w:tcPr>
            <w:tcW w:w="140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color w:val="000000"/>
                <w:sz w:val="21"/>
                <w:szCs w:val="21"/>
              </w:rPr>
            </w:pPr>
            <w:r>
              <w:rPr>
                <w:color w:val="000000"/>
                <w:kern w:val="0"/>
                <w:sz w:val="21"/>
                <w:szCs w:val="21"/>
                <w:lang w:bidi="ar"/>
              </w:rPr>
              <w:t>150</w:t>
            </w:r>
          </w:p>
        </w:tc>
        <w:tc>
          <w:tcPr>
            <w:tcW w:w="1236" w:type="dxa"/>
            <w:tcBorders>
              <w:top w:val="single" w:color="auto" w:sz="4" w:space="0"/>
              <w:left w:val="single" w:color="auto" w:sz="4" w:space="0"/>
              <w:bottom w:val="single" w:color="auto" w:sz="4" w:space="0"/>
              <w:right w:val="single" w:color="auto" w:sz="12" w:space="0"/>
            </w:tcBorders>
            <w:vAlign w:val="center"/>
          </w:tcPr>
          <w:p>
            <w:pPr>
              <w:snapToGrid w:val="0"/>
              <w:jc w:val="center"/>
              <w:rPr>
                <w:color w:val="000000"/>
                <w:sz w:val="21"/>
                <w:szCs w:val="21"/>
              </w:rPr>
            </w:pPr>
          </w:p>
        </w:tc>
      </w:tr>
      <w:tr>
        <w:tblPrEx>
          <w:tblLayout w:type="fixed"/>
          <w:tblCellMar>
            <w:top w:w="15" w:type="dxa"/>
            <w:left w:w="15" w:type="dxa"/>
            <w:bottom w:w="15" w:type="dxa"/>
            <w:right w:w="15" w:type="dxa"/>
          </w:tblCellMar>
        </w:tblPrEx>
        <w:trPr>
          <w:trHeight w:val="20" w:hRule="atLeast"/>
        </w:trPr>
        <w:tc>
          <w:tcPr>
            <w:tcW w:w="741" w:type="dxa"/>
            <w:vMerge w:val="continue"/>
            <w:tcBorders>
              <w:top w:val="single" w:color="auto" w:sz="4" w:space="0"/>
              <w:left w:val="single" w:color="auto" w:sz="12" w:space="0"/>
              <w:bottom w:val="single" w:color="auto" w:sz="4" w:space="0"/>
              <w:right w:val="single" w:color="auto" w:sz="4" w:space="0"/>
            </w:tcBorders>
            <w:shd w:val="clear" w:color="auto" w:fill="FFFFFF"/>
            <w:vAlign w:val="center"/>
          </w:tcPr>
          <w:p>
            <w:pPr>
              <w:snapToGrid w:val="0"/>
              <w:jc w:val="center"/>
              <w:rPr>
                <w:color w:val="000000"/>
                <w:sz w:val="21"/>
                <w:szCs w:val="21"/>
              </w:rPr>
            </w:pPr>
          </w:p>
        </w:tc>
        <w:tc>
          <w:tcPr>
            <w:tcW w:w="4377"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center"/>
              <w:rPr>
                <w:color w:val="000000"/>
                <w:sz w:val="21"/>
                <w:szCs w:val="21"/>
              </w:rPr>
            </w:pPr>
            <w:r>
              <w:rPr>
                <w:color w:val="000000"/>
                <w:kern w:val="0"/>
                <w:sz w:val="21"/>
                <w:szCs w:val="21"/>
                <w:lang w:bidi="ar"/>
              </w:rPr>
              <w:t>普通加压泵</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color w:val="000000"/>
                <w:sz w:val="21"/>
                <w:szCs w:val="21"/>
              </w:rPr>
            </w:pPr>
            <w:r>
              <w:rPr>
                <w:color w:val="000000"/>
                <w:kern w:val="0"/>
                <w:sz w:val="21"/>
                <w:szCs w:val="21"/>
                <w:lang w:bidi="ar"/>
              </w:rPr>
              <w:t>个</w:t>
            </w:r>
          </w:p>
        </w:tc>
        <w:tc>
          <w:tcPr>
            <w:tcW w:w="140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color w:val="000000"/>
                <w:sz w:val="21"/>
                <w:szCs w:val="21"/>
              </w:rPr>
            </w:pPr>
            <w:r>
              <w:rPr>
                <w:color w:val="000000"/>
                <w:kern w:val="0"/>
                <w:sz w:val="21"/>
                <w:szCs w:val="21"/>
                <w:lang w:bidi="ar"/>
              </w:rPr>
              <w:t>100</w:t>
            </w:r>
          </w:p>
        </w:tc>
        <w:tc>
          <w:tcPr>
            <w:tcW w:w="1236" w:type="dxa"/>
            <w:tcBorders>
              <w:top w:val="single" w:color="auto" w:sz="4" w:space="0"/>
              <w:left w:val="single" w:color="auto" w:sz="4" w:space="0"/>
              <w:bottom w:val="single" w:color="auto" w:sz="4" w:space="0"/>
              <w:right w:val="single" w:color="auto" w:sz="12" w:space="0"/>
            </w:tcBorders>
            <w:vAlign w:val="center"/>
          </w:tcPr>
          <w:p>
            <w:pPr>
              <w:snapToGrid w:val="0"/>
              <w:jc w:val="center"/>
              <w:rPr>
                <w:color w:val="000000"/>
                <w:sz w:val="21"/>
                <w:szCs w:val="21"/>
              </w:rPr>
            </w:pPr>
          </w:p>
        </w:tc>
      </w:tr>
      <w:tr>
        <w:tblPrEx>
          <w:tblLayout w:type="fixed"/>
          <w:tblCellMar>
            <w:top w:w="15" w:type="dxa"/>
            <w:left w:w="15" w:type="dxa"/>
            <w:bottom w:w="15" w:type="dxa"/>
            <w:right w:w="15" w:type="dxa"/>
          </w:tblCellMar>
        </w:tblPrEx>
        <w:trPr>
          <w:trHeight w:val="20" w:hRule="atLeast"/>
        </w:trPr>
        <w:tc>
          <w:tcPr>
            <w:tcW w:w="741" w:type="dxa"/>
            <w:vMerge w:val="continue"/>
            <w:tcBorders>
              <w:top w:val="single" w:color="auto" w:sz="4" w:space="0"/>
              <w:left w:val="single" w:color="auto" w:sz="12" w:space="0"/>
              <w:bottom w:val="single" w:color="auto" w:sz="4" w:space="0"/>
              <w:right w:val="single" w:color="auto" w:sz="4" w:space="0"/>
            </w:tcBorders>
            <w:shd w:val="clear" w:color="auto" w:fill="FFFFFF"/>
            <w:vAlign w:val="center"/>
          </w:tcPr>
          <w:p>
            <w:pPr>
              <w:snapToGrid w:val="0"/>
              <w:jc w:val="center"/>
              <w:rPr>
                <w:color w:val="000000"/>
                <w:sz w:val="21"/>
                <w:szCs w:val="21"/>
              </w:rPr>
            </w:pPr>
          </w:p>
        </w:tc>
        <w:tc>
          <w:tcPr>
            <w:tcW w:w="4377"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center"/>
              <w:rPr>
                <w:color w:val="000000"/>
                <w:sz w:val="21"/>
                <w:szCs w:val="21"/>
              </w:rPr>
            </w:pPr>
            <w:r>
              <w:rPr>
                <w:color w:val="000000"/>
                <w:kern w:val="0"/>
                <w:sz w:val="21"/>
                <w:szCs w:val="21"/>
                <w:lang w:bidi="ar"/>
              </w:rPr>
              <w:t>电子显示屏</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color w:val="000000"/>
                <w:sz w:val="21"/>
                <w:szCs w:val="21"/>
              </w:rPr>
            </w:pPr>
            <w:r>
              <w:rPr>
                <w:color w:val="000000"/>
                <w:kern w:val="0"/>
                <w:sz w:val="21"/>
                <w:szCs w:val="21"/>
                <w:lang w:bidi="ar"/>
              </w:rPr>
              <w:t>平方米</w:t>
            </w:r>
          </w:p>
        </w:tc>
        <w:tc>
          <w:tcPr>
            <w:tcW w:w="140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color w:val="000000"/>
                <w:sz w:val="21"/>
                <w:szCs w:val="21"/>
              </w:rPr>
            </w:pPr>
            <w:r>
              <w:rPr>
                <w:color w:val="000000"/>
                <w:kern w:val="0"/>
                <w:sz w:val="21"/>
                <w:szCs w:val="21"/>
                <w:lang w:bidi="ar"/>
              </w:rPr>
              <w:t>500</w:t>
            </w:r>
          </w:p>
        </w:tc>
        <w:tc>
          <w:tcPr>
            <w:tcW w:w="1236" w:type="dxa"/>
            <w:tcBorders>
              <w:top w:val="single" w:color="auto" w:sz="4" w:space="0"/>
              <w:left w:val="single" w:color="auto" w:sz="4" w:space="0"/>
              <w:bottom w:val="single" w:color="auto" w:sz="4" w:space="0"/>
              <w:right w:val="single" w:color="auto" w:sz="12" w:space="0"/>
            </w:tcBorders>
            <w:vAlign w:val="center"/>
          </w:tcPr>
          <w:p>
            <w:pPr>
              <w:snapToGrid w:val="0"/>
              <w:jc w:val="center"/>
              <w:rPr>
                <w:color w:val="000000"/>
                <w:sz w:val="21"/>
                <w:szCs w:val="21"/>
              </w:rPr>
            </w:pPr>
          </w:p>
        </w:tc>
      </w:tr>
      <w:tr>
        <w:tblPrEx>
          <w:tblLayout w:type="fixed"/>
          <w:tblCellMar>
            <w:top w:w="15" w:type="dxa"/>
            <w:left w:w="15" w:type="dxa"/>
            <w:bottom w:w="15" w:type="dxa"/>
            <w:right w:w="15" w:type="dxa"/>
          </w:tblCellMar>
        </w:tblPrEx>
        <w:trPr>
          <w:trHeight w:val="20" w:hRule="atLeast"/>
        </w:trPr>
        <w:tc>
          <w:tcPr>
            <w:tcW w:w="741" w:type="dxa"/>
            <w:vMerge w:val="continue"/>
            <w:tcBorders>
              <w:top w:val="single" w:color="auto" w:sz="4" w:space="0"/>
              <w:left w:val="single" w:color="auto" w:sz="12" w:space="0"/>
              <w:bottom w:val="single" w:color="auto" w:sz="4" w:space="0"/>
              <w:right w:val="single" w:color="auto" w:sz="4" w:space="0"/>
            </w:tcBorders>
            <w:shd w:val="clear" w:color="auto" w:fill="FFFFFF"/>
            <w:vAlign w:val="center"/>
          </w:tcPr>
          <w:p>
            <w:pPr>
              <w:snapToGrid w:val="0"/>
              <w:jc w:val="center"/>
              <w:rPr>
                <w:color w:val="000000"/>
                <w:sz w:val="21"/>
                <w:szCs w:val="21"/>
              </w:rPr>
            </w:pPr>
          </w:p>
        </w:tc>
        <w:tc>
          <w:tcPr>
            <w:tcW w:w="4377"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center"/>
              <w:rPr>
                <w:color w:val="000000"/>
                <w:sz w:val="21"/>
                <w:szCs w:val="21"/>
              </w:rPr>
            </w:pPr>
            <w:r>
              <w:rPr>
                <w:color w:val="000000"/>
                <w:kern w:val="0"/>
                <w:sz w:val="21"/>
                <w:szCs w:val="21"/>
                <w:lang w:bidi="ar"/>
              </w:rPr>
              <w:t>专业冻库</w:t>
            </w:r>
            <w:r>
              <w:rPr>
                <w:rFonts w:hint="eastAsia"/>
                <w:color w:val="000000"/>
                <w:kern w:val="0"/>
                <w:sz w:val="21"/>
                <w:szCs w:val="21"/>
                <w:lang w:bidi="ar"/>
              </w:rPr>
              <w:t>冷冻类（体积300立方米及以下、300至600立方米、600立方米及以上）</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color w:val="000000"/>
                <w:sz w:val="21"/>
                <w:szCs w:val="21"/>
              </w:rPr>
            </w:pPr>
            <w:r>
              <w:rPr>
                <w:color w:val="000000"/>
                <w:kern w:val="0"/>
                <w:sz w:val="21"/>
                <w:szCs w:val="21"/>
                <w:lang w:bidi="ar"/>
              </w:rPr>
              <w:t>立方米</w:t>
            </w:r>
          </w:p>
        </w:tc>
        <w:tc>
          <w:tcPr>
            <w:tcW w:w="140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color w:val="000000"/>
                <w:sz w:val="21"/>
                <w:szCs w:val="21"/>
              </w:rPr>
            </w:pPr>
            <w:r>
              <w:rPr>
                <w:rFonts w:hint="eastAsia"/>
                <w:color w:val="000000"/>
                <w:kern w:val="0"/>
                <w:sz w:val="21"/>
                <w:szCs w:val="21"/>
                <w:lang w:bidi="ar"/>
              </w:rPr>
              <w:t>680、580、480</w:t>
            </w:r>
          </w:p>
        </w:tc>
        <w:tc>
          <w:tcPr>
            <w:tcW w:w="1236" w:type="dxa"/>
            <w:tcBorders>
              <w:top w:val="single" w:color="auto" w:sz="4" w:space="0"/>
              <w:left w:val="single" w:color="auto" w:sz="4" w:space="0"/>
              <w:bottom w:val="single" w:color="auto" w:sz="4" w:space="0"/>
              <w:right w:val="single" w:color="auto" w:sz="12" w:space="0"/>
            </w:tcBorders>
            <w:vAlign w:val="center"/>
          </w:tcPr>
          <w:p>
            <w:pPr>
              <w:snapToGrid w:val="0"/>
              <w:jc w:val="center"/>
              <w:textAlignment w:val="center"/>
              <w:rPr>
                <w:color w:val="000000"/>
                <w:sz w:val="21"/>
                <w:szCs w:val="21"/>
              </w:rPr>
            </w:pPr>
          </w:p>
        </w:tc>
      </w:tr>
      <w:tr>
        <w:tblPrEx>
          <w:tblLayout w:type="fixed"/>
          <w:tblCellMar>
            <w:top w:w="15" w:type="dxa"/>
            <w:left w:w="15" w:type="dxa"/>
            <w:bottom w:w="15" w:type="dxa"/>
            <w:right w:w="15" w:type="dxa"/>
          </w:tblCellMar>
        </w:tblPrEx>
        <w:trPr>
          <w:trHeight w:val="20" w:hRule="atLeast"/>
        </w:trPr>
        <w:tc>
          <w:tcPr>
            <w:tcW w:w="741" w:type="dxa"/>
            <w:vMerge w:val="continue"/>
            <w:tcBorders>
              <w:top w:val="single" w:color="auto" w:sz="4" w:space="0"/>
              <w:left w:val="single" w:color="auto" w:sz="12" w:space="0"/>
              <w:bottom w:val="single" w:color="auto" w:sz="4" w:space="0"/>
              <w:right w:val="single" w:color="auto" w:sz="4" w:space="0"/>
            </w:tcBorders>
            <w:shd w:val="clear" w:color="auto" w:fill="FFFFFF"/>
            <w:vAlign w:val="center"/>
          </w:tcPr>
          <w:p>
            <w:pPr>
              <w:snapToGrid w:val="0"/>
              <w:jc w:val="center"/>
              <w:rPr>
                <w:color w:val="000000"/>
                <w:sz w:val="21"/>
                <w:szCs w:val="21"/>
              </w:rPr>
            </w:pPr>
          </w:p>
        </w:tc>
        <w:tc>
          <w:tcPr>
            <w:tcW w:w="4377"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center"/>
              <w:rPr>
                <w:rFonts w:hint="eastAsia"/>
                <w:color w:val="000000"/>
                <w:sz w:val="21"/>
                <w:szCs w:val="21"/>
              </w:rPr>
            </w:pPr>
            <w:r>
              <w:rPr>
                <w:rFonts w:hint="eastAsia"/>
                <w:color w:val="000000"/>
                <w:sz w:val="21"/>
                <w:szCs w:val="21"/>
              </w:rPr>
              <w:t>专业冻库保鲜类</w:t>
            </w:r>
            <w:r>
              <w:rPr>
                <w:rFonts w:hint="eastAsia"/>
                <w:color w:val="000000"/>
                <w:kern w:val="0"/>
                <w:sz w:val="21"/>
                <w:szCs w:val="21"/>
                <w:lang w:bidi="ar"/>
              </w:rPr>
              <w:t>（体积300立方米及以下、300至600立方米、600立方米及以上）</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color w:val="000000"/>
                <w:sz w:val="21"/>
                <w:szCs w:val="21"/>
              </w:rPr>
            </w:pPr>
            <w:r>
              <w:rPr>
                <w:color w:val="000000"/>
                <w:kern w:val="0"/>
                <w:sz w:val="21"/>
                <w:szCs w:val="21"/>
                <w:lang w:bidi="ar"/>
              </w:rPr>
              <w:t>平方米</w:t>
            </w:r>
          </w:p>
        </w:tc>
        <w:tc>
          <w:tcPr>
            <w:tcW w:w="140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color w:val="000000"/>
                <w:sz w:val="21"/>
                <w:szCs w:val="21"/>
              </w:rPr>
            </w:pPr>
            <w:r>
              <w:rPr>
                <w:rFonts w:hint="eastAsia"/>
                <w:color w:val="000000"/>
                <w:kern w:val="0"/>
                <w:sz w:val="21"/>
                <w:szCs w:val="21"/>
                <w:lang w:bidi="ar"/>
              </w:rPr>
              <w:t>480、380、280</w:t>
            </w:r>
          </w:p>
        </w:tc>
        <w:tc>
          <w:tcPr>
            <w:tcW w:w="1236" w:type="dxa"/>
            <w:tcBorders>
              <w:top w:val="single" w:color="auto" w:sz="4" w:space="0"/>
              <w:left w:val="single" w:color="auto" w:sz="4" w:space="0"/>
              <w:bottom w:val="single" w:color="auto" w:sz="4" w:space="0"/>
              <w:right w:val="single" w:color="auto" w:sz="12" w:space="0"/>
            </w:tcBorders>
            <w:vAlign w:val="center"/>
          </w:tcPr>
          <w:p>
            <w:pPr>
              <w:snapToGrid w:val="0"/>
              <w:jc w:val="center"/>
              <w:rPr>
                <w:color w:val="000000"/>
                <w:sz w:val="21"/>
                <w:szCs w:val="21"/>
              </w:rPr>
            </w:pPr>
          </w:p>
        </w:tc>
      </w:tr>
      <w:tr>
        <w:tblPrEx>
          <w:tblLayout w:type="fixed"/>
          <w:tblCellMar>
            <w:top w:w="15" w:type="dxa"/>
            <w:left w:w="15" w:type="dxa"/>
            <w:bottom w:w="15" w:type="dxa"/>
            <w:right w:w="15" w:type="dxa"/>
          </w:tblCellMar>
        </w:tblPrEx>
        <w:trPr>
          <w:trHeight w:val="20" w:hRule="atLeast"/>
        </w:trPr>
        <w:tc>
          <w:tcPr>
            <w:tcW w:w="741" w:type="dxa"/>
            <w:vMerge w:val="continue"/>
            <w:tcBorders>
              <w:top w:val="single" w:color="auto" w:sz="4" w:space="0"/>
              <w:left w:val="single" w:color="auto" w:sz="12" w:space="0"/>
              <w:bottom w:val="single" w:color="auto" w:sz="4" w:space="0"/>
              <w:right w:val="single" w:color="auto" w:sz="4" w:space="0"/>
            </w:tcBorders>
            <w:shd w:val="clear" w:color="auto" w:fill="FFFFFF"/>
            <w:vAlign w:val="center"/>
          </w:tcPr>
          <w:p>
            <w:pPr>
              <w:snapToGrid w:val="0"/>
              <w:jc w:val="center"/>
              <w:rPr>
                <w:color w:val="000000"/>
                <w:sz w:val="21"/>
                <w:szCs w:val="21"/>
              </w:rPr>
            </w:pPr>
          </w:p>
        </w:tc>
        <w:tc>
          <w:tcPr>
            <w:tcW w:w="4377"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center"/>
              <w:rPr>
                <w:color w:val="000000"/>
                <w:sz w:val="21"/>
                <w:szCs w:val="21"/>
              </w:rPr>
            </w:pPr>
            <w:r>
              <w:rPr>
                <w:color w:val="000000"/>
                <w:kern w:val="0"/>
                <w:sz w:val="21"/>
                <w:szCs w:val="21"/>
                <w:lang w:bidi="ar"/>
              </w:rPr>
              <w:t>变压器</w:t>
            </w:r>
            <w:r>
              <w:rPr>
                <w:rFonts w:hint="eastAsia"/>
                <w:color w:val="000000"/>
                <w:kern w:val="0"/>
                <w:sz w:val="21"/>
                <w:szCs w:val="21"/>
                <w:lang w:bidi="ar"/>
              </w:rPr>
              <w:t>拆装费</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color w:val="000000"/>
                <w:sz w:val="21"/>
                <w:szCs w:val="21"/>
              </w:rPr>
            </w:pPr>
            <w:r>
              <w:rPr>
                <w:color w:val="000000"/>
                <w:kern w:val="0"/>
                <w:sz w:val="21"/>
                <w:szCs w:val="21"/>
                <w:lang w:bidi="ar"/>
              </w:rPr>
              <w:t>台</w:t>
            </w:r>
          </w:p>
        </w:tc>
        <w:tc>
          <w:tcPr>
            <w:tcW w:w="140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color w:val="000000"/>
                <w:sz w:val="21"/>
                <w:szCs w:val="21"/>
              </w:rPr>
            </w:pPr>
            <w:r>
              <w:rPr>
                <w:color w:val="000000"/>
                <w:kern w:val="0"/>
                <w:sz w:val="21"/>
                <w:szCs w:val="21"/>
                <w:lang w:bidi="ar"/>
              </w:rPr>
              <w:t>6000</w:t>
            </w:r>
          </w:p>
        </w:tc>
        <w:tc>
          <w:tcPr>
            <w:tcW w:w="1236" w:type="dxa"/>
            <w:tcBorders>
              <w:top w:val="single" w:color="auto" w:sz="4" w:space="0"/>
              <w:left w:val="single" w:color="auto" w:sz="4" w:space="0"/>
              <w:bottom w:val="single" w:color="auto" w:sz="4" w:space="0"/>
              <w:right w:val="single" w:color="auto" w:sz="12" w:space="0"/>
            </w:tcBorders>
            <w:vAlign w:val="center"/>
          </w:tcPr>
          <w:p>
            <w:pPr>
              <w:snapToGrid w:val="0"/>
              <w:jc w:val="center"/>
              <w:rPr>
                <w:color w:val="000000"/>
                <w:sz w:val="21"/>
                <w:szCs w:val="21"/>
              </w:rPr>
            </w:pPr>
          </w:p>
        </w:tc>
      </w:tr>
      <w:tr>
        <w:tblPrEx>
          <w:tblLayout w:type="fixed"/>
          <w:tblCellMar>
            <w:top w:w="15" w:type="dxa"/>
            <w:left w:w="15" w:type="dxa"/>
            <w:bottom w:w="15" w:type="dxa"/>
            <w:right w:w="15" w:type="dxa"/>
          </w:tblCellMar>
        </w:tblPrEx>
        <w:trPr>
          <w:trHeight w:val="20" w:hRule="atLeast"/>
        </w:trPr>
        <w:tc>
          <w:tcPr>
            <w:tcW w:w="741" w:type="dxa"/>
            <w:vMerge w:val="continue"/>
            <w:tcBorders>
              <w:top w:val="single" w:color="auto" w:sz="4" w:space="0"/>
              <w:left w:val="single" w:color="auto" w:sz="12" w:space="0"/>
              <w:bottom w:val="single" w:color="auto" w:sz="12" w:space="0"/>
              <w:right w:val="single" w:color="auto" w:sz="4" w:space="0"/>
            </w:tcBorders>
            <w:shd w:val="clear" w:color="auto" w:fill="FFFFFF"/>
            <w:vAlign w:val="center"/>
          </w:tcPr>
          <w:p>
            <w:pPr>
              <w:snapToGrid w:val="0"/>
              <w:jc w:val="center"/>
              <w:rPr>
                <w:color w:val="000000"/>
                <w:sz w:val="21"/>
                <w:szCs w:val="21"/>
              </w:rPr>
            </w:pPr>
          </w:p>
        </w:tc>
        <w:tc>
          <w:tcPr>
            <w:tcW w:w="4377" w:type="dxa"/>
            <w:tcBorders>
              <w:top w:val="single" w:color="auto" w:sz="4" w:space="0"/>
              <w:left w:val="single" w:color="auto" w:sz="4" w:space="0"/>
              <w:bottom w:val="single" w:color="auto" w:sz="12" w:space="0"/>
              <w:right w:val="single" w:color="auto" w:sz="4" w:space="0"/>
            </w:tcBorders>
            <w:vAlign w:val="center"/>
          </w:tcPr>
          <w:p>
            <w:pPr>
              <w:snapToGrid w:val="0"/>
              <w:jc w:val="left"/>
              <w:textAlignment w:val="center"/>
              <w:rPr>
                <w:color w:val="000000"/>
                <w:sz w:val="21"/>
                <w:szCs w:val="21"/>
              </w:rPr>
            </w:pPr>
            <w:r>
              <w:rPr>
                <w:color w:val="000000"/>
                <w:kern w:val="0"/>
                <w:sz w:val="21"/>
                <w:szCs w:val="21"/>
                <w:lang w:bidi="ar"/>
              </w:rPr>
              <w:t>室外</w:t>
            </w:r>
            <w:r>
              <w:rPr>
                <w:rFonts w:hint="eastAsia"/>
                <w:color w:val="000000"/>
                <w:kern w:val="0"/>
                <w:sz w:val="21"/>
                <w:szCs w:val="21"/>
                <w:lang w:bidi="ar"/>
              </w:rPr>
              <w:t>饮</w:t>
            </w:r>
            <w:r>
              <w:rPr>
                <w:color w:val="000000"/>
                <w:kern w:val="0"/>
                <w:sz w:val="21"/>
                <w:szCs w:val="21"/>
                <w:lang w:bidi="ar"/>
              </w:rPr>
              <w:t>水管：直径</w:t>
            </w:r>
            <w:r>
              <w:rPr>
                <w:rFonts w:hint="eastAsia"/>
                <w:color w:val="000000"/>
                <w:kern w:val="0"/>
                <w:sz w:val="21"/>
                <w:szCs w:val="21"/>
                <w:lang w:bidi="ar"/>
              </w:rPr>
              <w:t>20毫米及</w:t>
            </w:r>
            <w:r>
              <w:rPr>
                <w:color w:val="000000"/>
                <w:kern w:val="0"/>
                <w:sz w:val="21"/>
                <w:szCs w:val="21"/>
                <w:lang w:bidi="ar"/>
              </w:rPr>
              <w:t>以下、</w:t>
            </w:r>
            <w:r>
              <w:rPr>
                <w:rFonts w:hint="eastAsia"/>
                <w:color w:val="000000"/>
                <w:kern w:val="0"/>
                <w:sz w:val="21"/>
                <w:szCs w:val="21"/>
                <w:lang w:bidi="ar"/>
              </w:rPr>
              <w:t>2</w:t>
            </w:r>
            <w:r>
              <w:rPr>
                <w:color w:val="000000"/>
                <w:kern w:val="0"/>
                <w:sz w:val="21"/>
                <w:szCs w:val="21"/>
                <w:lang w:bidi="ar"/>
              </w:rPr>
              <w:t>0—</w:t>
            </w:r>
            <w:r>
              <w:rPr>
                <w:rFonts w:hint="eastAsia"/>
                <w:color w:val="000000"/>
                <w:kern w:val="0"/>
                <w:sz w:val="21"/>
                <w:szCs w:val="21"/>
                <w:lang w:bidi="ar"/>
              </w:rPr>
              <w:t>5</w:t>
            </w:r>
            <w:r>
              <w:rPr>
                <w:color w:val="000000"/>
                <w:kern w:val="0"/>
                <w:sz w:val="21"/>
                <w:szCs w:val="21"/>
                <w:lang w:bidi="ar"/>
              </w:rPr>
              <w:t>0</w:t>
            </w:r>
            <w:r>
              <w:rPr>
                <w:rFonts w:hint="eastAsia"/>
                <w:color w:val="000000"/>
                <w:kern w:val="0"/>
                <w:sz w:val="21"/>
                <w:szCs w:val="21"/>
                <w:lang w:bidi="ar"/>
              </w:rPr>
              <w:t>毫米</w:t>
            </w:r>
            <w:r>
              <w:rPr>
                <w:color w:val="000000"/>
                <w:kern w:val="0"/>
                <w:sz w:val="21"/>
                <w:szCs w:val="21"/>
                <w:lang w:bidi="ar"/>
              </w:rPr>
              <w:t>、</w:t>
            </w:r>
            <w:r>
              <w:rPr>
                <w:rFonts w:hint="eastAsia"/>
                <w:color w:val="000000"/>
                <w:kern w:val="0"/>
                <w:sz w:val="21"/>
                <w:szCs w:val="21"/>
                <w:lang w:bidi="ar"/>
              </w:rPr>
              <w:t>50毫</w:t>
            </w:r>
            <w:r>
              <w:rPr>
                <w:color w:val="000000"/>
                <w:kern w:val="0"/>
                <w:sz w:val="21"/>
                <w:szCs w:val="21"/>
                <w:lang w:bidi="ar"/>
              </w:rPr>
              <w:t>米及以上</w:t>
            </w:r>
          </w:p>
        </w:tc>
        <w:tc>
          <w:tcPr>
            <w:tcW w:w="1112" w:type="dxa"/>
            <w:tcBorders>
              <w:top w:val="single" w:color="auto" w:sz="4" w:space="0"/>
              <w:left w:val="single" w:color="auto" w:sz="4" w:space="0"/>
              <w:bottom w:val="single" w:color="auto" w:sz="12" w:space="0"/>
              <w:right w:val="single" w:color="auto" w:sz="4" w:space="0"/>
            </w:tcBorders>
            <w:vAlign w:val="center"/>
          </w:tcPr>
          <w:p>
            <w:pPr>
              <w:snapToGrid w:val="0"/>
              <w:jc w:val="center"/>
              <w:textAlignment w:val="center"/>
              <w:rPr>
                <w:color w:val="000000"/>
                <w:sz w:val="21"/>
                <w:szCs w:val="21"/>
              </w:rPr>
            </w:pPr>
            <w:r>
              <w:rPr>
                <w:color w:val="000000"/>
                <w:kern w:val="0"/>
                <w:sz w:val="21"/>
                <w:szCs w:val="21"/>
                <w:lang w:bidi="ar"/>
              </w:rPr>
              <w:t>米</w:t>
            </w:r>
          </w:p>
        </w:tc>
        <w:tc>
          <w:tcPr>
            <w:tcW w:w="1408" w:type="dxa"/>
            <w:tcBorders>
              <w:top w:val="single" w:color="auto" w:sz="4" w:space="0"/>
              <w:left w:val="single" w:color="auto" w:sz="4" w:space="0"/>
              <w:bottom w:val="single" w:color="auto" w:sz="12" w:space="0"/>
              <w:right w:val="single" w:color="auto" w:sz="4" w:space="0"/>
            </w:tcBorders>
            <w:vAlign w:val="center"/>
          </w:tcPr>
          <w:p>
            <w:pPr>
              <w:snapToGrid w:val="0"/>
              <w:jc w:val="center"/>
              <w:textAlignment w:val="center"/>
              <w:rPr>
                <w:color w:val="000000"/>
                <w:sz w:val="21"/>
                <w:szCs w:val="21"/>
              </w:rPr>
            </w:pPr>
            <w:r>
              <w:rPr>
                <w:color w:val="000000"/>
                <w:kern w:val="0"/>
                <w:sz w:val="21"/>
                <w:szCs w:val="21"/>
                <w:lang w:bidi="ar"/>
              </w:rPr>
              <w:t>6、1</w:t>
            </w:r>
            <w:r>
              <w:rPr>
                <w:rFonts w:hint="eastAsia"/>
                <w:color w:val="000000"/>
                <w:kern w:val="0"/>
                <w:sz w:val="21"/>
                <w:szCs w:val="21"/>
                <w:lang w:bidi="ar"/>
              </w:rPr>
              <w:t>0</w:t>
            </w:r>
            <w:r>
              <w:rPr>
                <w:color w:val="000000"/>
                <w:kern w:val="0"/>
                <w:sz w:val="21"/>
                <w:szCs w:val="21"/>
                <w:lang w:bidi="ar"/>
              </w:rPr>
              <w:t>、</w:t>
            </w:r>
            <w:r>
              <w:rPr>
                <w:rFonts w:hint="eastAsia"/>
                <w:color w:val="000000"/>
                <w:kern w:val="0"/>
                <w:sz w:val="21"/>
                <w:szCs w:val="21"/>
                <w:lang w:bidi="ar"/>
              </w:rPr>
              <w:t>20</w:t>
            </w:r>
          </w:p>
        </w:tc>
        <w:tc>
          <w:tcPr>
            <w:tcW w:w="1236" w:type="dxa"/>
            <w:tcBorders>
              <w:top w:val="single" w:color="auto" w:sz="4" w:space="0"/>
              <w:left w:val="single" w:color="auto" w:sz="4" w:space="0"/>
              <w:bottom w:val="single" w:color="auto" w:sz="12" w:space="0"/>
              <w:right w:val="single" w:color="auto" w:sz="12" w:space="0"/>
            </w:tcBorders>
            <w:vAlign w:val="center"/>
          </w:tcPr>
          <w:p>
            <w:pPr>
              <w:snapToGrid w:val="0"/>
              <w:jc w:val="center"/>
              <w:rPr>
                <w:color w:val="000000"/>
                <w:sz w:val="21"/>
                <w:szCs w:val="21"/>
              </w:rPr>
            </w:pPr>
          </w:p>
        </w:tc>
      </w:tr>
    </w:tbl>
    <w:p>
      <w:pPr>
        <w:spacing w:line="360" w:lineRule="exact"/>
        <w:rPr>
          <w:rFonts w:eastAsia="方正黑体_GBK"/>
          <w:color w:val="000000"/>
          <w:szCs w:val="32"/>
        </w:rPr>
      </w:pPr>
    </w:p>
    <w:p>
      <w:pPr>
        <w:spacing w:line="360" w:lineRule="exact"/>
        <w:rPr>
          <w:rFonts w:eastAsia="方正小标宋_GBK"/>
          <w:color w:val="000000"/>
          <w:sz w:val="44"/>
          <w:szCs w:val="44"/>
        </w:rPr>
      </w:pPr>
      <w:r>
        <w:rPr>
          <w:rFonts w:eastAsia="方正黑体_GBK"/>
          <w:color w:val="000000"/>
          <w:szCs w:val="32"/>
        </w:rPr>
        <w:br w:type="page"/>
      </w:r>
      <w:r>
        <w:rPr>
          <w:rFonts w:eastAsia="方正黑体_GBK"/>
          <w:color w:val="000000"/>
          <w:szCs w:val="32"/>
        </w:rPr>
        <w:t>附件5</w:t>
      </w:r>
    </w:p>
    <w:p>
      <w:pPr>
        <w:widowControl w:val="0"/>
        <w:snapToGrid w:val="0"/>
        <w:jc w:val="center"/>
        <w:rPr>
          <w:rFonts w:ascii="方正小标宋_GBK" w:eastAsia="方正小标宋_GBK"/>
          <w:sz w:val="36"/>
          <w:szCs w:val="36"/>
        </w:rPr>
      </w:pPr>
      <w:r>
        <w:rPr>
          <w:rFonts w:ascii="方正小标宋_GBK" w:eastAsia="方正小标宋_GBK"/>
          <w:sz w:val="36"/>
          <w:szCs w:val="36"/>
        </w:rPr>
        <w:t>秀山县规模化</w:t>
      </w:r>
      <w:r>
        <w:rPr>
          <w:rFonts w:hint="eastAsia" w:ascii="方正小标宋_GBK" w:eastAsia="方正小标宋_GBK"/>
          <w:sz w:val="36"/>
          <w:szCs w:val="36"/>
        </w:rPr>
        <w:t>专业</w:t>
      </w:r>
      <w:r>
        <w:rPr>
          <w:rFonts w:ascii="方正小标宋_GBK" w:eastAsia="方正小标宋_GBK"/>
          <w:sz w:val="36"/>
          <w:szCs w:val="36"/>
        </w:rPr>
        <w:t>种植养殖搬迁补助标准</w:t>
      </w:r>
    </w:p>
    <w:p>
      <w:pPr>
        <w:widowControl w:val="0"/>
        <w:snapToGrid w:val="0"/>
        <w:jc w:val="center"/>
        <w:rPr>
          <w:rFonts w:ascii="黑体" w:hAnsi="黑体" w:eastAsia="黑体"/>
          <w:szCs w:val="32"/>
        </w:rPr>
      </w:pPr>
      <w:r>
        <w:rPr>
          <w:rFonts w:ascii="黑体" w:hAnsi="黑体" w:eastAsia="黑体"/>
          <w:szCs w:val="32"/>
          <w:lang w:bidi="ar"/>
        </w:rPr>
        <w:t>（一）规模化</w:t>
      </w:r>
      <w:r>
        <w:rPr>
          <w:rFonts w:hint="eastAsia" w:ascii="黑体" w:hAnsi="黑体" w:eastAsia="黑体"/>
          <w:szCs w:val="32"/>
          <w:lang w:bidi="ar"/>
        </w:rPr>
        <w:t>专业</w:t>
      </w:r>
      <w:r>
        <w:rPr>
          <w:rFonts w:ascii="黑体" w:hAnsi="黑体" w:eastAsia="黑体"/>
          <w:szCs w:val="32"/>
          <w:lang w:bidi="ar"/>
        </w:rPr>
        <w:t>种植、规模化</w:t>
      </w:r>
      <w:r>
        <w:rPr>
          <w:rFonts w:hint="eastAsia" w:ascii="黑体" w:hAnsi="黑体" w:eastAsia="黑体"/>
          <w:szCs w:val="32"/>
          <w:lang w:bidi="ar"/>
        </w:rPr>
        <w:t>专业</w:t>
      </w:r>
      <w:r>
        <w:rPr>
          <w:rFonts w:ascii="黑体" w:hAnsi="黑体" w:eastAsia="黑体"/>
          <w:szCs w:val="32"/>
          <w:lang w:bidi="ar"/>
        </w:rPr>
        <w:t>水产养殖</w:t>
      </w:r>
    </w:p>
    <w:tbl>
      <w:tblPr>
        <w:tblStyle w:val="7"/>
        <w:tblW w:w="9167" w:type="dxa"/>
        <w:tblInd w:w="-11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
      <w:tblGrid>
        <w:gridCol w:w="1145"/>
        <w:gridCol w:w="4757"/>
        <w:gridCol w:w="915"/>
        <w:gridCol w:w="960"/>
        <w:gridCol w:w="1390"/>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Ex>
        <w:trPr>
          <w:trHeight w:val="20" w:hRule="atLeast"/>
        </w:trPr>
        <w:tc>
          <w:tcPr>
            <w:tcW w:w="1145" w:type="dxa"/>
            <w:shd w:val="clear" w:color="auto" w:fill="auto"/>
            <w:vAlign w:val="center"/>
          </w:tcPr>
          <w:p>
            <w:pPr>
              <w:snapToGrid w:val="0"/>
              <w:jc w:val="center"/>
              <w:textAlignment w:val="center"/>
              <w:rPr>
                <w:rFonts w:ascii="黑体" w:hAnsi="黑体" w:eastAsia="黑体"/>
                <w:bCs/>
                <w:color w:val="000000"/>
                <w:sz w:val="28"/>
                <w:szCs w:val="28"/>
              </w:rPr>
            </w:pPr>
            <w:r>
              <w:rPr>
                <w:rFonts w:ascii="黑体" w:hAnsi="黑体" w:eastAsia="黑体"/>
                <w:bCs/>
                <w:color w:val="000000"/>
                <w:kern w:val="0"/>
                <w:sz w:val="28"/>
                <w:szCs w:val="28"/>
                <w:lang w:bidi="ar"/>
              </w:rPr>
              <w:t>类别</w:t>
            </w:r>
          </w:p>
        </w:tc>
        <w:tc>
          <w:tcPr>
            <w:tcW w:w="4757" w:type="dxa"/>
            <w:shd w:val="clear" w:color="auto" w:fill="FFFFFF"/>
            <w:vAlign w:val="center"/>
          </w:tcPr>
          <w:p>
            <w:pPr>
              <w:snapToGrid w:val="0"/>
              <w:jc w:val="center"/>
              <w:textAlignment w:val="center"/>
              <w:rPr>
                <w:rFonts w:ascii="黑体" w:hAnsi="黑体" w:eastAsia="黑体"/>
                <w:bCs/>
                <w:color w:val="000000"/>
                <w:sz w:val="28"/>
                <w:szCs w:val="28"/>
              </w:rPr>
            </w:pPr>
            <w:r>
              <w:rPr>
                <w:rFonts w:ascii="黑体" w:hAnsi="黑体" w:eastAsia="黑体"/>
                <w:bCs/>
                <w:color w:val="000000"/>
                <w:kern w:val="0"/>
                <w:sz w:val="28"/>
                <w:szCs w:val="28"/>
                <w:lang w:bidi="ar"/>
              </w:rPr>
              <w:t>名称</w:t>
            </w:r>
          </w:p>
        </w:tc>
        <w:tc>
          <w:tcPr>
            <w:tcW w:w="915" w:type="dxa"/>
            <w:shd w:val="clear" w:color="auto" w:fill="FFFFFF"/>
            <w:vAlign w:val="center"/>
          </w:tcPr>
          <w:p>
            <w:pPr>
              <w:snapToGrid w:val="0"/>
              <w:jc w:val="center"/>
              <w:textAlignment w:val="center"/>
              <w:rPr>
                <w:rFonts w:ascii="黑体" w:hAnsi="黑体" w:eastAsia="黑体"/>
                <w:bCs/>
                <w:color w:val="000000"/>
                <w:sz w:val="28"/>
                <w:szCs w:val="28"/>
              </w:rPr>
            </w:pPr>
            <w:r>
              <w:rPr>
                <w:rFonts w:ascii="黑体" w:hAnsi="黑体" w:eastAsia="黑体"/>
                <w:bCs/>
                <w:color w:val="000000"/>
                <w:kern w:val="0"/>
                <w:sz w:val="28"/>
                <w:szCs w:val="28"/>
                <w:lang w:bidi="ar"/>
              </w:rPr>
              <w:t>单位</w:t>
            </w:r>
          </w:p>
        </w:tc>
        <w:tc>
          <w:tcPr>
            <w:tcW w:w="960" w:type="dxa"/>
            <w:shd w:val="clear" w:color="auto" w:fill="FFFFFF"/>
            <w:vAlign w:val="center"/>
          </w:tcPr>
          <w:p>
            <w:pPr>
              <w:snapToGrid w:val="0"/>
              <w:jc w:val="center"/>
              <w:textAlignment w:val="center"/>
              <w:rPr>
                <w:rFonts w:ascii="黑体" w:hAnsi="黑体" w:eastAsia="黑体"/>
                <w:bCs/>
                <w:color w:val="000000"/>
                <w:sz w:val="28"/>
                <w:szCs w:val="28"/>
              </w:rPr>
            </w:pPr>
            <w:r>
              <w:rPr>
                <w:rFonts w:ascii="黑体" w:hAnsi="黑体" w:eastAsia="黑体"/>
                <w:bCs/>
                <w:color w:val="000000"/>
                <w:kern w:val="0"/>
                <w:sz w:val="28"/>
                <w:szCs w:val="28"/>
                <w:lang w:bidi="ar"/>
              </w:rPr>
              <w:t>标准（元）</w:t>
            </w:r>
          </w:p>
        </w:tc>
        <w:tc>
          <w:tcPr>
            <w:tcW w:w="1390" w:type="dxa"/>
            <w:vAlign w:val="center"/>
          </w:tcPr>
          <w:p>
            <w:pPr>
              <w:snapToGrid w:val="0"/>
              <w:jc w:val="center"/>
              <w:textAlignment w:val="center"/>
              <w:rPr>
                <w:rFonts w:ascii="黑体" w:hAnsi="黑体" w:eastAsia="黑体"/>
                <w:bCs/>
                <w:color w:val="000000"/>
                <w:sz w:val="28"/>
                <w:szCs w:val="28"/>
              </w:rPr>
            </w:pPr>
            <w:r>
              <w:rPr>
                <w:rFonts w:ascii="黑体" w:hAnsi="黑体" w:eastAsia="黑体"/>
                <w:bCs/>
                <w:color w:val="000000"/>
                <w:kern w:val="0"/>
                <w:sz w:val="28"/>
                <w:szCs w:val="28"/>
                <w:lang w:bidi="ar"/>
              </w:rPr>
              <w:t>备注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Ex>
        <w:trPr>
          <w:trHeight w:val="20" w:hRule="atLeast"/>
        </w:trPr>
        <w:tc>
          <w:tcPr>
            <w:tcW w:w="1145" w:type="dxa"/>
            <w:vAlign w:val="center"/>
          </w:tcPr>
          <w:p>
            <w:pPr>
              <w:snapToGrid w:val="0"/>
              <w:jc w:val="center"/>
              <w:textAlignment w:val="center"/>
              <w:rPr>
                <w:color w:val="000000"/>
                <w:kern w:val="0"/>
                <w:sz w:val="28"/>
                <w:szCs w:val="28"/>
                <w:lang w:bidi="ar"/>
              </w:rPr>
            </w:pPr>
            <w:r>
              <w:rPr>
                <w:color w:val="000000"/>
                <w:kern w:val="0"/>
                <w:sz w:val="28"/>
                <w:szCs w:val="28"/>
                <w:lang w:bidi="ar"/>
              </w:rPr>
              <w:t>药物类</w:t>
            </w:r>
          </w:p>
        </w:tc>
        <w:tc>
          <w:tcPr>
            <w:tcW w:w="4757" w:type="dxa"/>
            <w:vAlign w:val="center"/>
          </w:tcPr>
          <w:p>
            <w:pPr>
              <w:snapToGrid w:val="0"/>
              <w:jc w:val="left"/>
              <w:textAlignment w:val="center"/>
              <w:rPr>
                <w:color w:val="000000"/>
                <w:kern w:val="0"/>
                <w:sz w:val="28"/>
                <w:szCs w:val="28"/>
                <w:lang w:bidi="ar"/>
              </w:rPr>
            </w:pPr>
            <w:r>
              <w:rPr>
                <w:color w:val="000000"/>
                <w:kern w:val="0"/>
                <w:sz w:val="28"/>
                <w:szCs w:val="28"/>
                <w:lang w:bidi="ar"/>
              </w:rPr>
              <w:t>人参、灵芝、黄精、枸杞、天麻、杜仲、黄连、白术、麦冬</w:t>
            </w:r>
            <w:r>
              <w:rPr>
                <w:rFonts w:hint="eastAsia"/>
                <w:color w:val="000000"/>
                <w:kern w:val="0"/>
                <w:sz w:val="28"/>
                <w:szCs w:val="28"/>
                <w:lang w:bidi="ar"/>
              </w:rPr>
              <w:t>、山银花</w:t>
            </w:r>
            <w:r>
              <w:rPr>
                <w:color w:val="000000"/>
                <w:kern w:val="0"/>
                <w:sz w:val="28"/>
                <w:szCs w:val="28"/>
                <w:lang w:bidi="ar"/>
              </w:rPr>
              <w:t>等。</w:t>
            </w:r>
          </w:p>
        </w:tc>
        <w:tc>
          <w:tcPr>
            <w:tcW w:w="915" w:type="dxa"/>
            <w:vAlign w:val="center"/>
          </w:tcPr>
          <w:p>
            <w:pPr>
              <w:snapToGrid w:val="0"/>
              <w:jc w:val="center"/>
              <w:textAlignment w:val="center"/>
              <w:rPr>
                <w:color w:val="000000"/>
                <w:kern w:val="0"/>
                <w:sz w:val="28"/>
                <w:szCs w:val="28"/>
                <w:lang w:bidi="ar"/>
              </w:rPr>
            </w:pPr>
            <w:r>
              <w:rPr>
                <w:color w:val="000000"/>
                <w:kern w:val="0"/>
                <w:sz w:val="28"/>
                <w:szCs w:val="28"/>
                <w:lang w:bidi="ar"/>
              </w:rPr>
              <w:t>亩</w:t>
            </w:r>
          </w:p>
        </w:tc>
        <w:tc>
          <w:tcPr>
            <w:tcW w:w="960" w:type="dxa"/>
            <w:vAlign w:val="center"/>
          </w:tcPr>
          <w:p>
            <w:pPr>
              <w:snapToGrid w:val="0"/>
              <w:jc w:val="center"/>
              <w:textAlignment w:val="center"/>
              <w:rPr>
                <w:color w:val="000000"/>
                <w:kern w:val="0"/>
                <w:sz w:val="28"/>
                <w:szCs w:val="28"/>
                <w:lang w:bidi="ar"/>
              </w:rPr>
            </w:pPr>
            <w:r>
              <w:rPr>
                <w:rFonts w:hint="eastAsia"/>
                <w:color w:val="000000"/>
                <w:kern w:val="0"/>
                <w:sz w:val="28"/>
                <w:szCs w:val="28"/>
                <w:lang w:bidi="ar"/>
              </w:rPr>
              <w:t>2</w:t>
            </w:r>
            <w:r>
              <w:rPr>
                <w:color w:val="000000"/>
                <w:kern w:val="0"/>
                <w:sz w:val="28"/>
                <w:szCs w:val="28"/>
                <w:lang w:bidi="ar"/>
              </w:rPr>
              <w:t>200</w:t>
            </w:r>
          </w:p>
        </w:tc>
        <w:tc>
          <w:tcPr>
            <w:tcW w:w="1390" w:type="dxa"/>
            <w:vAlign w:val="center"/>
          </w:tcPr>
          <w:p>
            <w:pPr>
              <w:snapToGrid w:val="0"/>
              <w:jc w:val="center"/>
              <w:textAlignment w:val="center"/>
              <w:rPr>
                <w:color w:val="000000"/>
                <w:kern w:val="0"/>
                <w:sz w:val="28"/>
                <w:szCs w:val="28"/>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Ex>
        <w:trPr>
          <w:trHeight w:val="20" w:hRule="atLeast"/>
        </w:trPr>
        <w:tc>
          <w:tcPr>
            <w:tcW w:w="1145" w:type="dxa"/>
            <w:vAlign w:val="center"/>
          </w:tcPr>
          <w:p>
            <w:pPr>
              <w:snapToGrid w:val="0"/>
              <w:jc w:val="center"/>
              <w:textAlignment w:val="center"/>
              <w:rPr>
                <w:color w:val="000000"/>
                <w:sz w:val="28"/>
                <w:szCs w:val="28"/>
              </w:rPr>
            </w:pPr>
            <w:r>
              <w:rPr>
                <w:color w:val="000000"/>
                <w:kern w:val="0"/>
                <w:sz w:val="28"/>
                <w:szCs w:val="28"/>
                <w:lang w:bidi="ar"/>
              </w:rPr>
              <w:t>菌菇类</w:t>
            </w:r>
          </w:p>
        </w:tc>
        <w:tc>
          <w:tcPr>
            <w:tcW w:w="4757" w:type="dxa"/>
            <w:vAlign w:val="center"/>
          </w:tcPr>
          <w:p>
            <w:pPr>
              <w:snapToGrid w:val="0"/>
              <w:jc w:val="left"/>
              <w:textAlignment w:val="center"/>
              <w:rPr>
                <w:color w:val="000000"/>
                <w:sz w:val="28"/>
                <w:szCs w:val="28"/>
              </w:rPr>
            </w:pPr>
            <w:r>
              <w:rPr>
                <w:color w:val="000000"/>
                <w:kern w:val="0"/>
                <w:sz w:val="28"/>
                <w:szCs w:val="28"/>
                <w:lang w:bidi="ar"/>
              </w:rPr>
              <w:t>蘑菇、秀珍菇、香菇、草菇、金针菇、黑木耳等。</w:t>
            </w:r>
          </w:p>
        </w:tc>
        <w:tc>
          <w:tcPr>
            <w:tcW w:w="915" w:type="dxa"/>
            <w:vAlign w:val="center"/>
          </w:tcPr>
          <w:p>
            <w:pPr>
              <w:snapToGrid w:val="0"/>
              <w:jc w:val="center"/>
              <w:textAlignment w:val="center"/>
              <w:rPr>
                <w:color w:val="000000"/>
                <w:sz w:val="28"/>
                <w:szCs w:val="28"/>
              </w:rPr>
            </w:pPr>
            <w:r>
              <w:rPr>
                <w:color w:val="000000"/>
                <w:kern w:val="0"/>
                <w:sz w:val="28"/>
                <w:szCs w:val="28"/>
                <w:lang w:bidi="ar"/>
              </w:rPr>
              <w:t>亩</w:t>
            </w:r>
          </w:p>
        </w:tc>
        <w:tc>
          <w:tcPr>
            <w:tcW w:w="960" w:type="dxa"/>
            <w:vAlign w:val="center"/>
          </w:tcPr>
          <w:p>
            <w:pPr>
              <w:snapToGrid w:val="0"/>
              <w:jc w:val="center"/>
              <w:textAlignment w:val="center"/>
              <w:rPr>
                <w:color w:val="000000"/>
                <w:sz w:val="28"/>
                <w:szCs w:val="28"/>
              </w:rPr>
            </w:pPr>
            <w:r>
              <w:rPr>
                <w:color w:val="000000"/>
                <w:kern w:val="0"/>
                <w:sz w:val="28"/>
                <w:szCs w:val="28"/>
                <w:lang w:bidi="ar"/>
              </w:rPr>
              <w:t>3000</w:t>
            </w:r>
          </w:p>
        </w:tc>
        <w:tc>
          <w:tcPr>
            <w:tcW w:w="1390" w:type="dxa"/>
            <w:vAlign w:val="center"/>
          </w:tcPr>
          <w:p>
            <w:pPr>
              <w:snapToGrid w:val="0"/>
              <w:jc w:val="center"/>
              <w:textAlignment w:val="center"/>
              <w:rPr>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Ex>
        <w:trPr>
          <w:trHeight w:val="20" w:hRule="atLeast"/>
        </w:trPr>
        <w:tc>
          <w:tcPr>
            <w:tcW w:w="1145" w:type="dxa"/>
            <w:vAlign w:val="center"/>
          </w:tcPr>
          <w:p>
            <w:pPr>
              <w:snapToGrid w:val="0"/>
              <w:jc w:val="center"/>
              <w:textAlignment w:val="center"/>
              <w:rPr>
                <w:color w:val="000000"/>
                <w:sz w:val="28"/>
                <w:szCs w:val="28"/>
              </w:rPr>
            </w:pPr>
            <w:r>
              <w:rPr>
                <w:color w:val="000000"/>
                <w:kern w:val="0"/>
                <w:sz w:val="28"/>
                <w:szCs w:val="28"/>
                <w:lang w:bidi="ar"/>
              </w:rPr>
              <w:t>果树类</w:t>
            </w:r>
          </w:p>
        </w:tc>
        <w:tc>
          <w:tcPr>
            <w:tcW w:w="4757" w:type="dxa"/>
            <w:vAlign w:val="center"/>
          </w:tcPr>
          <w:p>
            <w:pPr>
              <w:snapToGrid w:val="0"/>
              <w:jc w:val="left"/>
              <w:textAlignment w:val="center"/>
              <w:rPr>
                <w:color w:val="000000"/>
                <w:sz w:val="28"/>
                <w:szCs w:val="28"/>
              </w:rPr>
            </w:pPr>
            <w:r>
              <w:rPr>
                <w:color w:val="000000"/>
                <w:kern w:val="0"/>
                <w:sz w:val="28"/>
                <w:szCs w:val="28"/>
                <w:lang w:bidi="ar"/>
              </w:rPr>
              <w:t>柑桔、梨、桃、李、杏、柚子、枇杷、苹果、葡萄、猕猴桃、蓝莓、柿子、桑椹、杨梅等。</w:t>
            </w:r>
          </w:p>
        </w:tc>
        <w:tc>
          <w:tcPr>
            <w:tcW w:w="915" w:type="dxa"/>
            <w:vAlign w:val="center"/>
          </w:tcPr>
          <w:p>
            <w:pPr>
              <w:snapToGrid w:val="0"/>
              <w:jc w:val="center"/>
              <w:textAlignment w:val="center"/>
              <w:rPr>
                <w:color w:val="000000"/>
                <w:sz w:val="28"/>
                <w:szCs w:val="28"/>
              </w:rPr>
            </w:pPr>
            <w:r>
              <w:rPr>
                <w:color w:val="000000"/>
                <w:kern w:val="0"/>
                <w:sz w:val="28"/>
                <w:szCs w:val="28"/>
                <w:lang w:bidi="ar"/>
              </w:rPr>
              <w:t>亩</w:t>
            </w:r>
          </w:p>
        </w:tc>
        <w:tc>
          <w:tcPr>
            <w:tcW w:w="960" w:type="dxa"/>
            <w:vAlign w:val="center"/>
          </w:tcPr>
          <w:p>
            <w:pPr>
              <w:snapToGrid w:val="0"/>
              <w:jc w:val="center"/>
              <w:textAlignment w:val="center"/>
              <w:rPr>
                <w:color w:val="000000"/>
                <w:sz w:val="28"/>
                <w:szCs w:val="28"/>
              </w:rPr>
            </w:pPr>
            <w:r>
              <w:rPr>
                <w:color w:val="000000"/>
                <w:kern w:val="0"/>
                <w:sz w:val="28"/>
                <w:szCs w:val="28"/>
                <w:lang w:bidi="ar"/>
              </w:rPr>
              <w:t>2</w:t>
            </w:r>
            <w:r>
              <w:rPr>
                <w:rFonts w:hint="eastAsia"/>
                <w:color w:val="000000"/>
                <w:kern w:val="0"/>
                <w:sz w:val="28"/>
                <w:szCs w:val="28"/>
                <w:lang w:bidi="ar"/>
              </w:rPr>
              <w:t>5</w:t>
            </w:r>
            <w:r>
              <w:rPr>
                <w:color w:val="000000"/>
                <w:kern w:val="0"/>
                <w:sz w:val="28"/>
                <w:szCs w:val="28"/>
                <w:lang w:bidi="ar"/>
              </w:rPr>
              <w:t>00</w:t>
            </w:r>
          </w:p>
        </w:tc>
        <w:tc>
          <w:tcPr>
            <w:tcW w:w="1390" w:type="dxa"/>
            <w:vAlign w:val="center"/>
          </w:tcPr>
          <w:p>
            <w:pPr>
              <w:snapToGrid w:val="0"/>
              <w:jc w:val="center"/>
              <w:textAlignment w:val="center"/>
              <w:rPr>
                <w:color w:val="000000"/>
                <w:sz w:val="28"/>
                <w:szCs w:val="28"/>
              </w:rPr>
            </w:pPr>
            <w:r>
              <w:rPr>
                <w:color w:val="000000"/>
                <w:kern w:val="0"/>
                <w:sz w:val="28"/>
                <w:szCs w:val="28"/>
                <w:lang w:bidi="ar"/>
              </w:rPr>
              <w:t>投入期1800元</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Ex>
        <w:trPr>
          <w:trHeight w:val="20" w:hRule="atLeast"/>
        </w:trPr>
        <w:tc>
          <w:tcPr>
            <w:tcW w:w="1145" w:type="dxa"/>
            <w:vMerge w:val="restart"/>
            <w:vAlign w:val="center"/>
          </w:tcPr>
          <w:p>
            <w:pPr>
              <w:snapToGrid w:val="0"/>
              <w:jc w:val="center"/>
              <w:textAlignment w:val="center"/>
              <w:rPr>
                <w:color w:val="000000"/>
                <w:sz w:val="28"/>
                <w:szCs w:val="28"/>
              </w:rPr>
            </w:pPr>
            <w:r>
              <w:rPr>
                <w:color w:val="000000"/>
                <w:kern w:val="0"/>
                <w:sz w:val="28"/>
                <w:szCs w:val="28"/>
                <w:lang w:bidi="ar"/>
              </w:rPr>
              <w:t>苗木花卉</w:t>
            </w:r>
            <w:r>
              <w:rPr>
                <w:rFonts w:hint="eastAsia"/>
                <w:color w:val="000000"/>
                <w:kern w:val="0"/>
                <w:sz w:val="28"/>
                <w:szCs w:val="28"/>
                <w:lang w:bidi="ar"/>
              </w:rPr>
              <w:t>及苗圃</w:t>
            </w:r>
            <w:r>
              <w:rPr>
                <w:color w:val="000000"/>
                <w:kern w:val="0"/>
                <w:sz w:val="28"/>
                <w:szCs w:val="28"/>
                <w:lang w:bidi="ar"/>
              </w:rPr>
              <w:t>类</w:t>
            </w:r>
          </w:p>
        </w:tc>
        <w:tc>
          <w:tcPr>
            <w:tcW w:w="4757" w:type="dxa"/>
            <w:vAlign w:val="center"/>
          </w:tcPr>
          <w:p>
            <w:pPr>
              <w:snapToGrid w:val="0"/>
              <w:jc w:val="left"/>
              <w:textAlignment w:val="center"/>
              <w:rPr>
                <w:color w:val="000000"/>
                <w:sz w:val="28"/>
                <w:szCs w:val="28"/>
              </w:rPr>
            </w:pPr>
            <w:r>
              <w:rPr>
                <w:rFonts w:hint="eastAsia"/>
                <w:color w:val="000000"/>
                <w:kern w:val="0"/>
                <w:sz w:val="28"/>
                <w:szCs w:val="28"/>
                <w:lang w:bidi="ar"/>
              </w:rPr>
              <w:t>玫瑰、</w:t>
            </w:r>
            <w:r>
              <w:rPr>
                <w:color w:val="000000"/>
                <w:kern w:val="0"/>
                <w:sz w:val="28"/>
                <w:szCs w:val="28"/>
                <w:lang w:bidi="ar"/>
              </w:rPr>
              <w:t>黄杨、玉兰、桂花、蚊母、香樟、雪松、栀子花、海棠、石榴、腊梅、栾树、水杉、</w:t>
            </w:r>
            <w:r>
              <w:rPr>
                <w:rStyle w:val="9"/>
                <w:rFonts w:hint="default" w:ascii="Times New Roman" w:hAnsi="Times New Roman" w:cs="Times New Roman"/>
                <w:sz w:val="28"/>
                <w:szCs w:val="28"/>
                <w:lang w:bidi="ar"/>
              </w:rPr>
              <w:t>月季、紫荆、金弹子、赤楠、映山红、黑松、铁树等；</w:t>
            </w:r>
            <w:r>
              <w:rPr>
                <w:color w:val="000000"/>
                <w:kern w:val="0"/>
                <w:sz w:val="28"/>
                <w:szCs w:val="28"/>
                <w:lang w:bidi="ar"/>
              </w:rPr>
              <w:t>地被植物类；凤尾竹、刚竹等竹类；爬山虎、紫藤等攀缘类；荷花、睡莲等水生类；营养杯种植类。</w:t>
            </w:r>
          </w:p>
        </w:tc>
        <w:tc>
          <w:tcPr>
            <w:tcW w:w="915" w:type="dxa"/>
            <w:vAlign w:val="center"/>
          </w:tcPr>
          <w:p>
            <w:pPr>
              <w:snapToGrid w:val="0"/>
              <w:jc w:val="center"/>
              <w:textAlignment w:val="center"/>
              <w:rPr>
                <w:color w:val="000000"/>
                <w:sz w:val="28"/>
                <w:szCs w:val="28"/>
              </w:rPr>
            </w:pPr>
            <w:r>
              <w:rPr>
                <w:color w:val="000000"/>
                <w:kern w:val="0"/>
                <w:sz w:val="28"/>
                <w:szCs w:val="28"/>
                <w:lang w:bidi="ar"/>
              </w:rPr>
              <w:t>亩</w:t>
            </w:r>
          </w:p>
        </w:tc>
        <w:tc>
          <w:tcPr>
            <w:tcW w:w="960" w:type="dxa"/>
            <w:vAlign w:val="center"/>
          </w:tcPr>
          <w:p>
            <w:pPr>
              <w:snapToGrid w:val="0"/>
              <w:jc w:val="center"/>
              <w:textAlignment w:val="center"/>
              <w:rPr>
                <w:color w:val="000000"/>
                <w:sz w:val="28"/>
                <w:szCs w:val="28"/>
              </w:rPr>
            </w:pPr>
            <w:r>
              <w:rPr>
                <w:color w:val="000000"/>
                <w:kern w:val="0"/>
                <w:sz w:val="28"/>
                <w:szCs w:val="28"/>
                <w:lang w:bidi="ar"/>
              </w:rPr>
              <w:t>2200</w:t>
            </w:r>
          </w:p>
        </w:tc>
        <w:tc>
          <w:tcPr>
            <w:tcW w:w="1390" w:type="dxa"/>
            <w:vAlign w:val="center"/>
          </w:tcPr>
          <w:p>
            <w:pPr>
              <w:snapToGrid w:val="0"/>
              <w:jc w:val="center"/>
              <w:textAlignment w:val="center"/>
              <w:rPr>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Ex>
        <w:trPr>
          <w:trHeight w:val="20" w:hRule="atLeast"/>
        </w:trPr>
        <w:tc>
          <w:tcPr>
            <w:tcW w:w="1145" w:type="dxa"/>
            <w:vMerge w:val="continue"/>
            <w:vAlign w:val="center"/>
          </w:tcPr>
          <w:p>
            <w:pPr>
              <w:snapToGrid w:val="0"/>
              <w:jc w:val="center"/>
              <w:rPr>
                <w:color w:val="000000"/>
                <w:sz w:val="28"/>
                <w:szCs w:val="28"/>
              </w:rPr>
            </w:pPr>
          </w:p>
        </w:tc>
        <w:tc>
          <w:tcPr>
            <w:tcW w:w="4757" w:type="dxa"/>
            <w:vAlign w:val="center"/>
          </w:tcPr>
          <w:p>
            <w:pPr>
              <w:snapToGrid w:val="0"/>
              <w:jc w:val="left"/>
              <w:textAlignment w:val="center"/>
              <w:rPr>
                <w:color w:val="000000"/>
                <w:sz w:val="28"/>
                <w:szCs w:val="28"/>
              </w:rPr>
            </w:pPr>
            <w:r>
              <w:rPr>
                <w:color w:val="000000"/>
                <w:kern w:val="0"/>
                <w:sz w:val="28"/>
                <w:szCs w:val="28"/>
                <w:lang w:bidi="ar"/>
              </w:rPr>
              <w:t>林木种子生产经营的各类种植。</w:t>
            </w:r>
          </w:p>
        </w:tc>
        <w:tc>
          <w:tcPr>
            <w:tcW w:w="915" w:type="dxa"/>
            <w:vAlign w:val="center"/>
          </w:tcPr>
          <w:p>
            <w:pPr>
              <w:snapToGrid w:val="0"/>
              <w:jc w:val="center"/>
              <w:textAlignment w:val="center"/>
              <w:rPr>
                <w:color w:val="000000"/>
                <w:sz w:val="28"/>
                <w:szCs w:val="28"/>
              </w:rPr>
            </w:pPr>
            <w:r>
              <w:rPr>
                <w:color w:val="000000"/>
                <w:kern w:val="0"/>
                <w:sz w:val="28"/>
                <w:szCs w:val="28"/>
                <w:lang w:bidi="ar"/>
              </w:rPr>
              <w:t>亩</w:t>
            </w:r>
          </w:p>
        </w:tc>
        <w:tc>
          <w:tcPr>
            <w:tcW w:w="960" w:type="dxa"/>
            <w:vAlign w:val="center"/>
          </w:tcPr>
          <w:p>
            <w:pPr>
              <w:snapToGrid w:val="0"/>
              <w:jc w:val="center"/>
              <w:textAlignment w:val="center"/>
              <w:rPr>
                <w:color w:val="000000"/>
                <w:sz w:val="28"/>
                <w:szCs w:val="28"/>
              </w:rPr>
            </w:pPr>
            <w:r>
              <w:rPr>
                <w:color w:val="000000"/>
                <w:kern w:val="0"/>
                <w:sz w:val="28"/>
                <w:szCs w:val="28"/>
                <w:lang w:bidi="ar"/>
              </w:rPr>
              <w:t>12000</w:t>
            </w:r>
          </w:p>
        </w:tc>
        <w:tc>
          <w:tcPr>
            <w:tcW w:w="1390" w:type="dxa"/>
            <w:vAlign w:val="center"/>
          </w:tcPr>
          <w:p>
            <w:pPr>
              <w:snapToGrid w:val="0"/>
              <w:jc w:val="center"/>
              <w:textAlignment w:val="center"/>
              <w:rPr>
                <w:color w:val="000000"/>
                <w:sz w:val="28"/>
                <w:szCs w:val="28"/>
              </w:rPr>
            </w:pPr>
            <w:r>
              <w:rPr>
                <w:color w:val="000000"/>
                <w:kern w:val="0"/>
                <w:sz w:val="28"/>
                <w:szCs w:val="28"/>
                <w:lang w:bidi="ar"/>
              </w:rPr>
              <w:t>需经行政许可</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Ex>
        <w:trPr>
          <w:trHeight w:val="20" w:hRule="atLeast"/>
        </w:trPr>
        <w:tc>
          <w:tcPr>
            <w:tcW w:w="1145" w:type="dxa"/>
            <w:vAlign w:val="center"/>
          </w:tcPr>
          <w:p>
            <w:pPr>
              <w:snapToGrid w:val="0"/>
              <w:jc w:val="center"/>
              <w:textAlignment w:val="center"/>
              <w:rPr>
                <w:color w:val="000000"/>
                <w:kern w:val="0"/>
                <w:sz w:val="28"/>
                <w:szCs w:val="28"/>
                <w:lang w:bidi="ar"/>
              </w:rPr>
            </w:pPr>
            <w:r>
              <w:rPr>
                <w:rFonts w:hint="eastAsia"/>
                <w:color w:val="000000"/>
                <w:sz w:val="28"/>
                <w:szCs w:val="28"/>
              </w:rPr>
              <w:t>特色产业类</w:t>
            </w:r>
          </w:p>
        </w:tc>
        <w:tc>
          <w:tcPr>
            <w:tcW w:w="4757" w:type="dxa"/>
            <w:vAlign w:val="center"/>
          </w:tcPr>
          <w:p>
            <w:pPr>
              <w:snapToGrid w:val="0"/>
              <w:jc w:val="left"/>
              <w:textAlignment w:val="center"/>
              <w:rPr>
                <w:color w:val="000000"/>
                <w:kern w:val="0"/>
                <w:sz w:val="28"/>
                <w:szCs w:val="28"/>
                <w:lang w:bidi="ar"/>
              </w:rPr>
            </w:pPr>
            <w:r>
              <w:rPr>
                <w:rFonts w:hint="eastAsia"/>
                <w:color w:val="000000"/>
                <w:kern w:val="0"/>
                <w:sz w:val="28"/>
                <w:szCs w:val="28"/>
                <w:lang w:bidi="ar"/>
              </w:rPr>
              <w:t>茶叶、油茶</w:t>
            </w:r>
            <w:r>
              <w:rPr>
                <w:color w:val="000000"/>
                <w:kern w:val="0"/>
                <w:sz w:val="28"/>
                <w:szCs w:val="28"/>
                <w:lang w:bidi="ar"/>
              </w:rPr>
              <w:t>等。</w:t>
            </w:r>
          </w:p>
        </w:tc>
        <w:tc>
          <w:tcPr>
            <w:tcW w:w="915" w:type="dxa"/>
            <w:vAlign w:val="center"/>
          </w:tcPr>
          <w:p>
            <w:pPr>
              <w:snapToGrid w:val="0"/>
              <w:jc w:val="center"/>
              <w:textAlignment w:val="center"/>
              <w:rPr>
                <w:color w:val="000000"/>
                <w:kern w:val="0"/>
                <w:sz w:val="28"/>
                <w:szCs w:val="28"/>
                <w:lang w:bidi="ar"/>
              </w:rPr>
            </w:pPr>
            <w:r>
              <w:rPr>
                <w:color w:val="000000"/>
                <w:kern w:val="0"/>
                <w:sz w:val="28"/>
                <w:szCs w:val="28"/>
                <w:lang w:bidi="ar"/>
              </w:rPr>
              <w:t>亩</w:t>
            </w:r>
          </w:p>
        </w:tc>
        <w:tc>
          <w:tcPr>
            <w:tcW w:w="960" w:type="dxa"/>
            <w:vAlign w:val="center"/>
          </w:tcPr>
          <w:p>
            <w:pPr>
              <w:snapToGrid w:val="0"/>
              <w:jc w:val="center"/>
              <w:textAlignment w:val="center"/>
              <w:rPr>
                <w:rFonts w:hint="eastAsia"/>
                <w:color w:val="000000"/>
                <w:kern w:val="0"/>
                <w:sz w:val="28"/>
                <w:szCs w:val="28"/>
                <w:lang w:bidi="ar"/>
              </w:rPr>
            </w:pPr>
            <w:r>
              <w:rPr>
                <w:rFonts w:hint="eastAsia"/>
                <w:color w:val="000000"/>
                <w:kern w:val="0"/>
                <w:sz w:val="28"/>
                <w:szCs w:val="28"/>
                <w:lang w:bidi="ar"/>
              </w:rPr>
              <w:t>40</w:t>
            </w:r>
            <w:r>
              <w:rPr>
                <w:color w:val="000000"/>
                <w:kern w:val="0"/>
                <w:sz w:val="28"/>
                <w:szCs w:val="28"/>
                <w:lang w:bidi="ar"/>
              </w:rPr>
              <w:t>00</w:t>
            </w:r>
          </w:p>
        </w:tc>
        <w:tc>
          <w:tcPr>
            <w:tcW w:w="1390" w:type="dxa"/>
            <w:vAlign w:val="center"/>
          </w:tcPr>
          <w:p>
            <w:pPr>
              <w:snapToGrid w:val="0"/>
              <w:jc w:val="center"/>
              <w:textAlignment w:val="center"/>
              <w:rPr>
                <w:color w:val="000000"/>
                <w:sz w:val="28"/>
                <w:szCs w:val="28"/>
              </w:rPr>
            </w:pPr>
            <w:r>
              <w:rPr>
                <w:color w:val="000000"/>
                <w:kern w:val="0"/>
                <w:sz w:val="28"/>
                <w:szCs w:val="28"/>
                <w:lang w:bidi="ar"/>
              </w:rPr>
              <w:t>投入期</w:t>
            </w:r>
            <w:r>
              <w:rPr>
                <w:rFonts w:hint="eastAsia"/>
                <w:color w:val="000000"/>
                <w:kern w:val="0"/>
                <w:sz w:val="28"/>
                <w:szCs w:val="28"/>
                <w:lang w:bidi="ar"/>
              </w:rPr>
              <w:t>22</w:t>
            </w:r>
            <w:r>
              <w:rPr>
                <w:color w:val="000000"/>
                <w:kern w:val="0"/>
                <w:sz w:val="28"/>
                <w:szCs w:val="28"/>
                <w:lang w:bidi="ar"/>
              </w:rPr>
              <w:t>00元</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Ex>
        <w:trPr>
          <w:trHeight w:val="20" w:hRule="atLeast"/>
        </w:trPr>
        <w:tc>
          <w:tcPr>
            <w:tcW w:w="1145" w:type="dxa"/>
            <w:vMerge w:val="restart"/>
            <w:vAlign w:val="center"/>
          </w:tcPr>
          <w:p>
            <w:pPr>
              <w:snapToGrid w:val="0"/>
              <w:jc w:val="center"/>
              <w:textAlignment w:val="center"/>
              <w:rPr>
                <w:color w:val="000000"/>
                <w:sz w:val="28"/>
                <w:szCs w:val="28"/>
              </w:rPr>
            </w:pPr>
            <w:r>
              <w:rPr>
                <w:rFonts w:hint="eastAsia"/>
                <w:color w:val="000000"/>
                <w:kern w:val="0"/>
                <w:sz w:val="28"/>
                <w:szCs w:val="28"/>
                <w:lang w:bidi="ar"/>
              </w:rPr>
              <w:t>专业</w:t>
            </w:r>
            <w:r>
              <w:rPr>
                <w:color w:val="000000"/>
                <w:kern w:val="0"/>
                <w:sz w:val="28"/>
                <w:szCs w:val="28"/>
                <w:lang w:bidi="ar"/>
              </w:rPr>
              <w:t>水产养殖类</w:t>
            </w:r>
          </w:p>
        </w:tc>
        <w:tc>
          <w:tcPr>
            <w:tcW w:w="4757" w:type="dxa"/>
            <w:vAlign w:val="center"/>
          </w:tcPr>
          <w:p>
            <w:pPr>
              <w:snapToGrid w:val="0"/>
              <w:jc w:val="left"/>
              <w:textAlignment w:val="center"/>
              <w:rPr>
                <w:color w:val="000000"/>
                <w:sz w:val="28"/>
                <w:szCs w:val="28"/>
              </w:rPr>
            </w:pPr>
            <w:r>
              <w:rPr>
                <w:color w:val="000000"/>
                <w:kern w:val="0"/>
                <w:sz w:val="28"/>
                <w:szCs w:val="28"/>
                <w:lang w:bidi="ar"/>
              </w:rPr>
              <w:t>鲫鱼、鲤鱼、草鱼</w:t>
            </w:r>
            <w:r>
              <w:rPr>
                <w:rFonts w:hint="eastAsia"/>
                <w:color w:val="000000"/>
                <w:kern w:val="0"/>
                <w:sz w:val="28"/>
                <w:szCs w:val="28"/>
                <w:lang w:bidi="ar"/>
              </w:rPr>
              <w:t>、</w:t>
            </w:r>
            <w:r>
              <w:rPr>
                <w:color w:val="000000"/>
                <w:kern w:val="0"/>
                <w:sz w:val="28"/>
                <w:szCs w:val="28"/>
                <w:lang w:bidi="ar"/>
              </w:rPr>
              <w:t>龟鳖、黄鳝、泥鳅、蜗牛</w:t>
            </w:r>
            <w:r>
              <w:rPr>
                <w:rFonts w:hint="eastAsia"/>
                <w:color w:val="000000"/>
                <w:kern w:val="0"/>
                <w:sz w:val="28"/>
                <w:szCs w:val="28"/>
                <w:lang w:bidi="ar"/>
              </w:rPr>
              <w:t>、娃娃鱼、中华鲟</w:t>
            </w:r>
            <w:r>
              <w:rPr>
                <w:color w:val="000000"/>
                <w:kern w:val="0"/>
                <w:sz w:val="28"/>
                <w:szCs w:val="28"/>
                <w:lang w:bidi="ar"/>
              </w:rPr>
              <w:t>等。</w:t>
            </w:r>
          </w:p>
        </w:tc>
        <w:tc>
          <w:tcPr>
            <w:tcW w:w="915" w:type="dxa"/>
            <w:vAlign w:val="center"/>
          </w:tcPr>
          <w:p>
            <w:pPr>
              <w:snapToGrid w:val="0"/>
              <w:jc w:val="center"/>
              <w:textAlignment w:val="center"/>
              <w:rPr>
                <w:color w:val="000000"/>
                <w:sz w:val="28"/>
                <w:szCs w:val="28"/>
              </w:rPr>
            </w:pPr>
            <w:r>
              <w:rPr>
                <w:color w:val="000000"/>
                <w:kern w:val="0"/>
                <w:sz w:val="28"/>
                <w:szCs w:val="28"/>
                <w:lang w:bidi="ar"/>
              </w:rPr>
              <w:t>亩</w:t>
            </w:r>
          </w:p>
        </w:tc>
        <w:tc>
          <w:tcPr>
            <w:tcW w:w="960" w:type="dxa"/>
            <w:vAlign w:val="center"/>
          </w:tcPr>
          <w:p>
            <w:pPr>
              <w:snapToGrid w:val="0"/>
              <w:jc w:val="center"/>
              <w:textAlignment w:val="center"/>
              <w:rPr>
                <w:color w:val="000000"/>
                <w:sz w:val="28"/>
                <w:szCs w:val="28"/>
              </w:rPr>
            </w:pPr>
            <w:r>
              <w:rPr>
                <w:rFonts w:hint="eastAsia"/>
                <w:color w:val="000000"/>
                <w:kern w:val="0"/>
                <w:sz w:val="28"/>
                <w:szCs w:val="28"/>
                <w:lang w:bidi="ar"/>
              </w:rPr>
              <w:t>6000</w:t>
            </w:r>
          </w:p>
        </w:tc>
        <w:tc>
          <w:tcPr>
            <w:tcW w:w="1390" w:type="dxa"/>
            <w:vAlign w:val="center"/>
          </w:tcPr>
          <w:p>
            <w:pPr>
              <w:snapToGrid w:val="0"/>
              <w:jc w:val="center"/>
              <w:textAlignment w:val="center"/>
              <w:rPr>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Ex>
        <w:trPr>
          <w:trHeight w:val="20" w:hRule="atLeast"/>
        </w:trPr>
        <w:tc>
          <w:tcPr>
            <w:tcW w:w="1145" w:type="dxa"/>
            <w:vMerge w:val="continue"/>
            <w:vAlign w:val="center"/>
          </w:tcPr>
          <w:p>
            <w:pPr>
              <w:snapToGrid w:val="0"/>
              <w:jc w:val="center"/>
              <w:rPr>
                <w:color w:val="000000"/>
                <w:sz w:val="28"/>
                <w:szCs w:val="28"/>
              </w:rPr>
            </w:pPr>
          </w:p>
        </w:tc>
        <w:tc>
          <w:tcPr>
            <w:tcW w:w="4757" w:type="dxa"/>
            <w:vAlign w:val="center"/>
          </w:tcPr>
          <w:p>
            <w:pPr>
              <w:snapToGrid w:val="0"/>
              <w:jc w:val="left"/>
              <w:textAlignment w:val="center"/>
              <w:rPr>
                <w:color w:val="000000"/>
                <w:sz w:val="28"/>
                <w:szCs w:val="28"/>
              </w:rPr>
            </w:pPr>
            <w:r>
              <w:rPr>
                <w:color w:val="000000"/>
                <w:kern w:val="0"/>
                <w:sz w:val="28"/>
                <w:szCs w:val="28"/>
                <w:lang w:bidi="ar"/>
              </w:rPr>
              <w:t>水产养殖相关设施：渔网、潜水泵、增氧器、网箱、电箱、气泵、保温设施、防逃设备、鱼塘自动投料机等。</w:t>
            </w:r>
          </w:p>
        </w:tc>
        <w:tc>
          <w:tcPr>
            <w:tcW w:w="915" w:type="dxa"/>
            <w:vAlign w:val="center"/>
          </w:tcPr>
          <w:p>
            <w:pPr>
              <w:snapToGrid w:val="0"/>
              <w:jc w:val="center"/>
              <w:rPr>
                <w:color w:val="000000"/>
                <w:sz w:val="28"/>
                <w:szCs w:val="28"/>
              </w:rPr>
            </w:pPr>
          </w:p>
        </w:tc>
        <w:tc>
          <w:tcPr>
            <w:tcW w:w="960" w:type="dxa"/>
            <w:vAlign w:val="center"/>
          </w:tcPr>
          <w:p>
            <w:pPr>
              <w:snapToGrid w:val="0"/>
              <w:jc w:val="center"/>
              <w:textAlignment w:val="center"/>
              <w:rPr>
                <w:color w:val="000000"/>
                <w:sz w:val="28"/>
                <w:szCs w:val="28"/>
              </w:rPr>
            </w:pPr>
            <w:r>
              <w:rPr>
                <w:color w:val="000000"/>
                <w:kern w:val="0"/>
                <w:sz w:val="28"/>
                <w:szCs w:val="28"/>
                <w:lang w:bidi="ar"/>
              </w:rPr>
              <w:t>按购买时市场价格的20%</w:t>
            </w:r>
          </w:p>
        </w:tc>
        <w:tc>
          <w:tcPr>
            <w:tcW w:w="1390" w:type="dxa"/>
            <w:vAlign w:val="center"/>
          </w:tcPr>
          <w:p>
            <w:pPr>
              <w:snapToGrid w:val="0"/>
              <w:jc w:val="center"/>
              <w:textAlignment w:val="center"/>
              <w:rPr>
                <w:color w:val="000000"/>
                <w:sz w:val="28"/>
                <w:szCs w:val="28"/>
              </w:rPr>
            </w:pPr>
          </w:p>
        </w:tc>
      </w:tr>
    </w:tbl>
    <w:p>
      <w:pPr>
        <w:widowControl w:val="0"/>
        <w:snapToGrid w:val="0"/>
        <w:jc w:val="center"/>
        <w:rPr>
          <w:rFonts w:ascii="黑体" w:hAnsi="黑体" w:eastAsia="黑体"/>
          <w:szCs w:val="32"/>
          <w:lang w:bidi="ar"/>
        </w:rPr>
      </w:pPr>
    </w:p>
    <w:p>
      <w:pPr>
        <w:widowControl w:val="0"/>
        <w:snapToGrid w:val="0"/>
        <w:jc w:val="center"/>
        <w:rPr>
          <w:rFonts w:ascii="黑体" w:hAnsi="黑体" w:eastAsia="黑体"/>
          <w:szCs w:val="32"/>
          <w:lang w:bidi="ar"/>
        </w:rPr>
      </w:pPr>
      <w:r>
        <w:rPr>
          <w:rFonts w:ascii="黑体" w:hAnsi="黑体" w:eastAsia="黑体"/>
          <w:szCs w:val="32"/>
          <w:lang w:bidi="ar"/>
        </w:rPr>
        <w:br w:type="page"/>
      </w:r>
      <w:r>
        <w:rPr>
          <w:rFonts w:ascii="黑体" w:hAnsi="黑体" w:eastAsia="黑体"/>
          <w:szCs w:val="32"/>
          <w:lang w:bidi="ar"/>
        </w:rPr>
        <w:t>（二）规模化</w:t>
      </w:r>
      <w:r>
        <w:rPr>
          <w:rFonts w:hint="eastAsia" w:ascii="黑体" w:hAnsi="黑体" w:eastAsia="黑体"/>
          <w:szCs w:val="32"/>
          <w:lang w:bidi="ar"/>
        </w:rPr>
        <w:t>专业</w:t>
      </w:r>
      <w:r>
        <w:rPr>
          <w:rFonts w:ascii="黑体" w:hAnsi="黑体" w:eastAsia="黑体"/>
          <w:szCs w:val="32"/>
          <w:lang w:bidi="ar"/>
        </w:rPr>
        <w:t>畜禽养殖类</w:t>
      </w:r>
    </w:p>
    <w:tbl>
      <w:tblPr>
        <w:tblStyle w:val="7"/>
        <w:tblW w:w="8957"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
      <w:tblGrid>
        <w:gridCol w:w="895"/>
        <w:gridCol w:w="2842"/>
        <w:gridCol w:w="1245"/>
        <w:gridCol w:w="1530"/>
        <w:gridCol w:w="2445"/>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Ex>
        <w:trPr>
          <w:trHeight w:val="548" w:hRule="atLeast"/>
        </w:trPr>
        <w:tc>
          <w:tcPr>
            <w:tcW w:w="895" w:type="dxa"/>
            <w:shd w:val="clear" w:color="auto" w:fill="auto"/>
            <w:vAlign w:val="center"/>
          </w:tcPr>
          <w:p>
            <w:pPr>
              <w:snapToGrid w:val="0"/>
              <w:jc w:val="center"/>
              <w:textAlignment w:val="center"/>
              <w:rPr>
                <w:rFonts w:ascii="黑体" w:hAnsi="黑体" w:eastAsia="黑体"/>
                <w:color w:val="000000"/>
                <w:sz w:val="28"/>
                <w:szCs w:val="28"/>
              </w:rPr>
            </w:pPr>
            <w:r>
              <w:rPr>
                <w:rFonts w:ascii="黑体" w:hAnsi="黑体" w:eastAsia="黑体"/>
                <w:color w:val="000000"/>
                <w:kern w:val="0"/>
                <w:sz w:val="28"/>
                <w:szCs w:val="28"/>
                <w:lang w:bidi="ar"/>
              </w:rPr>
              <w:t>类别</w:t>
            </w:r>
          </w:p>
        </w:tc>
        <w:tc>
          <w:tcPr>
            <w:tcW w:w="2842" w:type="dxa"/>
            <w:shd w:val="clear" w:color="auto" w:fill="FFFFFF"/>
            <w:vAlign w:val="center"/>
          </w:tcPr>
          <w:p>
            <w:pPr>
              <w:snapToGrid w:val="0"/>
              <w:jc w:val="center"/>
              <w:textAlignment w:val="center"/>
              <w:rPr>
                <w:rFonts w:ascii="黑体" w:hAnsi="黑体" w:eastAsia="黑体"/>
                <w:color w:val="000000"/>
                <w:sz w:val="28"/>
                <w:szCs w:val="28"/>
              </w:rPr>
            </w:pPr>
            <w:r>
              <w:rPr>
                <w:rFonts w:ascii="黑体" w:hAnsi="黑体" w:eastAsia="黑体"/>
                <w:color w:val="000000"/>
                <w:kern w:val="0"/>
                <w:sz w:val="28"/>
                <w:szCs w:val="28"/>
                <w:lang w:bidi="ar"/>
              </w:rPr>
              <w:t>名称</w:t>
            </w:r>
          </w:p>
        </w:tc>
        <w:tc>
          <w:tcPr>
            <w:tcW w:w="1245" w:type="dxa"/>
            <w:shd w:val="clear" w:color="auto" w:fill="FFFFFF"/>
            <w:vAlign w:val="center"/>
          </w:tcPr>
          <w:p>
            <w:pPr>
              <w:snapToGrid w:val="0"/>
              <w:jc w:val="center"/>
              <w:textAlignment w:val="center"/>
              <w:rPr>
                <w:rFonts w:ascii="黑体" w:hAnsi="黑体" w:eastAsia="黑体"/>
                <w:color w:val="000000"/>
                <w:sz w:val="28"/>
                <w:szCs w:val="28"/>
              </w:rPr>
            </w:pPr>
            <w:r>
              <w:rPr>
                <w:rFonts w:ascii="黑体" w:hAnsi="黑体" w:eastAsia="黑体"/>
                <w:color w:val="000000"/>
                <w:kern w:val="0"/>
                <w:sz w:val="28"/>
                <w:szCs w:val="28"/>
                <w:lang w:bidi="ar"/>
              </w:rPr>
              <w:t>单位</w:t>
            </w:r>
          </w:p>
        </w:tc>
        <w:tc>
          <w:tcPr>
            <w:tcW w:w="1530" w:type="dxa"/>
            <w:shd w:val="clear" w:color="auto" w:fill="FFFFFF"/>
            <w:vAlign w:val="center"/>
          </w:tcPr>
          <w:p>
            <w:pPr>
              <w:snapToGrid w:val="0"/>
              <w:jc w:val="center"/>
              <w:textAlignment w:val="center"/>
              <w:rPr>
                <w:rFonts w:ascii="黑体" w:hAnsi="黑体" w:eastAsia="黑体"/>
                <w:color w:val="000000"/>
                <w:kern w:val="0"/>
                <w:sz w:val="28"/>
                <w:szCs w:val="28"/>
                <w:lang w:bidi="ar"/>
              </w:rPr>
            </w:pPr>
            <w:r>
              <w:rPr>
                <w:rFonts w:ascii="黑体" w:hAnsi="黑体" w:eastAsia="黑体"/>
                <w:color w:val="000000"/>
                <w:kern w:val="0"/>
                <w:sz w:val="28"/>
                <w:szCs w:val="28"/>
                <w:lang w:bidi="ar"/>
              </w:rPr>
              <w:t>标准</w:t>
            </w:r>
          </w:p>
          <w:p>
            <w:pPr>
              <w:snapToGrid w:val="0"/>
              <w:jc w:val="center"/>
              <w:textAlignment w:val="center"/>
              <w:rPr>
                <w:rFonts w:ascii="黑体" w:hAnsi="黑体" w:eastAsia="黑体"/>
                <w:color w:val="000000"/>
                <w:sz w:val="28"/>
                <w:szCs w:val="28"/>
              </w:rPr>
            </w:pPr>
            <w:r>
              <w:rPr>
                <w:rFonts w:ascii="黑体" w:hAnsi="黑体" w:eastAsia="黑体"/>
                <w:color w:val="000000"/>
                <w:kern w:val="0"/>
                <w:sz w:val="28"/>
                <w:szCs w:val="28"/>
                <w:lang w:bidi="ar"/>
              </w:rPr>
              <w:t>（元）</w:t>
            </w:r>
          </w:p>
        </w:tc>
        <w:tc>
          <w:tcPr>
            <w:tcW w:w="2445" w:type="dxa"/>
            <w:vAlign w:val="center"/>
          </w:tcPr>
          <w:p>
            <w:pPr>
              <w:snapToGrid w:val="0"/>
              <w:jc w:val="center"/>
              <w:textAlignment w:val="center"/>
              <w:rPr>
                <w:rFonts w:ascii="黑体" w:hAnsi="黑体" w:eastAsia="黑体"/>
                <w:color w:val="000000"/>
                <w:sz w:val="28"/>
                <w:szCs w:val="28"/>
              </w:rPr>
            </w:pPr>
            <w:r>
              <w:rPr>
                <w:rFonts w:ascii="黑体" w:hAnsi="黑体" w:eastAsia="黑体"/>
                <w:color w:val="000000"/>
                <w:kern w:val="0"/>
                <w:sz w:val="28"/>
                <w:szCs w:val="28"/>
                <w:lang w:bidi="ar"/>
              </w:rPr>
              <w:t>备注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Ex>
        <w:trPr>
          <w:trHeight w:val="660" w:hRule="atLeast"/>
        </w:trPr>
        <w:tc>
          <w:tcPr>
            <w:tcW w:w="895" w:type="dxa"/>
            <w:vMerge w:val="restart"/>
            <w:vAlign w:val="center"/>
          </w:tcPr>
          <w:p>
            <w:pPr>
              <w:snapToGrid w:val="0"/>
              <w:jc w:val="center"/>
              <w:textAlignment w:val="center"/>
              <w:rPr>
                <w:color w:val="000000"/>
                <w:sz w:val="28"/>
                <w:szCs w:val="28"/>
              </w:rPr>
            </w:pPr>
            <w:r>
              <w:rPr>
                <w:color w:val="000000"/>
                <w:kern w:val="0"/>
                <w:sz w:val="28"/>
                <w:szCs w:val="28"/>
                <w:lang w:bidi="ar"/>
              </w:rPr>
              <w:t>畜</w:t>
            </w:r>
            <w:r>
              <w:rPr>
                <w:rFonts w:hint="eastAsia"/>
                <w:color w:val="000000"/>
                <w:kern w:val="0"/>
                <w:sz w:val="28"/>
                <w:szCs w:val="28"/>
                <w:lang w:bidi="ar"/>
              </w:rPr>
              <w:t>禽</w:t>
            </w:r>
            <w:r>
              <w:rPr>
                <w:color w:val="000000"/>
                <w:kern w:val="0"/>
                <w:sz w:val="28"/>
                <w:szCs w:val="28"/>
                <w:lang w:bidi="ar"/>
              </w:rPr>
              <w:t>类</w:t>
            </w:r>
          </w:p>
        </w:tc>
        <w:tc>
          <w:tcPr>
            <w:tcW w:w="2842" w:type="dxa"/>
            <w:vAlign w:val="center"/>
          </w:tcPr>
          <w:p>
            <w:pPr>
              <w:snapToGrid w:val="0"/>
              <w:jc w:val="left"/>
              <w:textAlignment w:val="center"/>
              <w:rPr>
                <w:color w:val="000000"/>
                <w:sz w:val="28"/>
                <w:szCs w:val="28"/>
              </w:rPr>
            </w:pPr>
            <w:r>
              <w:rPr>
                <w:color w:val="000000"/>
                <w:kern w:val="0"/>
                <w:sz w:val="28"/>
                <w:szCs w:val="28"/>
                <w:lang w:bidi="ar"/>
              </w:rPr>
              <w:t>马、牛等。</w:t>
            </w:r>
          </w:p>
        </w:tc>
        <w:tc>
          <w:tcPr>
            <w:tcW w:w="1245" w:type="dxa"/>
            <w:vAlign w:val="center"/>
          </w:tcPr>
          <w:p>
            <w:pPr>
              <w:snapToGrid w:val="0"/>
              <w:jc w:val="center"/>
              <w:textAlignment w:val="center"/>
              <w:rPr>
                <w:color w:val="000000"/>
                <w:sz w:val="28"/>
                <w:szCs w:val="28"/>
              </w:rPr>
            </w:pPr>
            <w:r>
              <w:rPr>
                <w:color w:val="000000"/>
                <w:kern w:val="0"/>
                <w:sz w:val="28"/>
                <w:szCs w:val="28"/>
                <w:lang w:bidi="ar"/>
              </w:rPr>
              <w:t>头</w:t>
            </w:r>
          </w:p>
        </w:tc>
        <w:tc>
          <w:tcPr>
            <w:tcW w:w="1530" w:type="dxa"/>
            <w:vAlign w:val="center"/>
          </w:tcPr>
          <w:p>
            <w:pPr>
              <w:snapToGrid w:val="0"/>
              <w:jc w:val="center"/>
              <w:textAlignment w:val="center"/>
              <w:rPr>
                <w:color w:val="000000"/>
                <w:sz w:val="28"/>
                <w:szCs w:val="28"/>
              </w:rPr>
            </w:pPr>
            <w:r>
              <w:rPr>
                <w:rFonts w:hint="eastAsia"/>
                <w:color w:val="000000"/>
                <w:kern w:val="0"/>
                <w:sz w:val="28"/>
                <w:szCs w:val="28"/>
                <w:lang w:bidi="ar"/>
              </w:rPr>
              <w:t>4</w:t>
            </w:r>
            <w:r>
              <w:rPr>
                <w:color w:val="000000"/>
                <w:kern w:val="0"/>
                <w:sz w:val="28"/>
                <w:szCs w:val="28"/>
                <w:lang w:bidi="ar"/>
              </w:rPr>
              <w:t>00</w:t>
            </w:r>
          </w:p>
        </w:tc>
        <w:tc>
          <w:tcPr>
            <w:tcW w:w="2445" w:type="dxa"/>
            <w:vAlign w:val="center"/>
          </w:tcPr>
          <w:p>
            <w:pPr>
              <w:snapToGrid w:val="0"/>
              <w:jc w:val="center"/>
              <w:textAlignment w:val="center"/>
              <w:rPr>
                <w:color w:val="000000"/>
                <w:sz w:val="28"/>
                <w:szCs w:val="28"/>
              </w:rPr>
            </w:pPr>
            <w:r>
              <w:rPr>
                <w:color w:val="000000"/>
                <w:kern w:val="0"/>
                <w:sz w:val="28"/>
                <w:szCs w:val="28"/>
                <w:lang w:bidi="ar"/>
              </w:rPr>
              <w:t>100公斤以下按50%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Ex>
        <w:trPr>
          <w:trHeight w:val="660" w:hRule="atLeast"/>
        </w:trPr>
        <w:tc>
          <w:tcPr>
            <w:tcW w:w="895" w:type="dxa"/>
            <w:vMerge w:val="continue"/>
            <w:vAlign w:val="center"/>
          </w:tcPr>
          <w:p>
            <w:pPr>
              <w:snapToGrid w:val="0"/>
              <w:jc w:val="center"/>
              <w:rPr>
                <w:color w:val="000000"/>
                <w:sz w:val="28"/>
                <w:szCs w:val="28"/>
              </w:rPr>
            </w:pPr>
          </w:p>
        </w:tc>
        <w:tc>
          <w:tcPr>
            <w:tcW w:w="2842" w:type="dxa"/>
            <w:vAlign w:val="center"/>
          </w:tcPr>
          <w:p>
            <w:pPr>
              <w:snapToGrid w:val="0"/>
              <w:jc w:val="left"/>
              <w:textAlignment w:val="center"/>
              <w:rPr>
                <w:color w:val="000000"/>
                <w:sz w:val="28"/>
                <w:szCs w:val="28"/>
              </w:rPr>
            </w:pPr>
            <w:r>
              <w:rPr>
                <w:color w:val="000000"/>
                <w:kern w:val="0"/>
                <w:sz w:val="28"/>
                <w:szCs w:val="28"/>
                <w:lang w:bidi="ar"/>
              </w:rPr>
              <w:t>猪等。</w:t>
            </w:r>
          </w:p>
        </w:tc>
        <w:tc>
          <w:tcPr>
            <w:tcW w:w="1245" w:type="dxa"/>
            <w:vAlign w:val="center"/>
          </w:tcPr>
          <w:p>
            <w:pPr>
              <w:snapToGrid w:val="0"/>
              <w:jc w:val="center"/>
              <w:textAlignment w:val="center"/>
              <w:rPr>
                <w:color w:val="000000"/>
                <w:sz w:val="28"/>
                <w:szCs w:val="28"/>
              </w:rPr>
            </w:pPr>
            <w:r>
              <w:rPr>
                <w:color w:val="000000"/>
                <w:kern w:val="0"/>
                <w:sz w:val="28"/>
                <w:szCs w:val="28"/>
                <w:lang w:bidi="ar"/>
              </w:rPr>
              <w:t>头</w:t>
            </w:r>
          </w:p>
        </w:tc>
        <w:tc>
          <w:tcPr>
            <w:tcW w:w="1530" w:type="dxa"/>
            <w:vAlign w:val="center"/>
          </w:tcPr>
          <w:p>
            <w:pPr>
              <w:snapToGrid w:val="0"/>
              <w:jc w:val="center"/>
              <w:textAlignment w:val="center"/>
              <w:rPr>
                <w:color w:val="000000"/>
                <w:sz w:val="28"/>
                <w:szCs w:val="28"/>
              </w:rPr>
            </w:pPr>
            <w:r>
              <w:rPr>
                <w:rFonts w:hint="eastAsia"/>
                <w:color w:val="000000"/>
                <w:kern w:val="0"/>
                <w:sz w:val="28"/>
                <w:szCs w:val="28"/>
                <w:lang w:bidi="ar"/>
              </w:rPr>
              <w:t>12</w:t>
            </w:r>
            <w:r>
              <w:rPr>
                <w:color w:val="000000"/>
                <w:kern w:val="0"/>
                <w:sz w:val="28"/>
                <w:szCs w:val="28"/>
                <w:lang w:bidi="ar"/>
              </w:rPr>
              <w:t>0</w:t>
            </w:r>
          </w:p>
        </w:tc>
        <w:tc>
          <w:tcPr>
            <w:tcW w:w="2445" w:type="dxa"/>
            <w:vAlign w:val="center"/>
          </w:tcPr>
          <w:p>
            <w:pPr>
              <w:snapToGrid w:val="0"/>
              <w:jc w:val="center"/>
              <w:textAlignment w:val="center"/>
              <w:rPr>
                <w:color w:val="000000"/>
                <w:sz w:val="28"/>
                <w:szCs w:val="28"/>
              </w:rPr>
            </w:pPr>
            <w:r>
              <w:rPr>
                <w:color w:val="000000"/>
                <w:kern w:val="0"/>
                <w:sz w:val="28"/>
                <w:szCs w:val="28"/>
                <w:lang w:bidi="ar"/>
              </w:rPr>
              <w:t>30公斤以下按50%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Ex>
        <w:trPr>
          <w:trHeight w:val="660" w:hRule="atLeast"/>
        </w:trPr>
        <w:tc>
          <w:tcPr>
            <w:tcW w:w="895" w:type="dxa"/>
            <w:vMerge w:val="continue"/>
            <w:vAlign w:val="center"/>
          </w:tcPr>
          <w:p>
            <w:pPr>
              <w:snapToGrid w:val="0"/>
              <w:jc w:val="center"/>
              <w:rPr>
                <w:color w:val="000000"/>
                <w:sz w:val="28"/>
                <w:szCs w:val="28"/>
              </w:rPr>
            </w:pPr>
          </w:p>
        </w:tc>
        <w:tc>
          <w:tcPr>
            <w:tcW w:w="2842" w:type="dxa"/>
            <w:vAlign w:val="center"/>
          </w:tcPr>
          <w:p>
            <w:pPr>
              <w:snapToGrid w:val="0"/>
              <w:jc w:val="left"/>
              <w:textAlignment w:val="center"/>
              <w:rPr>
                <w:color w:val="000000"/>
                <w:sz w:val="28"/>
                <w:szCs w:val="28"/>
              </w:rPr>
            </w:pPr>
            <w:r>
              <w:rPr>
                <w:color w:val="000000"/>
                <w:kern w:val="0"/>
                <w:sz w:val="28"/>
                <w:szCs w:val="28"/>
                <w:lang w:bidi="ar"/>
              </w:rPr>
              <w:t>羊、</w:t>
            </w:r>
            <w:r>
              <w:rPr>
                <w:rFonts w:hint="eastAsia"/>
                <w:color w:val="000000"/>
                <w:kern w:val="0"/>
                <w:sz w:val="28"/>
                <w:szCs w:val="28"/>
                <w:lang w:bidi="ar"/>
              </w:rPr>
              <w:t>狗</w:t>
            </w:r>
            <w:r>
              <w:rPr>
                <w:color w:val="000000"/>
                <w:kern w:val="0"/>
                <w:sz w:val="28"/>
                <w:szCs w:val="28"/>
                <w:lang w:bidi="ar"/>
              </w:rPr>
              <w:t>等。</w:t>
            </w:r>
          </w:p>
        </w:tc>
        <w:tc>
          <w:tcPr>
            <w:tcW w:w="1245" w:type="dxa"/>
            <w:vAlign w:val="center"/>
          </w:tcPr>
          <w:p>
            <w:pPr>
              <w:snapToGrid w:val="0"/>
              <w:jc w:val="center"/>
              <w:textAlignment w:val="center"/>
              <w:rPr>
                <w:color w:val="000000"/>
                <w:sz w:val="28"/>
                <w:szCs w:val="28"/>
              </w:rPr>
            </w:pPr>
            <w:r>
              <w:rPr>
                <w:color w:val="000000"/>
                <w:kern w:val="0"/>
                <w:sz w:val="28"/>
                <w:szCs w:val="28"/>
                <w:lang w:bidi="ar"/>
              </w:rPr>
              <w:t>只</w:t>
            </w:r>
          </w:p>
        </w:tc>
        <w:tc>
          <w:tcPr>
            <w:tcW w:w="1530" w:type="dxa"/>
            <w:vAlign w:val="center"/>
          </w:tcPr>
          <w:p>
            <w:pPr>
              <w:snapToGrid w:val="0"/>
              <w:jc w:val="center"/>
              <w:textAlignment w:val="center"/>
              <w:rPr>
                <w:color w:val="000000"/>
                <w:sz w:val="28"/>
                <w:szCs w:val="28"/>
              </w:rPr>
            </w:pPr>
            <w:r>
              <w:rPr>
                <w:rFonts w:hint="eastAsia"/>
                <w:color w:val="000000"/>
                <w:kern w:val="0"/>
                <w:sz w:val="28"/>
                <w:szCs w:val="28"/>
                <w:lang w:bidi="ar"/>
              </w:rPr>
              <w:t>60</w:t>
            </w:r>
          </w:p>
        </w:tc>
        <w:tc>
          <w:tcPr>
            <w:tcW w:w="2445" w:type="dxa"/>
            <w:vAlign w:val="center"/>
          </w:tcPr>
          <w:p>
            <w:pPr>
              <w:snapToGrid w:val="0"/>
              <w:jc w:val="center"/>
              <w:textAlignment w:val="center"/>
              <w:rPr>
                <w:color w:val="000000"/>
                <w:sz w:val="28"/>
                <w:szCs w:val="28"/>
              </w:rPr>
            </w:pPr>
            <w:r>
              <w:rPr>
                <w:color w:val="000000"/>
                <w:kern w:val="0"/>
                <w:sz w:val="28"/>
                <w:szCs w:val="28"/>
                <w:lang w:bidi="ar"/>
              </w:rPr>
              <w:t>幼崽类按50%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Ex>
        <w:trPr>
          <w:trHeight w:val="1095" w:hRule="atLeast"/>
        </w:trPr>
        <w:tc>
          <w:tcPr>
            <w:tcW w:w="895" w:type="dxa"/>
            <w:vMerge w:val="continue"/>
            <w:vAlign w:val="center"/>
          </w:tcPr>
          <w:p>
            <w:pPr>
              <w:snapToGrid w:val="0"/>
              <w:jc w:val="center"/>
              <w:rPr>
                <w:color w:val="000000"/>
                <w:sz w:val="28"/>
                <w:szCs w:val="28"/>
              </w:rPr>
            </w:pPr>
          </w:p>
        </w:tc>
        <w:tc>
          <w:tcPr>
            <w:tcW w:w="2842" w:type="dxa"/>
            <w:vAlign w:val="center"/>
          </w:tcPr>
          <w:p>
            <w:pPr>
              <w:snapToGrid w:val="0"/>
              <w:jc w:val="left"/>
              <w:textAlignment w:val="center"/>
              <w:rPr>
                <w:color w:val="000000"/>
                <w:sz w:val="28"/>
                <w:szCs w:val="28"/>
              </w:rPr>
            </w:pPr>
            <w:r>
              <w:rPr>
                <w:color w:val="000000"/>
                <w:kern w:val="0"/>
                <w:sz w:val="28"/>
                <w:szCs w:val="28"/>
                <w:lang w:bidi="ar"/>
              </w:rPr>
              <w:t>鸡、鸭、鹅、鸽子、兔、黑豚（金猪）</w:t>
            </w:r>
            <w:r>
              <w:rPr>
                <w:rStyle w:val="10"/>
                <w:rFonts w:hint="default" w:ascii="Times New Roman" w:hAnsi="Times New Roman" w:cs="Times New Roman"/>
                <w:sz w:val="28"/>
                <w:szCs w:val="28"/>
                <w:lang w:bidi="ar"/>
              </w:rPr>
              <w:t>、蛇等。</w:t>
            </w:r>
          </w:p>
        </w:tc>
        <w:tc>
          <w:tcPr>
            <w:tcW w:w="1245" w:type="dxa"/>
            <w:vAlign w:val="center"/>
          </w:tcPr>
          <w:p>
            <w:pPr>
              <w:snapToGrid w:val="0"/>
              <w:jc w:val="center"/>
              <w:textAlignment w:val="center"/>
              <w:rPr>
                <w:color w:val="000000"/>
                <w:sz w:val="28"/>
                <w:szCs w:val="28"/>
              </w:rPr>
            </w:pPr>
            <w:r>
              <w:rPr>
                <w:color w:val="000000"/>
                <w:kern w:val="0"/>
                <w:sz w:val="28"/>
                <w:szCs w:val="28"/>
                <w:lang w:bidi="ar"/>
              </w:rPr>
              <w:t>只（条）</w:t>
            </w:r>
          </w:p>
        </w:tc>
        <w:tc>
          <w:tcPr>
            <w:tcW w:w="1530" w:type="dxa"/>
            <w:vAlign w:val="center"/>
          </w:tcPr>
          <w:p>
            <w:pPr>
              <w:snapToGrid w:val="0"/>
              <w:jc w:val="center"/>
              <w:textAlignment w:val="center"/>
              <w:rPr>
                <w:color w:val="000000"/>
                <w:sz w:val="28"/>
                <w:szCs w:val="28"/>
              </w:rPr>
            </w:pPr>
            <w:r>
              <w:rPr>
                <w:color w:val="000000"/>
                <w:kern w:val="0"/>
                <w:sz w:val="28"/>
                <w:szCs w:val="28"/>
                <w:lang w:bidi="ar"/>
              </w:rPr>
              <w:t>10</w:t>
            </w:r>
          </w:p>
        </w:tc>
        <w:tc>
          <w:tcPr>
            <w:tcW w:w="2445" w:type="dxa"/>
            <w:vAlign w:val="center"/>
          </w:tcPr>
          <w:p>
            <w:pPr>
              <w:snapToGrid w:val="0"/>
              <w:jc w:val="center"/>
              <w:textAlignment w:val="center"/>
              <w:rPr>
                <w:color w:val="000000"/>
                <w:sz w:val="28"/>
                <w:szCs w:val="28"/>
              </w:rPr>
            </w:pPr>
            <w:r>
              <w:rPr>
                <w:color w:val="000000"/>
                <w:kern w:val="0"/>
                <w:sz w:val="28"/>
                <w:szCs w:val="28"/>
                <w:lang w:bidi="ar"/>
              </w:rPr>
              <w:t>幼崽类</w:t>
            </w:r>
            <w:r>
              <w:rPr>
                <w:rFonts w:hint="eastAsia"/>
                <w:color w:val="000000"/>
                <w:kern w:val="0"/>
                <w:sz w:val="28"/>
                <w:szCs w:val="28"/>
                <w:lang w:bidi="ar"/>
              </w:rPr>
              <w:t>按3元</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Ex>
        <w:trPr>
          <w:trHeight w:val="660" w:hRule="atLeast"/>
        </w:trPr>
        <w:tc>
          <w:tcPr>
            <w:tcW w:w="895" w:type="dxa"/>
            <w:vMerge w:val="continue"/>
            <w:vAlign w:val="center"/>
          </w:tcPr>
          <w:p>
            <w:pPr>
              <w:snapToGrid w:val="0"/>
              <w:jc w:val="center"/>
              <w:rPr>
                <w:color w:val="000000"/>
                <w:sz w:val="28"/>
                <w:szCs w:val="28"/>
              </w:rPr>
            </w:pPr>
          </w:p>
        </w:tc>
        <w:tc>
          <w:tcPr>
            <w:tcW w:w="2842" w:type="dxa"/>
            <w:vAlign w:val="center"/>
          </w:tcPr>
          <w:p>
            <w:pPr>
              <w:snapToGrid w:val="0"/>
              <w:jc w:val="left"/>
              <w:textAlignment w:val="center"/>
              <w:rPr>
                <w:color w:val="000000"/>
                <w:sz w:val="28"/>
                <w:szCs w:val="28"/>
              </w:rPr>
            </w:pPr>
            <w:r>
              <w:rPr>
                <w:color w:val="000000"/>
                <w:kern w:val="0"/>
                <w:sz w:val="28"/>
                <w:szCs w:val="28"/>
                <w:lang w:bidi="ar"/>
              </w:rPr>
              <w:t>蜂等。</w:t>
            </w:r>
          </w:p>
        </w:tc>
        <w:tc>
          <w:tcPr>
            <w:tcW w:w="1245" w:type="dxa"/>
            <w:vAlign w:val="center"/>
          </w:tcPr>
          <w:p>
            <w:pPr>
              <w:snapToGrid w:val="0"/>
              <w:jc w:val="center"/>
              <w:textAlignment w:val="center"/>
              <w:rPr>
                <w:color w:val="000000"/>
                <w:sz w:val="28"/>
                <w:szCs w:val="28"/>
              </w:rPr>
            </w:pPr>
            <w:r>
              <w:rPr>
                <w:color w:val="000000"/>
                <w:kern w:val="0"/>
                <w:sz w:val="28"/>
                <w:szCs w:val="28"/>
                <w:lang w:bidi="ar"/>
              </w:rPr>
              <w:t>标准箱</w:t>
            </w:r>
          </w:p>
        </w:tc>
        <w:tc>
          <w:tcPr>
            <w:tcW w:w="1530" w:type="dxa"/>
            <w:vAlign w:val="center"/>
          </w:tcPr>
          <w:p>
            <w:pPr>
              <w:snapToGrid w:val="0"/>
              <w:jc w:val="center"/>
              <w:textAlignment w:val="center"/>
              <w:rPr>
                <w:color w:val="000000"/>
                <w:sz w:val="28"/>
                <w:szCs w:val="28"/>
              </w:rPr>
            </w:pPr>
            <w:r>
              <w:rPr>
                <w:color w:val="000000"/>
                <w:kern w:val="0"/>
                <w:sz w:val="28"/>
                <w:szCs w:val="28"/>
                <w:lang w:bidi="ar"/>
              </w:rPr>
              <w:t>100</w:t>
            </w:r>
          </w:p>
        </w:tc>
        <w:tc>
          <w:tcPr>
            <w:tcW w:w="2445" w:type="dxa"/>
            <w:vAlign w:val="center"/>
          </w:tcPr>
          <w:p>
            <w:pPr>
              <w:snapToGrid w:val="0"/>
              <w:jc w:val="center"/>
              <w:rPr>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Ex>
        <w:trPr>
          <w:trHeight w:val="876" w:hRule="atLeast"/>
        </w:trPr>
        <w:tc>
          <w:tcPr>
            <w:tcW w:w="895" w:type="dxa"/>
            <w:vMerge w:val="continue"/>
            <w:vAlign w:val="center"/>
          </w:tcPr>
          <w:p>
            <w:pPr>
              <w:snapToGrid w:val="0"/>
              <w:jc w:val="center"/>
              <w:rPr>
                <w:color w:val="000000"/>
                <w:sz w:val="28"/>
                <w:szCs w:val="28"/>
              </w:rPr>
            </w:pPr>
          </w:p>
        </w:tc>
        <w:tc>
          <w:tcPr>
            <w:tcW w:w="2842" w:type="dxa"/>
            <w:vAlign w:val="center"/>
          </w:tcPr>
          <w:p>
            <w:pPr>
              <w:snapToGrid w:val="0"/>
              <w:jc w:val="left"/>
              <w:textAlignment w:val="center"/>
              <w:rPr>
                <w:color w:val="000000"/>
                <w:sz w:val="28"/>
                <w:szCs w:val="28"/>
              </w:rPr>
            </w:pPr>
            <w:r>
              <w:rPr>
                <w:color w:val="000000"/>
                <w:kern w:val="0"/>
                <w:sz w:val="28"/>
                <w:szCs w:val="28"/>
                <w:lang w:bidi="ar"/>
              </w:rPr>
              <w:t>养殖设施设备：产床、饲料加工设备、</w:t>
            </w:r>
            <w:r>
              <w:rPr>
                <w:rFonts w:hint="eastAsia"/>
                <w:color w:val="000000"/>
                <w:kern w:val="0"/>
                <w:sz w:val="28"/>
                <w:szCs w:val="28"/>
                <w:lang w:bidi="ar"/>
              </w:rPr>
              <w:t>饲养</w:t>
            </w:r>
            <w:r>
              <w:rPr>
                <w:color w:val="000000"/>
                <w:kern w:val="0"/>
                <w:sz w:val="28"/>
                <w:szCs w:val="28"/>
                <w:lang w:bidi="ar"/>
              </w:rPr>
              <w:t>笼、制冷机组、保温板、封冷辅助材料、粪尿处理设备、防疫设备等。</w:t>
            </w:r>
          </w:p>
        </w:tc>
        <w:tc>
          <w:tcPr>
            <w:tcW w:w="1245" w:type="dxa"/>
            <w:vAlign w:val="center"/>
          </w:tcPr>
          <w:p>
            <w:pPr>
              <w:snapToGrid w:val="0"/>
              <w:jc w:val="center"/>
              <w:rPr>
                <w:color w:val="000000"/>
                <w:sz w:val="28"/>
                <w:szCs w:val="28"/>
              </w:rPr>
            </w:pPr>
          </w:p>
        </w:tc>
        <w:tc>
          <w:tcPr>
            <w:tcW w:w="1530" w:type="dxa"/>
            <w:vAlign w:val="center"/>
          </w:tcPr>
          <w:p>
            <w:pPr>
              <w:snapToGrid w:val="0"/>
              <w:jc w:val="center"/>
              <w:textAlignment w:val="center"/>
              <w:rPr>
                <w:color w:val="000000"/>
                <w:sz w:val="28"/>
                <w:szCs w:val="28"/>
              </w:rPr>
            </w:pPr>
            <w:r>
              <w:rPr>
                <w:color w:val="000000"/>
                <w:kern w:val="0"/>
                <w:sz w:val="28"/>
                <w:szCs w:val="28"/>
                <w:lang w:bidi="ar"/>
              </w:rPr>
              <w:t>按购买时市场价格的20</w:t>
            </w:r>
            <w:r>
              <w:rPr>
                <w:rStyle w:val="11"/>
                <w:rFonts w:hint="default" w:ascii="Times New Roman" w:hAnsi="Times New Roman" w:cs="Times New Roman"/>
                <w:sz w:val="28"/>
                <w:szCs w:val="28"/>
                <w:lang w:bidi="ar"/>
              </w:rPr>
              <w:t>%</w:t>
            </w:r>
          </w:p>
        </w:tc>
        <w:tc>
          <w:tcPr>
            <w:tcW w:w="2445" w:type="dxa"/>
            <w:vAlign w:val="center"/>
          </w:tcPr>
          <w:p>
            <w:pPr>
              <w:snapToGrid w:val="0"/>
              <w:jc w:val="center"/>
              <w:textAlignment w:val="center"/>
              <w:rPr>
                <w:color w:val="000000"/>
                <w:sz w:val="28"/>
                <w:szCs w:val="28"/>
              </w:rPr>
            </w:pPr>
          </w:p>
        </w:tc>
      </w:tr>
    </w:tbl>
    <w:p>
      <w:pPr>
        <w:pStyle w:val="8"/>
        <w:rPr>
          <w:rFonts w:ascii="Times New Roman" w:hAnsi="Times New Roman" w:eastAsia="方正黑体_GBK" w:cs="Times New Roman"/>
          <w:sz w:val="32"/>
          <w:szCs w:val="32"/>
        </w:rPr>
      </w:pPr>
      <w:r>
        <w:rPr>
          <w:rFonts w:hint="eastAsia" w:ascii="方正仿宋_GBK" w:hAnsi="方正仿宋_GBK" w:eastAsia="方正仿宋_GBK" w:cs="方正仿宋_GBK"/>
          <w:sz w:val="28"/>
          <w:szCs w:val="28"/>
        </w:rPr>
        <w:t>说明：未明确标准的类别可参照相同或相近类别标准执行。</w:t>
      </w:r>
    </w:p>
    <w:p>
      <w:pPr>
        <w:spacing w:line="570" w:lineRule="exact"/>
        <w:rPr>
          <w:rFonts w:eastAsia="方正小标宋_GBK"/>
          <w:color w:val="000000"/>
          <w:sz w:val="44"/>
          <w:szCs w:val="44"/>
        </w:rPr>
      </w:pPr>
      <w:r>
        <w:rPr>
          <w:rFonts w:eastAsia="方正黑体_GBK"/>
          <w:color w:val="000000"/>
          <w:szCs w:val="32"/>
        </w:rPr>
        <w:br w:type="page"/>
      </w:r>
      <w:r>
        <w:rPr>
          <w:rFonts w:eastAsia="方正黑体_GBK"/>
          <w:color w:val="000000"/>
          <w:szCs w:val="32"/>
        </w:rPr>
        <w:t>附件6</w:t>
      </w:r>
    </w:p>
    <w:p>
      <w:pPr>
        <w:widowControl w:val="0"/>
        <w:snapToGrid w:val="0"/>
        <w:jc w:val="center"/>
        <w:rPr>
          <w:rFonts w:ascii="方正小标宋_GBK" w:eastAsia="方正小标宋_GBK"/>
          <w:sz w:val="36"/>
          <w:szCs w:val="36"/>
        </w:rPr>
      </w:pPr>
      <w:r>
        <w:rPr>
          <w:rFonts w:ascii="方正小标宋_GBK" w:eastAsia="方正小标宋_GBK"/>
          <w:sz w:val="36"/>
          <w:szCs w:val="36"/>
        </w:rPr>
        <w:t>秀山县农村住房货币安置价格标准</w:t>
      </w:r>
    </w:p>
    <w:tbl>
      <w:tblPr>
        <w:tblStyle w:val="7"/>
        <w:tblW w:w="90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543"/>
        <w:gridCol w:w="2127"/>
        <w:gridCol w:w="22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101" w:type="dxa"/>
            <w:shd w:val="clear" w:color="auto" w:fill="auto"/>
            <w:vAlign w:val="center"/>
          </w:tcPr>
          <w:p>
            <w:pPr>
              <w:snapToGrid w:val="0"/>
              <w:jc w:val="center"/>
              <w:rPr>
                <w:rFonts w:ascii="黑体" w:hAnsi="黑体" w:eastAsia="黑体"/>
                <w:color w:val="000000"/>
                <w:sz w:val="28"/>
                <w:szCs w:val="28"/>
              </w:rPr>
            </w:pPr>
            <w:r>
              <w:rPr>
                <w:rFonts w:ascii="黑体" w:hAnsi="黑体" w:eastAsia="黑体"/>
                <w:color w:val="000000"/>
                <w:sz w:val="28"/>
                <w:szCs w:val="28"/>
              </w:rPr>
              <w:t>区片</w:t>
            </w:r>
          </w:p>
        </w:tc>
        <w:tc>
          <w:tcPr>
            <w:tcW w:w="3543" w:type="dxa"/>
            <w:shd w:val="clear" w:color="auto" w:fill="auto"/>
            <w:vAlign w:val="center"/>
          </w:tcPr>
          <w:p>
            <w:pPr>
              <w:snapToGrid w:val="0"/>
              <w:jc w:val="center"/>
              <w:rPr>
                <w:rFonts w:hint="eastAsia" w:ascii="黑体" w:hAnsi="黑体" w:eastAsia="黑体"/>
                <w:color w:val="000000"/>
                <w:sz w:val="28"/>
                <w:szCs w:val="28"/>
              </w:rPr>
            </w:pPr>
            <w:r>
              <w:rPr>
                <w:rFonts w:hint="eastAsia" w:ascii="黑体" w:hAnsi="黑体" w:eastAsia="黑体"/>
                <w:color w:val="000000"/>
                <w:sz w:val="28"/>
                <w:szCs w:val="28"/>
              </w:rPr>
              <w:t>具体范围</w:t>
            </w:r>
          </w:p>
        </w:tc>
        <w:tc>
          <w:tcPr>
            <w:tcW w:w="2127" w:type="dxa"/>
            <w:shd w:val="clear" w:color="auto" w:fill="auto"/>
            <w:vAlign w:val="center"/>
          </w:tcPr>
          <w:p>
            <w:pPr>
              <w:snapToGrid w:val="0"/>
              <w:jc w:val="center"/>
              <w:rPr>
                <w:rFonts w:ascii="黑体" w:hAnsi="黑体" w:eastAsia="黑体"/>
                <w:color w:val="000000"/>
                <w:sz w:val="28"/>
                <w:szCs w:val="28"/>
              </w:rPr>
            </w:pPr>
            <w:r>
              <w:rPr>
                <w:rFonts w:ascii="黑体" w:hAnsi="黑体" w:eastAsia="黑体"/>
                <w:color w:val="000000"/>
                <w:sz w:val="28"/>
                <w:szCs w:val="28"/>
              </w:rPr>
              <w:t>标准</w:t>
            </w:r>
          </w:p>
          <w:p>
            <w:pPr>
              <w:snapToGrid w:val="0"/>
              <w:jc w:val="center"/>
              <w:rPr>
                <w:rFonts w:ascii="黑体" w:hAnsi="黑体" w:eastAsia="黑体"/>
                <w:color w:val="000000"/>
                <w:sz w:val="28"/>
                <w:szCs w:val="28"/>
              </w:rPr>
            </w:pPr>
            <w:r>
              <w:rPr>
                <w:rFonts w:ascii="黑体" w:hAnsi="黑体" w:eastAsia="黑体"/>
                <w:color w:val="000000"/>
                <w:sz w:val="28"/>
                <w:szCs w:val="28"/>
              </w:rPr>
              <w:t>（元／平方米）</w:t>
            </w:r>
          </w:p>
        </w:tc>
        <w:tc>
          <w:tcPr>
            <w:tcW w:w="2274" w:type="dxa"/>
            <w:shd w:val="clear" w:color="auto" w:fill="auto"/>
            <w:vAlign w:val="center"/>
          </w:tcPr>
          <w:p>
            <w:pPr>
              <w:snapToGrid w:val="0"/>
              <w:jc w:val="center"/>
              <w:rPr>
                <w:rFonts w:ascii="黑体" w:hAnsi="黑体" w:eastAsia="黑体"/>
                <w:color w:val="000000"/>
                <w:sz w:val="28"/>
                <w:szCs w:val="28"/>
              </w:rPr>
            </w:pPr>
            <w:r>
              <w:rPr>
                <w:rFonts w:ascii="黑体" w:hAnsi="黑体" w:eastAsia="黑体"/>
                <w:color w:val="000000"/>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1101" w:type="dxa"/>
            <w:shd w:val="clear" w:color="auto" w:fill="auto"/>
            <w:vAlign w:val="center"/>
          </w:tcPr>
          <w:p>
            <w:pPr>
              <w:snapToGrid w:val="0"/>
              <w:jc w:val="center"/>
              <w:rPr>
                <w:color w:val="000000"/>
                <w:sz w:val="28"/>
                <w:szCs w:val="28"/>
              </w:rPr>
            </w:pPr>
            <w:r>
              <w:rPr>
                <w:color w:val="000000"/>
                <w:sz w:val="28"/>
                <w:szCs w:val="28"/>
              </w:rPr>
              <w:t>Ⅰ</w:t>
            </w:r>
          </w:p>
        </w:tc>
        <w:tc>
          <w:tcPr>
            <w:tcW w:w="3543" w:type="dxa"/>
            <w:shd w:val="clear" w:color="auto" w:fill="auto"/>
            <w:vAlign w:val="center"/>
          </w:tcPr>
          <w:p>
            <w:pPr>
              <w:snapToGrid w:val="0"/>
              <w:jc w:val="center"/>
              <w:rPr>
                <w:color w:val="000000"/>
                <w:sz w:val="28"/>
                <w:szCs w:val="28"/>
              </w:rPr>
            </w:pPr>
            <w:r>
              <w:rPr>
                <w:rFonts w:hint="eastAsia"/>
                <w:color w:val="000000"/>
                <w:sz w:val="28"/>
                <w:szCs w:val="28"/>
              </w:rPr>
              <w:t>县城外环线内</w:t>
            </w:r>
          </w:p>
        </w:tc>
        <w:tc>
          <w:tcPr>
            <w:tcW w:w="2127" w:type="dxa"/>
            <w:shd w:val="clear" w:color="auto" w:fill="auto"/>
            <w:vAlign w:val="center"/>
          </w:tcPr>
          <w:p>
            <w:pPr>
              <w:snapToGrid w:val="0"/>
              <w:jc w:val="center"/>
              <w:rPr>
                <w:rFonts w:hint="eastAsia"/>
                <w:color w:val="000000"/>
                <w:sz w:val="28"/>
                <w:szCs w:val="28"/>
              </w:rPr>
            </w:pPr>
            <w:r>
              <w:rPr>
                <w:color w:val="000000"/>
                <w:sz w:val="28"/>
                <w:szCs w:val="28"/>
              </w:rPr>
              <w:t>438</w:t>
            </w:r>
            <w:r>
              <w:rPr>
                <w:rFonts w:hint="eastAsia"/>
                <w:color w:val="000000"/>
                <w:sz w:val="28"/>
                <w:szCs w:val="28"/>
              </w:rPr>
              <w:t>0</w:t>
            </w:r>
          </w:p>
        </w:tc>
        <w:tc>
          <w:tcPr>
            <w:tcW w:w="2274" w:type="dxa"/>
            <w:shd w:val="clear" w:color="auto" w:fill="auto"/>
            <w:vAlign w:val="center"/>
          </w:tcPr>
          <w:p>
            <w:pPr>
              <w:snapToGrid w:val="0"/>
              <w:jc w:val="center"/>
              <w:rPr>
                <w:rFonts w:hint="eastAsia"/>
                <w:color w:val="000000"/>
                <w:sz w:val="28"/>
                <w:szCs w:val="28"/>
              </w:rPr>
            </w:pPr>
            <w:r>
              <w:rPr>
                <w:rFonts w:hint="eastAsia"/>
                <w:color w:val="000000"/>
                <w:sz w:val="28"/>
                <w:szCs w:val="28"/>
              </w:rPr>
              <w:t>东段及东北角以《秀山县城乡总体规划（2015—2030）》城市开发边界为界线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101" w:type="dxa"/>
            <w:shd w:val="clear" w:color="auto" w:fill="auto"/>
            <w:vAlign w:val="center"/>
          </w:tcPr>
          <w:p>
            <w:pPr>
              <w:snapToGrid w:val="0"/>
              <w:jc w:val="center"/>
              <w:rPr>
                <w:color w:val="000000"/>
                <w:sz w:val="28"/>
                <w:szCs w:val="28"/>
              </w:rPr>
            </w:pPr>
            <w:r>
              <w:rPr>
                <w:color w:val="000000"/>
                <w:sz w:val="28"/>
                <w:szCs w:val="28"/>
              </w:rPr>
              <w:t>Ⅰ</w:t>
            </w:r>
          </w:p>
        </w:tc>
        <w:tc>
          <w:tcPr>
            <w:tcW w:w="3543" w:type="dxa"/>
            <w:shd w:val="clear" w:color="auto" w:fill="auto"/>
            <w:vAlign w:val="center"/>
          </w:tcPr>
          <w:p>
            <w:pPr>
              <w:snapToGrid w:val="0"/>
              <w:jc w:val="center"/>
              <w:rPr>
                <w:color w:val="000000"/>
                <w:sz w:val="28"/>
                <w:szCs w:val="28"/>
              </w:rPr>
            </w:pPr>
            <w:r>
              <w:rPr>
                <w:rFonts w:hint="eastAsia"/>
                <w:color w:val="000000"/>
                <w:sz w:val="28"/>
                <w:szCs w:val="28"/>
              </w:rPr>
              <w:t>县城外环线外的</w:t>
            </w:r>
            <w:r>
              <w:rPr>
                <w:color w:val="000000"/>
                <w:sz w:val="28"/>
                <w:szCs w:val="28"/>
              </w:rPr>
              <w:t>Ⅰ</w:t>
            </w:r>
            <w:r>
              <w:rPr>
                <w:rFonts w:hint="eastAsia"/>
                <w:color w:val="000000"/>
                <w:sz w:val="28"/>
                <w:szCs w:val="28"/>
              </w:rPr>
              <w:t>区片</w:t>
            </w:r>
          </w:p>
        </w:tc>
        <w:tc>
          <w:tcPr>
            <w:tcW w:w="2127" w:type="dxa"/>
            <w:shd w:val="clear" w:color="auto" w:fill="auto"/>
            <w:vAlign w:val="center"/>
          </w:tcPr>
          <w:p>
            <w:pPr>
              <w:snapToGrid w:val="0"/>
              <w:jc w:val="center"/>
              <w:rPr>
                <w:color w:val="000000"/>
                <w:sz w:val="28"/>
                <w:szCs w:val="28"/>
              </w:rPr>
            </w:pPr>
            <w:r>
              <w:rPr>
                <w:rFonts w:hint="eastAsia"/>
                <w:color w:val="000000"/>
                <w:sz w:val="28"/>
                <w:szCs w:val="28"/>
              </w:rPr>
              <w:t>2550</w:t>
            </w:r>
          </w:p>
        </w:tc>
        <w:tc>
          <w:tcPr>
            <w:tcW w:w="2274" w:type="dxa"/>
            <w:shd w:val="clear" w:color="auto" w:fill="auto"/>
            <w:vAlign w:val="center"/>
          </w:tcPr>
          <w:p>
            <w:pPr>
              <w:snapToGrid w:val="0"/>
              <w:jc w:val="center"/>
              <w:rPr>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101" w:type="dxa"/>
            <w:shd w:val="clear" w:color="auto" w:fill="auto"/>
            <w:vAlign w:val="center"/>
          </w:tcPr>
          <w:p>
            <w:pPr>
              <w:snapToGrid w:val="0"/>
              <w:jc w:val="center"/>
              <w:rPr>
                <w:color w:val="000000"/>
                <w:sz w:val="28"/>
                <w:szCs w:val="28"/>
              </w:rPr>
            </w:pPr>
            <w:r>
              <w:rPr>
                <w:color w:val="000000"/>
                <w:sz w:val="28"/>
                <w:szCs w:val="28"/>
              </w:rPr>
              <w:t>Ⅱ</w:t>
            </w:r>
          </w:p>
        </w:tc>
        <w:tc>
          <w:tcPr>
            <w:tcW w:w="3543" w:type="dxa"/>
            <w:shd w:val="clear" w:color="auto" w:fill="auto"/>
            <w:vAlign w:val="center"/>
          </w:tcPr>
          <w:p>
            <w:pPr>
              <w:snapToGrid w:val="0"/>
              <w:jc w:val="center"/>
              <w:rPr>
                <w:color w:val="000000"/>
                <w:sz w:val="28"/>
                <w:szCs w:val="28"/>
              </w:rPr>
            </w:pPr>
            <w:r>
              <w:rPr>
                <w:rFonts w:hint="eastAsia"/>
                <w:color w:val="000000"/>
                <w:sz w:val="28"/>
                <w:szCs w:val="28"/>
              </w:rPr>
              <w:t>清溪场镇</w:t>
            </w:r>
          </w:p>
        </w:tc>
        <w:tc>
          <w:tcPr>
            <w:tcW w:w="2127" w:type="dxa"/>
            <w:shd w:val="clear" w:color="auto" w:fill="auto"/>
            <w:vAlign w:val="center"/>
          </w:tcPr>
          <w:p>
            <w:pPr>
              <w:snapToGrid w:val="0"/>
              <w:jc w:val="center"/>
              <w:rPr>
                <w:color w:val="000000"/>
                <w:sz w:val="28"/>
                <w:szCs w:val="28"/>
              </w:rPr>
            </w:pPr>
            <w:r>
              <w:rPr>
                <w:rFonts w:hint="eastAsia"/>
                <w:color w:val="000000"/>
                <w:sz w:val="28"/>
                <w:szCs w:val="28"/>
              </w:rPr>
              <w:t>2550</w:t>
            </w:r>
          </w:p>
        </w:tc>
        <w:tc>
          <w:tcPr>
            <w:tcW w:w="2274" w:type="dxa"/>
            <w:shd w:val="clear" w:color="auto" w:fill="auto"/>
            <w:vAlign w:val="center"/>
          </w:tcPr>
          <w:p>
            <w:pPr>
              <w:snapToGrid w:val="0"/>
              <w:jc w:val="center"/>
              <w:rPr>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1101" w:type="dxa"/>
            <w:shd w:val="clear" w:color="auto" w:fill="auto"/>
            <w:vAlign w:val="center"/>
          </w:tcPr>
          <w:p>
            <w:pPr>
              <w:snapToGrid w:val="0"/>
              <w:jc w:val="center"/>
              <w:rPr>
                <w:color w:val="000000"/>
                <w:sz w:val="28"/>
                <w:szCs w:val="28"/>
              </w:rPr>
            </w:pPr>
            <w:r>
              <w:rPr>
                <w:color w:val="000000"/>
                <w:sz w:val="28"/>
                <w:szCs w:val="28"/>
              </w:rPr>
              <w:t>Ⅱ</w:t>
            </w:r>
            <w:r>
              <w:rPr>
                <w:rFonts w:hint="eastAsia"/>
                <w:color w:val="000000"/>
                <w:sz w:val="28"/>
                <w:szCs w:val="28"/>
              </w:rPr>
              <w:t>、</w:t>
            </w:r>
            <w:r>
              <w:rPr>
                <w:color w:val="000000"/>
                <w:sz w:val="28"/>
                <w:szCs w:val="28"/>
              </w:rPr>
              <w:t>Ⅲ</w:t>
            </w:r>
          </w:p>
        </w:tc>
        <w:tc>
          <w:tcPr>
            <w:tcW w:w="3543" w:type="dxa"/>
            <w:shd w:val="clear" w:color="auto" w:fill="auto"/>
            <w:vAlign w:val="center"/>
          </w:tcPr>
          <w:p>
            <w:pPr>
              <w:snapToGrid w:val="0"/>
              <w:rPr>
                <w:color w:val="000000"/>
                <w:sz w:val="28"/>
                <w:szCs w:val="28"/>
              </w:rPr>
            </w:pPr>
            <w:r>
              <w:rPr>
                <w:color w:val="000000"/>
                <w:sz w:val="28"/>
                <w:szCs w:val="28"/>
              </w:rPr>
              <w:t>洪安镇、龙池镇、梅江镇、石耶镇、雅江镇、溶溪镇、石堤镇</w:t>
            </w:r>
            <w:r>
              <w:rPr>
                <w:rFonts w:hint="eastAsia"/>
                <w:color w:val="000000"/>
                <w:sz w:val="28"/>
                <w:szCs w:val="28"/>
              </w:rPr>
              <w:t>、</w:t>
            </w:r>
            <w:r>
              <w:rPr>
                <w:color w:val="000000"/>
                <w:sz w:val="28"/>
                <w:szCs w:val="28"/>
              </w:rPr>
              <w:t>隘口镇、峨溶镇、兰桥镇、膏田镇、里仁镇、妙泉镇、宋农镇、钟灵镇、岑溪乡、大溪乡、海洋乡、溪口镇、孝溪乡、涌洞乡、中平乡</w:t>
            </w:r>
          </w:p>
        </w:tc>
        <w:tc>
          <w:tcPr>
            <w:tcW w:w="2127" w:type="dxa"/>
            <w:shd w:val="clear" w:color="auto" w:fill="auto"/>
            <w:vAlign w:val="center"/>
          </w:tcPr>
          <w:p>
            <w:pPr>
              <w:snapToGrid w:val="0"/>
              <w:jc w:val="center"/>
              <w:rPr>
                <w:color w:val="000000"/>
                <w:sz w:val="28"/>
                <w:szCs w:val="28"/>
              </w:rPr>
            </w:pPr>
            <w:r>
              <w:rPr>
                <w:color w:val="000000"/>
                <w:sz w:val="28"/>
                <w:szCs w:val="28"/>
              </w:rPr>
              <w:t>1290</w:t>
            </w:r>
          </w:p>
        </w:tc>
        <w:tc>
          <w:tcPr>
            <w:tcW w:w="2274" w:type="dxa"/>
            <w:shd w:val="clear" w:color="auto" w:fill="auto"/>
            <w:vAlign w:val="center"/>
          </w:tcPr>
          <w:p>
            <w:pPr>
              <w:snapToGrid w:val="0"/>
              <w:jc w:val="center"/>
              <w:rPr>
                <w:color w:val="000000"/>
                <w:sz w:val="28"/>
                <w:szCs w:val="28"/>
              </w:rPr>
            </w:pPr>
          </w:p>
        </w:tc>
      </w:tr>
    </w:tbl>
    <w:p>
      <w:pPr>
        <w:pStyle w:val="2"/>
        <w:snapToGrid w:val="0"/>
        <w:spacing w:after="0" w:line="240" w:lineRule="auto"/>
        <w:ind w:firstLine="0" w:firstLineChars="0"/>
        <w:jc w:val="center"/>
        <w:rPr>
          <w:rFonts w:ascii="方正小标宋_GBK" w:hAnsi="Times New Roman" w:eastAsia="方正小标宋_GBK"/>
          <w:sz w:val="62"/>
        </w:rPr>
      </w:pPr>
    </w:p>
    <w:p>
      <w:pPr>
        <w:pStyle w:val="2"/>
        <w:spacing w:after="0" w:line="240" w:lineRule="auto"/>
        <w:ind w:firstLine="640"/>
        <w:rPr>
          <w:rFonts w:hint="eastAsia" w:ascii="Times New Roman" w:hAnsi="Times New Roman"/>
          <w:szCs w:val="32"/>
        </w:rPr>
      </w:pPr>
      <w:r>
        <w:rPr>
          <w:rFonts w:hint="eastAsia" w:ascii="Times New Roman" w:hAnsi="Times New Roman"/>
          <w:szCs w:val="32"/>
        </w:rPr>
        <w:t>（此件公开发布）</w:t>
      </w:r>
    </w:p>
    <w:p>
      <w:pPr>
        <w:snapToGrid w:val="0"/>
        <w:jc w:val="center"/>
        <w:rPr>
          <w:rFonts w:ascii="方正小标宋_GBK"/>
        </w:rPr>
      </w:pPr>
    </w:p>
    <w:p>
      <w:pPr>
        <w:pBdr>
          <w:top w:val="single" w:color="auto" w:sz="12" w:space="1"/>
        </w:pBdr>
        <w:ind w:left="1230" w:right="-3" w:hanging="1230" w:hangingChars="375"/>
        <w:rPr>
          <w:rFonts w:eastAsia="方正仿宋简体"/>
          <w:sz w:val="28"/>
          <w:szCs w:val="28"/>
        </w:rPr>
      </w:pPr>
      <w:r>
        <w:rPr>
          <w:rFonts w:hint="eastAsia" w:eastAsia="方正仿宋简体"/>
          <w:spacing w:val="24"/>
          <w:sz w:val="28"/>
          <w:szCs w:val="28"/>
        </w:rPr>
        <w:t xml:space="preserve"> </w:t>
      </w:r>
      <w:r>
        <w:rPr>
          <w:rFonts w:eastAsia="方正仿宋简体"/>
          <w:spacing w:val="24"/>
          <w:sz w:val="28"/>
          <w:szCs w:val="28"/>
        </w:rPr>
        <w:t xml:space="preserve"> 抄送</w:t>
      </w:r>
      <w:r>
        <w:rPr>
          <w:rFonts w:eastAsia="方正仿宋简体"/>
          <w:sz w:val="28"/>
          <w:szCs w:val="28"/>
        </w:rPr>
        <w:t>：</w:t>
      </w:r>
      <w:r>
        <w:rPr>
          <w:rFonts w:hint="eastAsia" w:eastAsia="方正仿宋简体"/>
          <w:spacing w:val="12"/>
          <w:sz w:val="28"/>
          <w:szCs w:val="28"/>
        </w:rPr>
        <w:t>县</w:t>
      </w:r>
      <w:r>
        <w:rPr>
          <w:rFonts w:eastAsia="方正仿宋简体"/>
          <w:spacing w:val="12"/>
          <w:sz w:val="28"/>
          <w:szCs w:val="28"/>
        </w:rPr>
        <w:t>纪委监委机关，县委办</w:t>
      </w:r>
      <w:r>
        <w:rPr>
          <w:rFonts w:hint="eastAsia" w:eastAsia="方正仿宋简体"/>
          <w:spacing w:val="12"/>
          <w:sz w:val="28"/>
          <w:szCs w:val="28"/>
        </w:rPr>
        <w:t>公室</w:t>
      </w:r>
      <w:r>
        <w:rPr>
          <w:rFonts w:eastAsia="方正仿宋简体"/>
          <w:spacing w:val="12"/>
          <w:sz w:val="28"/>
          <w:szCs w:val="28"/>
        </w:rPr>
        <w:t>，</w:t>
      </w:r>
      <w:r>
        <w:rPr>
          <w:rFonts w:hint="eastAsia" w:eastAsia="方正仿宋简体"/>
          <w:spacing w:val="12"/>
          <w:sz w:val="28"/>
          <w:szCs w:val="28"/>
        </w:rPr>
        <w:t>县</w:t>
      </w:r>
      <w:r>
        <w:rPr>
          <w:rFonts w:eastAsia="方正仿宋简体"/>
          <w:spacing w:val="12"/>
          <w:sz w:val="28"/>
          <w:szCs w:val="28"/>
        </w:rPr>
        <w:t>人大</w:t>
      </w:r>
      <w:r>
        <w:rPr>
          <w:rFonts w:hint="eastAsia" w:eastAsia="方正仿宋简体"/>
          <w:spacing w:val="12"/>
          <w:sz w:val="28"/>
          <w:szCs w:val="28"/>
        </w:rPr>
        <w:t>常委会</w:t>
      </w:r>
      <w:r>
        <w:rPr>
          <w:rFonts w:eastAsia="方正仿宋简体"/>
          <w:spacing w:val="12"/>
          <w:sz w:val="28"/>
          <w:szCs w:val="28"/>
        </w:rPr>
        <w:t>办</w:t>
      </w:r>
      <w:r>
        <w:rPr>
          <w:rFonts w:hint="eastAsia" w:eastAsia="方正仿宋简体"/>
          <w:spacing w:val="12"/>
          <w:sz w:val="28"/>
          <w:szCs w:val="28"/>
        </w:rPr>
        <w:t>公室</w:t>
      </w:r>
      <w:r>
        <w:rPr>
          <w:rFonts w:eastAsia="方正仿宋简体"/>
          <w:sz w:val="28"/>
          <w:szCs w:val="28"/>
        </w:rPr>
        <w:t>，</w:t>
      </w:r>
    </w:p>
    <w:p>
      <w:pPr>
        <w:pBdr>
          <w:bottom w:val="single" w:color="auto" w:sz="4" w:space="1"/>
        </w:pBdr>
        <w:ind w:firstLine="1301" w:firstLineChars="417"/>
        <w:jc w:val="left"/>
        <w:rPr>
          <w:rFonts w:ascii="方正小标宋_GBK"/>
        </w:rPr>
      </w:pPr>
      <w:r>
        <w:rPr>
          <w:rFonts w:hint="eastAsia" w:eastAsia="方正仿宋简体"/>
          <w:spacing w:val="16"/>
          <w:sz w:val="28"/>
          <w:szCs w:val="28"/>
        </w:rPr>
        <w:t>县</w:t>
      </w:r>
      <w:r>
        <w:rPr>
          <w:rFonts w:eastAsia="方正仿宋简体"/>
          <w:spacing w:val="16"/>
          <w:sz w:val="28"/>
          <w:szCs w:val="28"/>
        </w:rPr>
        <w:t>政协办</w:t>
      </w:r>
      <w:r>
        <w:rPr>
          <w:rFonts w:hint="eastAsia" w:eastAsia="方正仿宋简体"/>
          <w:spacing w:val="16"/>
          <w:sz w:val="28"/>
          <w:szCs w:val="28"/>
        </w:rPr>
        <w:t>公室</w:t>
      </w:r>
      <w:r>
        <w:rPr>
          <w:rFonts w:eastAsia="方正仿宋简体"/>
          <w:spacing w:val="16"/>
          <w:sz w:val="28"/>
          <w:szCs w:val="28"/>
        </w:rPr>
        <w:t>，</w:t>
      </w:r>
      <w:r>
        <w:rPr>
          <w:rFonts w:hint="eastAsia" w:eastAsia="方正仿宋简体"/>
          <w:spacing w:val="16"/>
          <w:sz w:val="28"/>
          <w:szCs w:val="28"/>
        </w:rPr>
        <w:t>县</w:t>
      </w:r>
      <w:r>
        <w:rPr>
          <w:rFonts w:eastAsia="方正仿宋简体"/>
          <w:spacing w:val="16"/>
          <w:sz w:val="28"/>
          <w:szCs w:val="28"/>
        </w:rPr>
        <w:t>法院，</w:t>
      </w:r>
      <w:r>
        <w:rPr>
          <w:rFonts w:hint="eastAsia" w:eastAsia="方正仿宋简体"/>
          <w:spacing w:val="16"/>
          <w:sz w:val="28"/>
          <w:szCs w:val="28"/>
        </w:rPr>
        <w:t>县</w:t>
      </w:r>
      <w:r>
        <w:rPr>
          <w:rFonts w:eastAsia="方正仿宋简体"/>
          <w:spacing w:val="16"/>
          <w:sz w:val="28"/>
          <w:szCs w:val="28"/>
        </w:rPr>
        <w:t>检察院，</w:t>
      </w:r>
      <w:r>
        <w:rPr>
          <w:rFonts w:hint="eastAsia" w:eastAsia="方正仿宋简体"/>
          <w:spacing w:val="16"/>
          <w:sz w:val="28"/>
          <w:szCs w:val="28"/>
        </w:rPr>
        <w:t>县</w:t>
      </w:r>
      <w:r>
        <w:rPr>
          <w:rFonts w:eastAsia="方正仿宋简体"/>
          <w:spacing w:val="16"/>
          <w:sz w:val="28"/>
          <w:szCs w:val="28"/>
        </w:rPr>
        <w:t>人武部</w:t>
      </w:r>
      <w:r>
        <w:rPr>
          <w:rFonts w:eastAsia="方正仿宋简体"/>
          <w:sz w:val="28"/>
          <w:szCs w:val="28"/>
        </w:rPr>
        <w:t>。</w:t>
      </w:r>
    </w:p>
    <w:p>
      <w:pPr>
        <w:pBdr>
          <w:bottom w:val="single" w:color="auto" w:sz="12" w:space="1"/>
        </w:pBdr>
        <w:jc w:val="center"/>
        <w:rPr>
          <w:rFonts w:hint="eastAsia"/>
        </w:rPr>
      </w:pPr>
      <w:r>
        <w:rPr>
          <w:rFonts w:eastAsia="方正仿宋简体"/>
          <w:sz w:val="28"/>
          <w:szCs w:val="28"/>
        </w:rPr>
        <w:t xml:space="preserve">秀山土家族苗族自治县人民政府办公室    </w:t>
      </w:r>
      <w:r>
        <w:rPr>
          <w:rFonts w:hint="eastAsia" w:eastAsia="方正仿宋简体"/>
          <w:sz w:val="28"/>
          <w:szCs w:val="28"/>
        </w:rPr>
        <w:t>2021年</w:t>
      </w:r>
      <w:r>
        <w:rPr>
          <w:rFonts w:eastAsia="方正仿宋简体"/>
          <w:sz w:val="28"/>
          <w:szCs w:val="28"/>
        </w:rPr>
        <w:t>6</w:t>
      </w:r>
      <w:r>
        <w:rPr>
          <w:rFonts w:hint="eastAsia" w:eastAsia="方正仿宋简体"/>
          <w:sz w:val="28"/>
          <w:szCs w:val="28"/>
        </w:rPr>
        <w:t>月</w:t>
      </w:r>
      <w:r>
        <w:rPr>
          <w:rFonts w:eastAsia="方正仿宋简体"/>
          <w:sz w:val="28"/>
          <w:szCs w:val="28"/>
        </w:rPr>
        <w:t>30</w:t>
      </w:r>
      <w:r>
        <w:rPr>
          <w:rFonts w:hint="eastAsia" w:eastAsia="方正仿宋简体"/>
          <w:sz w:val="28"/>
          <w:szCs w:val="28"/>
        </w:rPr>
        <w:t>日</w:t>
      </w:r>
      <w:r>
        <w:rPr>
          <w:rFonts w:eastAsia="方正仿宋简体"/>
          <w:sz w:val="28"/>
          <w:szCs w:val="28"/>
        </w:rPr>
        <w:t>印发</w:t>
      </w:r>
    </w:p>
    <w:p/>
    <w:sectPr>
      <w:footerReference r:id="rId3" w:type="default"/>
      <w:pgSz w:w="11906" w:h="16838"/>
      <w:pgMar w:top="2098" w:right="1474" w:bottom="1985" w:left="1588" w:header="851" w:footer="1576" w:gutter="0"/>
      <w:cols w:space="425" w:num="1"/>
      <w:docGrid w:type="lines" w:linePitch="5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814" w:h="340" w:hRule="exact" w:wrap="around" w:vAnchor="text" w:hAnchor="margin" w:xAlign="outside" w:y="1"/>
      <w:ind w:right="25"/>
      <w:jc w:val="center"/>
      <w:rPr>
        <w:rStyle w:val="6"/>
        <w:rFonts w:ascii="宋体" w:hAnsi="宋体"/>
      </w:rPr>
    </w:pPr>
    <w:r>
      <w:rPr>
        <w:rStyle w:val="6"/>
        <w:rFonts w:ascii="宋体" w:hAnsi="宋体"/>
      </w:rPr>
      <w:t xml:space="preserve">— </w:t>
    </w:r>
    <w:r>
      <w:rPr>
        <w:rStyle w:val="6"/>
        <w:rFonts w:ascii="宋体" w:hAnsi="宋体"/>
      </w:rPr>
      <w:fldChar w:fldCharType="begin"/>
    </w:r>
    <w:r>
      <w:rPr>
        <w:rStyle w:val="6"/>
        <w:rFonts w:ascii="宋体" w:hAnsi="宋体"/>
      </w:rPr>
      <w:instrText xml:space="preserve"> PAGE </w:instrText>
    </w:r>
    <w:r>
      <w:rPr>
        <w:rStyle w:val="6"/>
        <w:rFonts w:ascii="宋体" w:hAnsi="宋体"/>
      </w:rPr>
      <w:fldChar w:fldCharType="separate"/>
    </w:r>
    <w:r>
      <w:rPr>
        <w:rStyle w:val="6"/>
        <w:rFonts w:ascii="宋体" w:hAnsi="宋体"/>
      </w:rPr>
      <w:t>13</w:t>
    </w:r>
    <w:r>
      <w:rPr>
        <w:rStyle w:val="6"/>
        <w:rFonts w:ascii="宋体" w:hAnsi="宋体"/>
      </w:rPr>
      <w:fldChar w:fldCharType="end"/>
    </w:r>
    <w:r>
      <w:rPr>
        <w:rStyle w:val="6"/>
        <w:rFonts w:ascii="宋体" w:hAnsi="宋体"/>
      </w:rPr>
      <w:t xml:space="preserve"> —</w:t>
    </w:r>
  </w:p>
  <w:p>
    <w:pPr>
      <w:pStyle w:val="4"/>
    </w:pPr>
    <w: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DC1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方正仿宋_GBK" w:cs="Times New Roman"/>
      <w:kern w:val="2"/>
      <w:sz w:val="32"/>
      <w:szCs w:val="18"/>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nhideWhenUsed/>
    <w:qFormat/>
    <w:uiPriority w:val="99"/>
    <w:pPr>
      <w:widowControl w:val="0"/>
      <w:spacing w:after="120" w:line="600" w:lineRule="exact"/>
      <w:ind w:firstLine="200" w:firstLineChars="200"/>
    </w:pPr>
    <w:rPr>
      <w:rFonts w:ascii="Calibri" w:hAnsi="Calibri"/>
      <w:szCs w:val="20"/>
    </w:rPr>
  </w:style>
  <w:style w:type="paragraph" w:styleId="3">
    <w:name w:val="Date"/>
    <w:basedOn w:val="1"/>
    <w:next w:val="1"/>
    <w:unhideWhenUsed/>
    <w:qFormat/>
    <w:uiPriority w:val="99"/>
    <w:pPr>
      <w:widowControl w:val="0"/>
      <w:ind w:left="100" w:leftChars="2500"/>
    </w:pPr>
    <w:rPr>
      <w:rFonts w:ascii="Calibri" w:hAnsi="Calibri" w:eastAsia="宋体"/>
      <w:sz w:val="21"/>
      <w:szCs w:val="24"/>
    </w:rPr>
  </w:style>
  <w:style w:type="paragraph" w:styleId="4">
    <w:name w:val="footer"/>
    <w:basedOn w:val="1"/>
    <w:qFormat/>
    <w:uiPriority w:val="99"/>
    <w:pPr>
      <w:widowControl w:val="0"/>
      <w:tabs>
        <w:tab w:val="center" w:pos="4153"/>
        <w:tab w:val="right" w:pos="8306"/>
      </w:tabs>
      <w:snapToGrid w:val="0"/>
      <w:jc w:val="left"/>
    </w:pPr>
    <w:rPr>
      <w:rFonts w:ascii="Calibri" w:hAnsi="Calibri" w:eastAsia="宋体"/>
      <w:sz w:val="18"/>
      <w:szCs w:val="24"/>
    </w:rPr>
  </w:style>
  <w:style w:type="character" w:styleId="6">
    <w:name w:val="page number"/>
    <w:qFormat/>
    <w:uiPriority w:val="99"/>
    <w:rPr>
      <w:sz w:val="28"/>
      <w:szCs w:val="28"/>
    </w:rPr>
  </w:style>
  <w:style w:type="paragraph" w:customStyle="1" w:styleId="8">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9">
    <w:name w:val="font81"/>
    <w:qFormat/>
    <w:uiPriority w:val="0"/>
    <w:rPr>
      <w:rFonts w:hint="eastAsia" w:ascii="方正仿宋_GBK" w:hAnsi="方正仿宋_GBK" w:eastAsia="方正仿宋_GBK" w:cs="方正仿宋_GBK"/>
      <w:color w:val="000000"/>
      <w:sz w:val="24"/>
      <w:szCs w:val="24"/>
      <w:u w:val="none"/>
    </w:rPr>
  </w:style>
  <w:style w:type="character" w:customStyle="1" w:styleId="10">
    <w:name w:val="font01"/>
    <w:qFormat/>
    <w:uiPriority w:val="0"/>
    <w:rPr>
      <w:rFonts w:hint="eastAsia" w:ascii="方正仿宋_GBK" w:hAnsi="方正仿宋_GBK" w:eastAsia="方正仿宋_GBK" w:cs="方正仿宋_GBK"/>
      <w:color w:val="000000"/>
      <w:sz w:val="24"/>
      <w:szCs w:val="24"/>
      <w:u w:val="none"/>
    </w:rPr>
  </w:style>
  <w:style w:type="character" w:customStyle="1" w:styleId="11">
    <w:name w:val="font21"/>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HP-201907K</dc:creator>
  <cp:lastModifiedBy>HP-201907K</cp:lastModifiedBy>
  <dcterms:modified xsi:type="dcterms:W3CDTF">2021-07-30T09:50:29Z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