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sz w:val="36"/>
          <w:szCs w:val="36"/>
        </w:rPr>
      </w:pPr>
    </w:p>
    <w:p>
      <w:pPr>
        <w:jc w:val="center"/>
        <w:rPr>
          <w:rFonts w:ascii="Times New Roman" w:hAnsi="Times New Roman" w:eastAsia="楷体_GB2312"/>
          <w:b/>
          <w:bCs/>
          <w:sz w:val="36"/>
          <w:szCs w:val="36"/>
        </w:rPr>
      </w:pPr>
    </w:p>
    <w:p>
      <w:pPr>
        <w:jc w:val="center"/>
        <w:rPr>
          <w:rFonts w:ascii="Times New Roman" w:hAnsi="Times New Roman" w:eastAsia="楷体_GB2312"/>
          <w:b/>
          <w:bCs/>
          <w:sz w:val="36"/>
          <w:szCs w:val="36"/>
        </w:rPr>
      </w:pPr>
    </w:p>
    <w:p>
      <w:pPr>
        <w:jc w:val="center"/>
        <w:rPr>
          <w:rFonts w:ascii="Times New Roman" w:hAnsi="Times New Roman" w:eastAsia="楷体_GB2312"/>
          <w:b/>
          <w:bCs/>
          <w:sz w:val="36"/>
          <w:szCs w:val="36"/>
        </w:rPr>
      </w:pPr>
    </w:p>
    <w:p>
      <w:pPr>
        <w:jc w:val="center"/>
        <w:rPr>
          <w:rFonts w:ascii="华文中宋" w:hAnsi="华文中宋" w:eastAsia="华文中宋" w:cs="华文中宋"/>
          <w:sz w:val="52"/>
          <w:szCs w:val="52"/>
        </w:rPr>
      </w:pPr>
      <w:r>
        <w:rPr>
          <w:rFonts w:hint="eastAsia" w:ascii="华文中宋" w:hAnsi="华文中宋" w:eastAsia="华文中宋" w:cs="华文中宋"/>
          <w:sz w:val="52"/>
          <w:szCs w:val="52"/>
        </w:rPr>
        <w:t>2019年度重庆市秀山土家族苗族自治县医疗保障局部门/单位</w:t>
      </w:r>
    </w:p>
    <w:p>
      <w:pPr>
        <w:jc w:val="center"/>
        <w:rPr>
          <w:rFonts w:ascii="华文中宋" w:hAnsi="华文中宋" w:eastAsia="华文中宋" w:cs="华文中宋"/>
          <w:sz w:val="52"/>
          <w:szCs w:val="52"/>
        </w:rPr>
      </w:pPr>
      <w:r>
        <w:rPr>
          <w:rFonts w:hint="eastAsia" w:ascii="华文中宋" w:hAnsi="华文中宋" w:eastAsia="华文中宋" w:cs="华文中宋"/>
          <w:sz w:val="52"/>
          <w:szCs w:val="52"/>
        </w:rPr>
        <w:t>财务报告</w:t>
      </w:r>
    </w:p>
    <w:p>
      <w:pPr>
        <w:jc w:val="center"/>
        <w:rPr>
          <w:rFonts w:ascii="Times New Roman" w:hAnsi="Times New Roman" w:eastAsia="微软雅黑" w:cs="Times New Roman"/>
          <w:b/>
          <w:bCs/>
          <w:sz w:val="52"/>
          <w:szCs w:val="52"/>
        </w:rPr>
      </w:pPr>
    </w:p>
    <w:p>
      <w:pPr>
        <w:jc w:val="center"/>
        <w:rPr>
          <w:rFonts w:ascii="Times New Roman" w:hAnsi="Times New Roman" w:eastAsia="微软雅黑"/>
          <w:b/>
          <w:bCs/>
          <w:sz w:val="52"/>
          <w:szCs w:val="52"/>
        </w:rPr>
      </w:pPr>
    </w:p>
    <w:p>
      <w:pPr>
        <w:jc w:val="center"/>
        <w:rPr>
          <w:rFonts w:ascii="Times New Roman" w:hAnsi="Times New Roman"/>
          <w:b/>
          <w:bCs/>
          <w:sz w:val="36"/>
          <w:szCs w:val="36"/>
        </w:rPr>
      </w:pPr>
    </w:p>
    <w:p>
      <w:pPr>
        <w:jc w:val="center"/>
        <w:rPr>
          <w:rFonts w:ascii="Times New Roman" w:hAnsi="Times New Roman"/>
          <w:b/>
          <w:bCs/>
          <w:sz w:val="36"/>
          <w:szCs w:val="36"/>
        </w:rPr>
      </w:pPr>
    </w:p>
    <w:p>
      <w:pPr>
        <w:jc w:val="center"/>
        <w:rPr>
          <w:rFonts w:ascii="Times New Roman" w:hAnsi="Times New Roman"/>
          <w:b/>
          <w:bCs/>
          <w:sz w:val="36"/>
          <w:szCs w:val="36"/>
        </w:rPr>
      </w:pPr>
    </w:p>
    <w:p>
      <w:pPr>
        <w:jc w:val="center"/>
        <w:rPr>
          <w:rFonts w:ascii="Times New Roman" w:hAnsi="Times New Roman"/>
          <w:b/>
          <w:bCs/>
          <w:sz w:val="36"/>
          <w:szCs w:val="36"/>
        </w:rPr>
      </w:pPr>
    </w:p>
    <w:p>
      <w:pPr>
        <w:widowControl w:val="0"/>
        <w:ind w:firstLine="1120" w:firstLineChars="350"/>
        <w:jc w:val="both"/>
        <w:rPr>
          <w:rFonts w:cs="仿宋_GB2312" w:asciiTheme="minorEastAsia" w:hAnsiTheme="minorEastAsia" w:eastAsiaTheme="minorEastAsia"/>
          <w:bCs/>
          <w:kern w:val="16"/>
          <w:sz w:val="32"/>
          <w:szCs w:val="32"/>
        </w:rPr>
      </w:pPr>
      <w:r>
        <w:rPr>
          <w:rFonts w:hint="eastAsia" w:cs="微软雅黑" w:asciiTheme="minorEastAsia" w:hAnsiTheme="minorEastAsia" w:eastAsiaTheme="minorEastAsia"/>
          <w:bCs/>
          <w:sz w:val="32"/>
          <w:szCs w:val="52"/>
        </w:rPr>
        <w:t>部门（单</w:t>
      </w:r>
      <w:r>
        <w:rPr>
          <w:rFonts w:hint="eastAsia" w:cs="仿宋_GB2312" w:asciiTheme="minorEastAsia" w:hAnsiTheme="minorEastAsia" w:eastAsiaTheme="minorEastAsia"/>
          <w:bCs/>
          <w:kern w:val="16"/>
          <w:sz w:val="32"/>
          <w:szCs w:val="32"/>
        </w:rPr>
        <w:t>位）名称：</w:t>
      </w:r>
      <w:r>
        <w:rPr>
          <w:rFonts w:hint="eastAsia" w:cs="仿宋_GB2312" w:asciiTheme="minorEastAsia" w:hAnsiTheme="minorEastAsia" w:eastAsiaTheme="minorEastAsia"/>
          <w:bCs/>
          <w:kern w:val="16"/>
          <w:sz w:val="32"/>
          <w:szCs w:val="32"/>
          <w:lang w:eastAsia="zh-CN"/>
        </w:rPr>
        <w:t>秀山土家族苗族自治县医疗保障局</w:t>
      </w:r>
      <w:r>
        <w:rPr>
          <w:rFonts w:hint="eastAsia" w:cs="仿宋_GB2312" w:asciiTheme="minorEastAsia" w:hAnsiTheme="minorEastAsia" w:eastAsiaTheme="minorEastAsia"/>
          <w:bCs/>
          <w:kern w:val="16"/>
          <w:sz w:val="32"/>
          <w:szCs w:val="32"/>
        </w:rPr>
        <w:t>（公章）</w:t>
      </w:r>
    </w:p>
    <w:p>
      <w:pPr>
        <w:widowControl w:val="0"/>
        <w:ind w:firstLine="1120" w:firstLineChars="350"/>
        <w:jc w:val="both"/>
        <w:rPr>
          <w:rFonts w:cs="仿宋_GB2312" w:asciiTheme="minorEastAsia" w:hAnsiTheme="minorEastAsia" w:eastAsiaTheme="minorEastAsia"/>
          <w:bCs/>
          <w:kern w:val="16"/>
          <w:sz w:val="32"/>
          <w:szCs w:val="32"/>
        </w:rPr>
      </w:pPr>
    </w:p>
    <w:p>
      <w:pPr>
        <w:widowControl w:val="0"/>
        <w:ind w:firstLine="1120" w:firstLineChars="350"/>
        <w:jc w:val="both"/>
        <w:rPr>
          <w:rFonts w:cs="仿宋_GB2312" w:asciiTheme="minorEastAsia" w:hAnsiTheme="minorEastAsia" w:eastAsiaTheme="minorEastAsia"/>
          <w:bCs/>
          <w:kern w:val="16"/>
          <w:sz w:val="32"/>
          <w:szCs w:val="32"/>
        </w:rPr>
      </w:pPr>
      <w:r>
        <w:rPr>
          <w:rFonts w:hint="eastAsia" w:cs="仿宋_GB2312" w:asciiTheme="minorEastAsia" w:hAnsiTheme="minorEastAsia" w:eastAsiaTheme="minorEastAsia"/>
          <w:bCs/>
          <w:kern w:val="16"/>
          <w:sz w:val="32"/>
          <w:szCs w:val="32"/>
        </w:rPr>
        <w:t>单位负责人：</w:t>
      </w:r>
      <w:r>
        <w:rPr>
          <w:rFonts w:hint="eastAsia" w:cs="仿宋_GB2312" w:asciiTheme="minorEastAsia" w:hAnsiTheme="minorEastAsia" w:eastAsiaTheme="minorEastAsia"/>
          <w:bCs/>
          <w:kern w:val="16"/>
          <w:sz w:val="32"/>
          <w:szCs w:val="32"/>
          <w:lang w:eastAsia="zh-CN"/>
        </w:rPr>
        <w:t>刘红毅</w:t>
      </w:r>
      <w:r>
        <w:rPr>
          <w:rFonts w:hint="eastAsia" w:cs="仿宋_GB2312" w:asciiTheme="minorEastAsia" w:hAnsiTheme="minorEastAsia" w:eastAsiaTheme="minorEastAsia"/>
          <w:bCs/>
          <w:kern w:val="16"/>
          <w:sz w:val="32"/>
          <w:szCs w:val="32"/>
        </w:rPr>
        <w:t>（签名并盖章）</w:t>
      </w:r>
    </w:p>
    <w:p>
      <w:pPr>
        <w:widowControl w:val="0"/>
        <w:ind w:firstLine="1120" w:firstLineChars="350"/>
        <w:jc w:val="both"/>
        <w:rPr>
          <w:rFonts w:cs="仿宋_GB2312" w:asciiTheme="minorEastAsia" w:hAnsiTheme="minorEastAsia" w:eastAsiaTheme="minorEastAsia"/>
          <w:bCs/>
          <w:kern w:val="16"/>
          <w:sz w:val="32"/>
          <w:szCs w:val="32"/>
        </w:rPr>
      </w:pPr>
      <w:r>
        <w:rPr>
          <w:rFonts w:hint="eastAsia" w:cs="仿宋_GB2312" w:asciiTheme="minorEastAsia" w:hAnsiTheme="minorEastAsia" w:eastAsiaTheme="minorEastAsia"/>
          <w:bCs/>
          <w:kern w:val="16"/>
          <w:sz w:val="32"/>
          <w:szCs w:val="32"/>
        </w:rPr>
        <w:t>财务负责人：</w:t>
      </w:r>
      <w:r>
        <w:rPr>
          <w:rFonts w:hint="eastAsia" w:cs="仿宋_GB2312" w:asciiTheme="minorEastAsia" w:hAnsiTheme="minorEastAsia" w:eastAsiaTheme="minorEastAsia"/>
          <w:bCs/>
          <w:kern w:val="16"/>
          <w:sz w:val="32"/>
          <w:szCs w:val="32"/>
          <w:lang w:eastAsia="zh-CN"/>
        </w:rPr>
        <w:t>洪庆</w:t>
      </w:r>
      <w:r>
        <w:rPr>
          <w:rFonts w:hint="eastAsia" w:cs="仿宋_GB2312" w:asciiTheme="minorEastAsia" w:hAnsiTheme="minorEastAsia" w:eastAsiaTheme="minorEastAsia"/>
          <w:bCs/>
          <w:kern w:val="16"/>
          <w:sz w:val="32"/>
          <w:szCs w:val="32"/>
        </w:rPr>
        <w:t>（签名并盖章）</w:t>
      </w:r>
    </w:p>
    <w:p>
      <w:pPr>
        <w:widowControl w:val="0"/>
        <w:ind w:firstLine="1120" w:firstLineChars="350"/>
        <w:jc w:val="both"/>
        <w:rPr>
          <w:rFonts w:cs="仿宋_GB2312" w:asciiTheme="minorEastAsia" w:hAnsiTheme="minorEastAsia" w:eastAsiaTheme="minorEastAsia"/>
          <w:bCs/>
          <w:kern w:val="16"/>
          <w:sz w:val="32"/>
          <w:szCs w:val="32"/>
        </w:rPr>
      </w:pPr>
      <w:r>
        <w:rPr>
          <w:rFonts w:hint="eastAsia" w:cs="仿宋_GB2312" w:asciiTheme="minorEastAsia" w:hAnsiTheme="minorEastAsia" w:eastAsiaTheme="minorEastAsia"/>
          <w:bCs/>
          <w:kern w:val="16"/>
          <w:sz w:val="32"/>
          <w:szCs w:val="32"/>
        </w:rPr>
        <w:t>编制人：</w:t>
      </w:r>
      <w:r>
        <w:rPr>
          <w:rFonts w:hint="eastAsia" w:cs="仿宋_GB2312" w:asciiTheme="minorEastAsia" w:hAnsiTheme="minorEastAsia" w:eastAsiaTheme="minorEastAsia"/>
          <w:bCs/>
          <w:kern w:val="16"/>
          <w:sz w:val="32"/>
          <w:szCs w:val="32"/>
          <w:lang w:eastAsia="zh-CN"/>
        </w:rPr>
        <w:t>王亚欣</w:t>
      </w:r>
      <w:r>
        <w:rPr>
          <w:rFonts w:hint="eastAsia" w:cs="仿宋_GB2312" w:asciiTheme="minorEastAsia" w:hAnsiTheme="minorEastAsia" w:eastAsiaTheme="minorEastAsia"/>
          <w:bCs/>
          <w:kern w:val="16"/>
          <w:sz w:val="32"/>
          <w:szCs w:val="32"/>
        </w:rPr>
        <w:t>（签章）</w:t>
      </w:r>
    </w:p>
    <w:p>
      <w:pPr>
        <w:widowControl w:val="0"/>
        <w:ind w:firstLine="1120" w:firstLineChars="350"/>
        <w:jc w:val="both"/>
        <w:rPr>
          <w:rFonts w:cs="仿宋_GB2312" w:asciiTheme="minorEastAsia" w:hAnsiTheme="minorEastAsia" w:eastAsiaTheme="minorEastAsia"/>
          <w:bCs/>
          <w:kern w:val="16"/>
          <w:sz w:val="32"/>
          <w:szCs w:val="32"/>
        </w:rPr>
      </w:pPr>
      <w:r>
        <w:rPr>
          <w:rFonts w:hint="eastAsia" w:cs="仿宋_GB2312" w:asciiTheme="minorEastAsia" w:hAnsiTheme="minorEastAsia" w:eastAsiaTheme="minorEastAsia"/>
          <w:bCs/>
          <w:kern w:val="16"/>
          <w:sz w:val="32"/>
          <w:szCs w:val="32"/>
        </w:rPr>
        <w:t>报送日期：2020年</w:t>
      </w:r>
      <w:r>
        <w:rPr>
          <w:rFonts w:hint="eastAsia" w:cs="仿宋_GB2312" w:asciiTheme="minorEastAsia" w:hAnsiTheme="minorEastAsia" w:eastAsiaTheme="minorEastAsia"/>
          <w:bCs/>
          <w:kern w:val="16"/>
          <w:sz w:val="32"/>
          <w:szCs w:val="32"/>
          <w:lang w:val="en-US" w:eastAsia="zh-CN"/>
        </w:rPr>
        <w:t>6</w:t>
      </w:r>
      <w:r>
        <w:rPr>
          <w:rFonts w:hint="eastAsia" w:cs="仿宋_GB2312" w:asciiTheme="minorEastAsia" w:hAnsiTheme="minorEastAsia" w:eastAsiaTheme="minorEastAsia"/>
          <w:bCs/>
          <w:kern w:val="16"/>
          <w:sz w:val="32"/>
          <w:szCs w:val="32"/>
        </w:rPr>
        <w:t>月</w:t>
      </w:r>
    </w:p>
    <w:p>
      <w:pPr>
        <w:pStyle w:val="119"/>
        <w:ind w:firstLine="198"/>
        <w:outlineLvl w:val="3"/>
        <w:rPr>
          <w:sz w:val="36"/>
        </w:rPr>
        <w:sectPr>
          <w:headerReference r:id="rId5" w:type="first"/>
          <w:footerReference r:id="rId7" w:type="first"/>
          <w:headerReference r:id="rId4" w:type="default"/>
          <w:footerReference r:id="rId6" w:type="default"/>
          <w:footnotePr>
            <w:numFmt w:val="decimalEnclosedCircleChinese"/>
          </w:footnotePr>
          <w:pgSz w:w="11906" w:h="16838"/>
          <w:pgMar w:top="1440" w:right="1797" w:bottom="1440" w:left="1797" w:header="851" w:footer="992" w:gutter="0"/>
          <w:pgNumType w:start="1"/>
          <w:cols w:space="425" w:num="1"/>
          <w:titlePg/>
          <w:docGrid w:type="lines" w:linePitch="326" w:charSpace="0"/>
        </w:sectPr>
      </w:pPr>
      <w:bookmarkStart w:id="0" w:name="_Toc435363359"/>
      <w:bookmarkStart w:id="1" w:name="_Toc435714296"/>
      <w:bookmarkStart w:id="2" w:name="_Toc435711768"/>
      <w:bookmarkStart w:id="3" w:name="_Toc436083526"/>
      <w:bookmarkStart w:id="4" w:name="_Toc435362709"/>
      <w:bookmarkStart w:id="5" w:name="_Toc503548883"/>
      <w:bookmarkStart w:id="6" w:name="_Toc435363575"/>
      <w:bookmarkStart w:id="7" w:name="_Toc435370952"/>
      <w:bookmarkStart w:id="8" w:name="_Toc430698577"/>
      <w:bookmarkStart w:id="9" w:name="_Toc435361472"/>
      <w:bookmarkStart w:id="10" w:name="_Toc435361710"/>
    </w:p>
    <w:p>
      <w:pPr>
        <w:pStyle w:val="119"/>
        <w:ind w:firstLine="198"/>
        <w:outlineLvl w:val="9"/>
        <w:rPr>
          <w:sz w:val="36"/>
        </w:rPr>
      </w:pPr>
      <w:bookmarkStart w:id="11" w:name="_Toc35452574"/>
      <w:r>
        <w:rPr>
          <w:rFonts w:hint="eastAsia"/>
          <w:sz w:val="36"/>
        </w:rPr>
        <w:t>目录</w:t>
      </w:r>
      <w:bookmarkEnd w:id="0"/>
      <w:bookmarkEnd w:id="1"/>
      <w:bookmarkEnd w:id="2"/>
      <w:bookmarkEnd w:id="3"/>
      <w:bookmarkEnd w:id="4"/>
      <w:bookmarkEnd w:id="5"/>
      <w:bookmarkEnd w:id="6"/>
      <w:bookmarkEnd w:id="7"/>
      <w:bookmarkEnd w:id="11"/>
    </w:p>
    <w:bookmarkEnd w:id="8"/>
    <w:bookmarkEnd w:id="9"/>
    <w:bookmarkEnd w:id="10"/>
    <w:p>
      <w:pPr>
        <w:pStyle w:val="24"/>
        <w:tabs>
          <w:tab w:val="right" w:leader="dot" w:pos="8302"/>
        </w:tabs>
        <w:spacing w:before="0" w:after="0" w:line="360" w:lineRule="auto"/>
        <w:rPr>
          <w:rFonts w:ascii="黑体" w:hAnsi="黑体" w:eastAsia="黑体" w:cstheme="minorBidi"/>
          <w:b w:val="0"/>
          <w:bCs w:val="0"/>
          <w:caps w:val="0"/>
          <w:kern w:val="2"/>
          <w:sz w:val="24"/>
          <w:szCs w:val="24"/>
        </w:rPr>
      </w:pPr>
      <w:r>
        <w:rPr>
          <w:rFonts w:asciiTheme="minorEastAsia" w:hAnsiTheme="minorEastAsia" w:eastAsiaTheme="minorEastAsia"/>
          <w:b w:val="0"/>
          <w:smallCaps/>
          <w:sz w:val="28"/>
          <w:szCs w:val="28"/>
        </w:rPr>
        <w:fldChar w:fldCharType="begin"/>
      </w:r>
      <w:r>
        <w:rPr>
          <w:rFonts w:asciiTheme="minorEastAsia" w:hAnsiTheme="minorEastAsia" w:eastAsiaTheme="minorEastAsia"/>
          <w:b w:val="0"/>
          <w:smallCaps/>
          <w:sz w:val="28"/>
          <w:szCs w:val="28"/>
        </w:rPr>
        <w:instrText xml:space="preserve"> TOC \o "1-3" \h \z \u </w:instrText>
      </w:r>
      <w:r>
        <w:rPr>
          <w:rFonts w:asciiTheme="minorEastAsia" w:hAnsiTheme="minorEastAsia" w:eastAsiaTheme="minorEastAsia"/>
          <w:b w:val="0"/>
          <w:smallCaps/>
          <w:sz w:val="28"/>
          <w:szCs w:val="28"/>
        </w:rPr>
        <w:fldChar w:fldCharType="separate"/>
      </w:r>
      <w:r>
        <w:fldChar w:fldCharType="begin"/>
      </w:r>
      <w:r>
        <w:instrText xml:space="preserve"> HYPERLINK \l "_Toc35500801" </w:instrText>
      </w:r>
      <w:r>
        <w:fldChar w:fldCharType="separate"/>
      </w:r>
      <w:r>
        <w:rPr>
          <w:rStyle w:val="38"/>
          <w:rFonts w:ascii="黑体" w:hAnsi="黑体" w:eastAsia="黑体"/>
          <w:sz w:val="24"/>
          <w:szCs w:val="24"/>
        </w:rPr>
        <w:t>一、政府部门财务报表</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_Toc35500801 \h </w:instrText>
      </w:r>
      <w:r>
        <w:rPr>
          <w:rFonts w:ascii="黑体" w:hAnsi="黑体" w:eastAsia="黑体"/>
          <w:sz w:val="24"/>
          <w:szCs w:val="24"/>
        </w:rPr>
        <w:fldChar w:fldCharType="separate"/>
      </w:r>
      <w:r>
        <w:rPr>
          <w:rFonts w:ascii="黑体" w:hAnsi="黑体" w:eastAsia="黑体"/>
          <w:sz w:val="24"/>
          <w:szCs w:val="24"/>
        </w:rPr>
        <w:t>3</w:t>
      </w:r>
      <w:r>
        <w:rPr>
          <w:rFonts w:ascii="黑体" w:hAnsi="黑体" w:eastAsia="黑体"/>
          <w:sz w:val="24"/>
          <w:szCs w:val="24"/>
        </w:rPr>
        <w:fldChar w:fldCharType="end"/>
      </w:r>
      <w:r>
        <w:rPr>
          <w:rFonts w:ascii="黑体" w:hAnsi="黑体" w:eastAsia="黑体"/>
          <w:sz w:val="24"/>
          <w:szCs w:val="24"/>
        </w:rPr>
        <w:fldChar w:fldCharType="end"/>
      </w:r>
    </w:p>
    <w:p>
      <w:pPr>
        <w:pStyle w:val="29"/>
        <w:tabs>
          <w:tab w:val="right" w:leader="dot" w:pos="8302"/>
        </w:tabs>
        <w:spacing w:line="360" w:lineRule="auto"/>
        <w:rPr>
          <w:rFonts w:ascii="宋体" w:hAnsi="宋体" w:cstheme="minorBidi"/>
          <w:smallCaps w:val="0"/>
          <w:kern w:val="2"/>
          <w:sz w:val="24"/>
          <w:szCs w:val="24"/>
        </w:rPr>
      </w:pPr>
      <w:r>
        <w:fldChar w:fldCharType="begin"/>
      </w:r>
      <w:r>
        <w:instrText xml:space="preserve"> HYPERLINK \l "_Toc35500802" </w:instrText>
      </w:r>
      <w:r>
        <w:fldChar w:fldCharType="separate"/>
      </w:r>
      <w:r>
        <w:rPr>
          <w:rStyle w:val="38"/>
          <w:rFonts w:ascii="宋体" w:hAnsi="宋体"/>
          <w:sz w:val="24"/>
          <w:szCs w:val="24"/>
        </w:rPr>
        <w:t>（一）政府部门会计报表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_Toc35500802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18"/>
        <w:tabs>
          <w:tab w:val="right" w:leader="dot" w:pos="8302"/>
        </w:tabs>
        <w:spacing w:line="360" w:lineRule="auto"/>
        <w:rPr>
          <w:rFonts w:ascii="宋体" w:hAnsi="宋体" w:cstheme="minorBidi"/>
          <w:i w:val="0"/>
          <w:iCs w:val="0"/>
          <w:kern w:val="2"/>
          <w:sz w:val="24"/>
          <w:szCs w:val="24"/>
        </w:rPr>
      </w:pPr>
      <w:r>
        <w:fldChar w:fldCharType="begin"/>
      </w:r>
      <w:r>
        <w:instrText xml:space="preserve"> HYPERLINK \l "_Toc35500803" </w:instrText>
      </w:r>
      <w:r>
        <w:fldChar w:fldCharType="separate"/>
      </w:r>
      <w:r>
        <w:rPr>
          <w:rStyle w:val="38"/>
          <w:rFonts w:ascii="宋体" w:hAnsi="宋体"/>
          <w:bCs/>
          <w:i w:val="0"/>
          <w:sz w:val="24"/>
          <w:szCs w:val="24"/>
        </w:rPr>
        <w:t>资产负债表</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_Toc35500803 \h </w:instrText>
      </w:r>
      <w:r>
        <w:rPr>
          <w:rFonts w:ascii="宋体" w:hAnsi="宋体"/>
          <w:i w:val="0"/>
          <w:sz w:val="24"/>
          <w:szCs w:val="24"/>
        </w:rPr>
        <w:fldChar w:fldCharType="separate"/>
      </w:r>
      <w:r>
        <w:rPr>
          <w:rFonts w:ascii="宋体" w:hAnsi="宋体"/>
          <w:i w:val="0"/>
          <w:sz w:val="24"/>
          <w:szCs w:val="24"/>
        </w:rPr>
        <w:t>3</w:t>
      </w:r>
      <w:r>
        <w:rPr>
          <w:rFonts w:ascii="宋体" w:hAnsi="宋体"/>
          <w:i w:val="0"/>
          <w:sz w:val="24"/>
          <w:szCs w:val="24"/>
        </w:rPr>
        <w:fldChar w:fldCharType="end"/>
      </w:r>
      <w:r>
        <w:rPr>
          <w:rFonts w:ascii="宋体" w:hAnsi="宋体"/>
          <w:i w:val="0"/>
          <w:sz w:val="24"/>
          <w:szCs w:val="24"/>
        </w:rPr>
        <w:fldChar w:fldCharType="end"/>
      </w:r>
    </w:p>
    <w:p>
      <w:pPr>
        <w:pStyle w:val="18"/>
        <w:tabs>
          <w:tab w:val="right" w:leader="dot" w:pos="8302"/>
        </w:tabs>
        <w:spacing w:line="360" w:lineRule="auto"/>
        <w:rPr>
          <w:rFonts w:ascii="宋体" w:hAnsi="宋体" w:cstheme="minorBidi"/>
          <w:i w:val="0"/>
          <w:iCs w:val="0"/>
          <w:kern w:val="2"/>
          <w:sz w:val="24"/>
          <w:szCs w:val="24"/>
        </w:rPr>
      </w:pPr>
      <w:r>
        <w:fldChar w:fldCharType="begin"/>
      </w:r>
      <w:r>
        <w:instrText xml:space="preserve"> HYPERLINK \l "_Toc35500804" </w:instrText>
      </w:r>
      <w:r>
        <w:fldChar w:fldCharType="separate"/>
      </w:r>
      <w:r>
        <w:rPr>
          <w:rStyle w:val="38"/>
          <w:rFonts w:ascii="宋体" w:hAnsi="宋体"/>
          <w:bCs/>
          <w:i w:val="0"/>
          <w:sz w:val="24"/>
          <w:szCs w:val="24"/>
        </w:rPr>
        <w:t>收入费用表（1）</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_Toc35500804 \h </w:instrText>
      </w:r>
      <w:r>
        <w:rPr>
          <w:rFonts w:ascii="宋体" w:hAnsi="宋体"/>
          <w:i w:val="0"/>
          <w:sz w:val="24"/>
          <w:szCs w:val="24"/>
        </w:rPr>
        <w:fldChar w:fldCharType="separate"/>
      </w:r>
      <w:r>
        <w:rPr>
          <w:rFonts w:ascii="宋体" w:hAnsi="宋体"/>
          <w:i w:val="0"/>
          <w:sz w:val="24"/>
          <w:szCs w:val="24"/>
        </w:rPr>
        <w:t>3</w:t>
      </w:r>
      <w:r>
        <w:rPr>
          <w:rFonts w:ascii="宋体" w:hAnsi="宋体"/>
          <w:i w:val="0"/>
          <w:sz w:val="24"/>
          <w:szCs w:val="24"/>
        </w:rPr>
        <w:fldChar w:fldCharType="end"/>
      </w:r>
      <w:r>
        <w:rPr>
          <w:rFonts w:ascii="宋体" w:hAnsi="宋体"/>
          <w:i w:val="0"/>
          <w:sz w:val="24"/>
          <w:szCs w:val="24"/>
        </w:rPr>
        <w:fldChar w:fldCharType="end"/>
      </w:r>
    </w:p>
    <w:p>
      <w:pPr>
        <w:pStyle w:val="18"/>
        <w:tabs>
          <w:tab w:val="right" w:leader="dot" w:pos="8302"/>
        </w:tabs>
        <w:spacing w:line="360" w:lineRule="auto"/>
        <w:rPr>
          <w:rFonts w:ascii="宋体" w:hAnsi="宋体" w:cstheme="minorBidi"/>
          <w:i w:val="0"/>
          <w:iCs w:val="0"/>
          <w:kern w:val="2"/>
          <w:sz w:val="24"/>
          <w:szCs w:val="24"/>
        </w:rPr>
      </w:pPr>
      <w:r>
        <w:fldChar w:fldCharType="begin"/>
      </w:r>
      <w:r>
        <w:instrText xml:space="preserve"> HYPERLINK \l "_Toc35500805" </w:instrText>
      </w:r>
      <w:r>
        <w:fldChar w:fldCharType="separate"/>
      </w:r>
      <w:r>
        <w:rPr>
          <w:rStyle w:val="38"/>
          <w:rFonts w:ascii="宋体" w:hAnsi="宋体"/>
          <w:bCs/>
          <w:i w:val="0"/>
          <w:sz w:val="24"/>
          <w:szCs w:val="24"/>
        </w:rPr>
        <w:t>收入费用表（2）</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_Toc35500805 \h </w:instrText>
      </w:r>
      <w:r>
        <w:rPr>
          <w:rFonts w:ascii="宋体" w:hAnsi="宋体"/>
          <w:i w:val="0"/>
          <w:sz w:val="24"/>
          <w:szCs w:val="24"/>
        </w:rPr>
        <w:fldChar w:fldCharType="separate"/>
      </w:r>
      <w:r>
        <w:rPr>
          <w:rFonts w:ascii="宋体" w:hAnsi="宋体"/>
          <w:i w:val="0"/>
          <w:sz w:val="24"/>
          <w:szCs w:val="24"/>
        </w:rPr>
        <w:t>3</w:t>
      </w:r>
      <w:r>
        <w:rPr>
          <w:rFonts w:ascii="宋体" w:hAnsi="宋体"/>
          <w:i w:val="0"/>
          <w:sz w:val="24"/>
          <w:szCs w:val="24"/>
        </w:rPr>
        <w:fldChar w:fldCharType="end"/>
      </w:r>
      <w:r>
        <w:rPr>
          <w:rFonts w:ascii="宋体" w:hAnsi="宋体"/>
          <w:i w:val="0"/>
          <w:sz w:val="24"/>
          <w:szCs w:val="24"/>
        </w:rPr>
        <w:fldChar w:fldCharType="end"/>
      </w:r>
    </w:p>
    <w:p>
      <w:pPr>
        <w:pStyle w:val="29"/>
        <w:tabs>
          <w:tab w:val="right" w:leader="dot" w:pos="8302"/>
        </w:tabs>
        <w:spacing w:line="360" w:lineRule="auto"/>
        <w:rPr>
          <w:rFonts w:ascii="宋体" w:hAnsi="宋体" w:cstheme="minorBidi"/>
          <w:smallCaps w:val="0"/>
          <w:kern w:val="2"/>
          <w:sz w:val="24"/>
          <w:szCs w:val="24"/>
        </w:rPr>
      </w:pPr>
      <w:r>
        <w:fldChar w:fldCharType="begin"/>
      </w:r>
      <w:r>
        <w:instrText xml:space="preserve"> HYPERLINK \l "_Toc35500806" </w:instrText>
      </w:r>
      <w:r>
        <w:fldChar w:fldCharType="separate"/>
      </w:r>
      <w:r>
        <w:rPr>
          <w:rStyle w:val="38"/>
          <w:rFonts w:ascii="宋体" w:hAnsi="宋体"/>
          <w:sz w:val="24"/>
          <w:szCs w:val="24"/>
        </w:rPr>
        <w:t>（二）政府部门会计报表附注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_Toc35500806 \h </w:instrText>
      </w:r>
      <w:r>
        <w:rPr>
          <w:rFonts w:ascii="宋体" w:hAnsi="宋体"/>
          <w:sz w:val="24"/>
          <w:szCs w:val="24"/>
        </w:rPr>
        <w:fldChar w:fldCharType="separate"/>
      </w:r>
      <w:r>
        <w:rPr>
          <w:rFonts w:ascii="宋体" w:hAnsi="宋体"/>
          <w:sz w:val="24"/>
          <w:szCs w:val="24"/>
        </w:rPr>
        <w:t>4</w:t>
      </w:r>
      <w:r>
        <w:rPr>
          <w:rFonts w:ascii="宋体" w:hAnsi="宋体"/>
          <w:sz w:val="24"/>
          <w:szCs w:val="24"/>
        </w:rPr>
        <w:fldChar w:fldCharType="end"/>
      </w:r>
      <w:r>
        <w:rPr>
          <w:rFonts w:ascii="宋体" w:hAnsi="宋体"/>
          <w:sz w:val="24"/>
          <w:szCs w:val="24"/>
        </w:rPr>
        <w:fldChar w:fldCharType="end"/>
      </w:r>
    </w:p>
    <w:p>
      <w:pPr>
        <w:pStyle w:val="18"/>
        <w:tabs>
          <w:tab w:val="right" w:leader="dot" w:pos="8302"/>
        </w:tabs>
        <w:spacing w:line="360" w:lineRule="auto"/>
        <w:rPr>
          <w:rFonts w:ascii="宋体" w:hAnsi="宋体" w:cstheme="minorBidi"/>
          <w:i w:val="0"/>
          <w:iCs w:val="0"/>
          <w:kern w:val="2"/>
          <w:sz w:val="24"/>
          <w:szCs w:val="24"/>
        </w:rPr>
      </w:pPr>
      <w:r>
        <w:fldChar w:fldCharType="begin"/>
      </w:r>
      <w:r>
        <w:instrText xml:space="preserve"> HYPERLINK \l "_Toc35500807" </w:instrText>
      </w:r>
      <w:r>
        <w:fldChar w:fldCharType="separate"/>
      </w:r>
      <w:r>
        <w:rPr>
          <w:rStyle w:val="38"/>
          <w:rFonts w:ascii="宋体" w:hAnsi="宋体"/>
          <w:i w:val="0"/>
          <w:sz w:val="24"/>
          <w:szCs w:val="24"/>
        </w:rPr>
        <w:t>1.会计报表编制基础。</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_Toc35500807 \h </w:instrText>
      </w:r>
      <w:r>
        <w:rPr>
          <w:rFonts w:ascii="宋体" w:hAnsi="宋体"/>
          <w:i w:val="0"/>
          <w:sz w:val="24"/>
          <w:szCs w:val="24"/>
        </w:rPr>
        <w:fldChar w:fldCharType="separate"/>
      </w:r>
      <w:r>
        <w:rPr>
          <w:rFonts w:ascii="宋体" w:hAnsi="宋体"/>
          <w:i w:val="0"/>
          <w:sz w:val="24"/>
          <w:szCs w:val="24"/>
        </w:rPr>
        <w:t>4</w:t>
      </w:r>
      <w:r>
        <w:rPr>
          <w:rFonts w:ascii="宋体" w:hAnsi="宋体"/>
          <w:i w:val="0"/>
          <w:sz w:val="24"/>
          <w:szCs w:val="24"/>
        </w:rPr>
        <w:fldChar w:fldCharType="end"/>
      </w:r>
      <w:r>
        <w:rPr>
          <w:rFonts w:ascii="宋体" w:hAnsi="宋体"/>
          <w:i w:val="0"/>
          <w:sz w:val="24"/>
          <w:szCs w:val="24"/>
        </w:rPr>
        <w:fldChar w:fldCharType="end"/>
      </w:r>
    </w:p>
    <w:p>
      <w:pPr>
        <w:pStyle w:val="18"/>
        <w:tabs>
          <w:tab w:val="right" w:leader="dot" w:pos="8302"/>
        </w:tabs>
        <w:spacing w:line="360" w:lineRule="auto"/>
        <w:rPr>
          <w:rFonts w:ascii="宋体" w:hAnsi="宋体" w:cstheme="minorBidi"/>
          <w:i w:val="0"/>
          <w:iCs w:val="0"/>
          <w:kern w:val="2"/>
          <w:sz w:val="24"/>
          <w:szCs w:val="24"/>
        </w:rPr>
      </w:pPr>
      <w:r>
        <w:fldChar w:fldCharType="begin"/>
      </w:r>
      <w:r>
        <w:instrText xml:space="preserve"> HYPERLINK \l "_Toc35500808" </w:instrText>
      </w:r>
      <w:r>
        <w:fldChar w:fldCharType="separate"/>
      </w:r>
      <w:r>
        <w:rPr>
          <w:rStyle w:val="38"/>
          <w:rFonts w:ascii="宋体" w:hAnsi="宋体"/>
          <w:i w:val="0"/>
          <w:sz w:val="24"/>
          <w:szCs w:val="24"/>
        </w:rPr>
        <w:t>2.遵循相关制度规定的声明。</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_Toc35500808 \h </w:instrText>
      </w:r>
      <w:r>
        <w:rPr>
          <w:rFonts w:ascii="宋体" w:hAnsi="宋体"/>
          <w:i w:val="0"/>
          <w:sz w:val="24"/>
          <w:szCs w:val="24"/>
        </w:rPr>
        <w:fldChar w:fldCharType="separate"/>
      </w:r>
      <w:r>
        <w:rPr>
          <w:rFonts w:ascii="宋体" w:hAnsi="宋体"/>
          <w:i w:val="0"/>
          <w:sz w:val="24"/>
          <w:szCs w:val="24"/>
        </w:rPr>
        <w:t>4</w:t>
      </w:r>
      <w:r>
        <w:rPr>
          <w:rFonts w:ascii="宋体" w:hAnsi="宋体"/>
          <w:i w:val="0"/>
          <w:sz w:val="24"/>
          <w:szCs w:val="24"/>
        </w:rPr>
        <w:fldChar w:fldCharType="end"/>
      </w:r>
      <w:r>
        <w:rPr>
          <w:rFonts w:ascii="宋体" w:hAnsi="宋体"/>
          <w:i w:val="0"/>
          <w:sz w:val="24"/>
          <w:szCs w:val="24"/>
        </w:rPr>
        <w:fldChar w:fldCharType="end"/>
      </w:r>
    </w:p>
    <w:p>
      <w:pPr>
        <w:pStyle w:val="18"/>
        <w:tabs>
          <w:tab w:val="right" w:leader="dot" w:pos="8302"/>
        </w:tabs>
        <w:spacing w:line="360" w:lineRule="auto"/>
        <w:rPr>
          <w:rFonts w:ascii="宋体" w:hAnsi="宋体" w:cstheme="minorBidi"/>
          <w:i w:val="0"/>
          <w:iCs w:val="0"/>
          <w:kern w:val="2"/>
          <w:sz w:val="24"/>
          <w:szCs w:val="24"/>
        </w:rPr>
      </w:pPr>
      <w:r>
        <w:fldChar w:fldCharType="begin"/>
      </w:r>
      <w:r>
        <w:instrText xml:space="preserve"> HYPERLINK \l "_Toc35500809" </w:instrText>
      </w:r>
      <w:r>
        <w:fldChar w:fldCharType="separate"/>
      </w:r>
      <w:r>
        <w:rPr>
          <w:rStyle w:val="38"/>
          <w:rFonts w:ascii="宋体" w:hAnsi="宋体"/>
          <w:i w:val="0"/>
          <w:sz w:val="24"/>
          <w:szCs w:val="24"/>
        </w:rPr>
        <w:t>3.合并范围。</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_Toc35500809 \h </w:instrText>
      </w:r>
      <w:r>
        <w:rPr>
          <w:rFonts w:ascii="宋体" w:hAnsi="宋体"/>
          <w:i w:val="0"/>
          <w:sz w:val="24"/>
          <w:szCs w:val="24"/>
        </w:rPr>
        <w:fldChar w:fldCharType="separate"/>
      </w:r>
      <w:r>
        <w:rPr>
          <w:rFonts w:ascii="宋体" w:hAnsi="宋体"/>
          <w:i w:val="0"/>
          <w:sz w:val="24"/>
          <w:szCs w:val="24"/>
        </w:rPr>
        <w:t>4</w:t>
      </w:r>
      <w:r>
        <w:rPr>
          <w:rFonts w:ascii="宋体" w:hAnsi="宋体"/>
          <w:i w:val="0"/>
          <w:sz w:val="24"/>
          <w:szCs w:val="24"/>
        </w:rPr>
        <w:fldChar w:fldCharType="end"/>
      </w:r>
      <w:r>
        <w:rPr>
          <w:rFonts w:ascii="宋体" w:hAnsi="宋体"/>
          <w:i w:val="0"/>
          <w:sz w:val="24"/>
          <w:szCs w:val="24"/>
        </w:rPr>
        <w:fldChar w:fldCharType="end"/>
      </w:r>
    </w:p>
    <w:p>
      <w:pPr>
        <w:pStyle w:val="18"/>
        <w:tabs>
          <w:tab w:val="right" w:leader="dot" w:pos="8302"/>
        </w:tabs>
        <w:spacing w:line="360" w:lineRule="auto"/>
        <w:rPr>
          <w:rFonts w:ascii="宋体" w:hAnsi="宋体" w:cstheme="minorBidi"/>
          <w:i w:val="0"/>
          <w:iCs w:val="0"/>
          <w:kern w:val="2"/>
          <w:sz w:val="24"/>
          <w:szCs w:val="24"/>
        </w:rPr>
      </w:pPr>
      <w:r>
        <w:fldChar w:fldCharType="begin"/>
      </w:r>
      <w:r>
        <w:instrText xml:space="preserve"> HYPERLINK \l "_Toc35500810" </w:instrText>
      </w:r>
      <w:r>
        <w:fldChar w:fldCharType="separate"/>
      </w:r>
      <w:r>
        <w:rPr>
          <w:rStyle w:val="38"/>
          <w:rFonts w:ascii="宋体" w:hAnsi="宋体"/>
          <w:i w:val="0"/>
          <w:sz w:val="24"/>
          <w:szCs w:val="24"/>
        </w:rPr>
        <w:t>4.重要会计政策与会计估计变更情况。</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_Toc35500810 \h </w:instrText>
      </w:r>
      <w:r>
        <w:rPr>
          <w:rFonts w:ascii="宋体" w:hAnsi="宋体"/>
          <w:i w:val="0"/>
          <w:sz w:val="24"/>
          <w:szCs w:val="24"/>
        </w:rPr>
        <w:fldChar w:fldCharType="separate"/>
      </w:r>
      <w:r>
        <w:rPr>
          <w:rFonts w:ascii="宋体" w:hAnsi="宋体"/>
          <w:i w:val="0"/>
          <w:sz w:val="24"/>
          <w:szCs w:val="24"/>
        </w:rPr>
        <w:t>4</w:t>
      </w:r>
      <w:r>
        <w:rPr>
          <w:rFonts w:ascii="宋体" w:hAnsi="宋体"/>
          <w:i w:val="0"/>
          <w:sz w:val="24"/>
          <w:szCs w:val="24"/>
        </w:rPr>
        <w:fldChar w:fldCharType="end"/>
      </w:r>
      <w:r>
        <w:rPr>
          <w:rFonts w:ascii="宋体" w:hAnsi="宋体"/>
          <w:i w:val="0"/>
          <w:sz w:val="24"/>
          <w:szCs w:val="24"/>
        </w:rPr>
        <w:fldChar w:fldCharType="end"/>
      </w:r>
    </w:p>
    <w:p>
      <w:pPr>
        <w:pStyle w:val="18"/>
        <w:tabs>
          <w:tab w:val="right" w:leader="dot" w:pos="8302"/>
        </w:tabs>
        <w:spacing w:line="360" w:lineRule="auto"/>
        <w:rPr>
          <w:rFonts w:ascii="宋体" w:hAnsi="宋体" w:cstheme="minorBidi"/>
          <w:i w:val="0"/>
          <w:iCs w:val="0"/>
          <w:kern w:val="2"/>
          <w:sz w:val="24"/>
          <w:szCs w:val="24"/>
        </w:rPr>
      </w:pPr>
      <w:r>
        <w:fldChar w:fldCharType="begin"/>
      </w:r>
      <w:r>
        <w:instrText xml:space="preserve"> HYPERLINK \l "_Toc35500811" </w:instrText>
      </w:r>
      <w:r>
        <w:fldChar w:fldCharType="separate"/>
      </w:r>
      <w:r>
        <w:rPr>
          <w:rStyle w:val="38"/>
          <w:rFonts w:ascii="宋体" w:hAnsi="宋体"/>
          <w:i w:val="0"/>
          <w:sz w:val="24"/>
          <w:szCs w:val="24"/>
        </w:rPr>
        <w:t>5.会计报表重要项目的明细信息及说明</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_Toc35500811 \h </w:instrText>
      </w:r>
      <w:r>
        <w:rPr>
          <w:rFonts w:ascii="宋体" w:hAnsi="宋体"/>
          <w:i w:val="0"/>
          <w:sz w:val="24"/>
          <w:szCs w:val="24"/>
        </w:rPr>
        <w:fldChar w:fldCharType="separate"/>
      </w:r>
      <w:r>
        <w:rPr>
          <w:rFonts w:ascii="宋体" w:hAnsi="宋体"/>
          <w:i w:val="0"/>
          <w:sz w:val="24"/>
          <w:szCs w:val="24"/>
        </w:rPr>
        <w:t>5</w:t>
      </w:r>
      <w:r>
        <w:rPr>
          <w:rFonts w:ascii="宋体" w:hAnsi="宋体"/>
          <w:i w:val="0"/>
          <w:sz w:val="24"/>
          <w:szCs w:val="24"/>
        </w:rPr>
        <w:fldChar w:fldCharType="end"/>
      </w:r>
      <w:r>
        <w:rPr>
          <w:rFonts w:ascii="宋体" w:hAnsi="宋体"/>
          <w:i w:val="0"/>
          <w:sz w:val="24"/>
          <w:szCs w:val="24"/>
        </w:rPr>
        <w:fldChar w:fldCharType="end"/>
      </w:r>
    </w:p>
    <w:p>
      <w:pPr>
        <w:pStyle w:val="18"/>
        <w:tabs>
          <w:tab w:val="right" w:leader="dot" w:pos="8302"/>
        </w:tabs>
        <w:spacing w:line="360" w:lineRule="auto"/>
        <w:rPr>
          <w:rFonts w:ascii="宋体" w:hAnsi="宋体" w:cstheme="minorBidi"/>
          <w:i w:val="0"/>
          <w:iCs w:val="0"/>
          <w:kern w:val="2"/>
          <w:sz w:val="24"/>
          <w:szCs w:val="24"/>
        </w:rPr>
      </w:pPr>
      <w:r>
        <w:fldChar w:fldCharType="begin"/>
      </w:r>
      <w:r>
        <w:instrText xml:space="preserve"> HYPERLINK \l "_Toc35500812" </w:instrText>
      </w:r>
      <w:r>
        <w:fldChar w:fldCharType="separate"/>
      </w:r>
      <w:r>
        <w:rPr>
          <w:rStyle w:val="38"/>
          <w:rFonts w:ascii="宋体" w:hAnsi="宋体"/>
          <w:i w:val="0"/>
          <w:sz w:val="24"/>
          <w:szCs w:val="24"/>
        </w:rPr>
        <w:t>6.需要说明的其他事项。</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_Toc35500812 \h </w:instrText>
      </w:r>
      <w:r>
        <w:rPr>
          <w:rFonts w:ascii="宋体" w:hAnsi="宋体"/>
          <w:i w:val="0"/>
          <w:sz w:val="24"/>
          <w:szCs w:val="24"/>
        </w:rPr>
        <w:fldChar w:fldCharType="separate"/>
      </w:r>
      <w:r>
        <w:rPr>
          <w:rFonts w:ascii="宋体" w:hAnsi="宋体"/>
          <w:i w:val="0"/>
          <w:sz w:val="24"/>
          <w:szCs w:val="24"/>
        </w:rPr>
        <w:t>12</w:t>
      </w:r>
      <w:r>
        <w:rPr>
          <w:rFonts w:ascii="宋体" w:hAnsi="宋体"/>
          <w:i w:val="0"/>
          <w:sz w:val="24"/>
          <w:szCs w:val="24"/>
        </w:rPr>
        <w:fldChar w:fldCharType="end"/>
      </w:r>
      <w:r>
        <w:rPr>
          <w:rFonts w:ascii="宋体" w:hAnsi="宋体"/>
          <w:i w:val="0"/>
          <w:sz w:val="24"/>
          <w:szCs w:val="24"/>
        </w:rPr>
        <w:fldChar w:fldCharType="end"/>
      </w:r>
    </w:p>
    <w:p>
      <w:pPr>
        <w:pStyle w:val="24"/>
        <w:tabs>
          <w:tab w:val="right" w:leader="dot" w:pos="8302"/>
        </w:tabs>
        <w:spacing w:before="0" w:after="0" w:line="360" w:lineRule="auto"/>
        <w:rPr>
          <w:rStyle w:val="38"/>
          <w:rFonts w:ascii="黑体" w:hAnsi="黑体" w:eastAsia="黑体"/>
          <w:sz w:val="24"/>
          <w:szCs w:val="24"/>
        </w:rPr>
      </w:pPr>
      <w:r>
        <w:fldChar w:fldCharType="begin"/>
      </w:r>
      <w:r>
        <w:instrText xml:space="preserve"> HYPERLINK \l "_Toc35500813" </w:instrText>
      </w:r>
      <w:r>
        <w:fldChar w:fldCharType="separate"/>
      </w:r>
      <w:r>
        <w:rPr>
          <w:rStyle w:val="38"/>
          <w:rFonts w:ascii="黑体" w:hAnsi="黑体" w:eastAsia="黑体"/>
          <w:sz w:val="24"/>
          <w:szCs w:val="24"/>
        </w:rPr>
        <w:t>二、政府部门财务分析</w:t>
      </w:r>
      <w:r>
        <w:rPr>
          <w:rStyle w:val="38"/>
          <w:rFonts w:ascii="黑体" w:hAnsi="黑体" w:eastAsia="黑体"/>
          <w:sz w:val="24"/>
          <w:szCs w:val="24"/>
        </w:rPr>
        <w:tab/>
      </w:r>
      <w:r>
        <w:rPr>
          <w:rStyle w:val="38"/>
          <w:rFonts w:ascii="黑体" w:hAnsi="黑体" w:eastAsia="黑体"/>
          <w:sz w:val="24"/>
          <w:szCs w:val="24"/>
        </w:rPr>
        <w:fldChar w:fldCharType="begin"/>
      </w:r>
      <w:r>
        <w:rPr>
          <w:rStyle w:val="38"/>
          <w:rFonts w:ascii="黑体" w:hAnsi="黑体" w:eastAsia="黑体"/>
          <w:sz w:val="24"/>
          <w:szCs w:val="24"/>
        </w:rPr>
        <w:instrText xml:space="preserve"> PAGEREF _Toc35500813 \h </w:instrText>
      </w:r>
      <w:r>
        <w:rPr>
          <w:rStyle w:val="38"/>
          <w:rFonts w:ascii="黑体" w:hAnsi="黑体" w:eastAsia="黑体"/>
          <w:sz w:val="24"/>
          <w:szCs w:val="24"/>
        </w:rPr>
        <w:fldChar w:fldCharType="separate"/>
      </w:r>
      <w:r>
        <w:rPr>
          <w:rStyle w:val="38"/>
          <w:rFonts w:ascii="黑体" w:hAnsi="黑体" w:eastAsia="黑体"/>
          <w:sz w:val="24"/>
          <w:szCs w:val="24"/>
        </w:rPr>
        <w:t>13</w:t>
      </w:r>
      <w:r>
        <w:rPr>
          <w:rStyle w:val="38"/>
          <w:rFonts w:ascii="黑体" w:hAnsi="黑体" w:eastAsia="黑体"/>
          <w:sz w:val="24"/>
          <w:szCs w:val="24"/>
        </w:rPr>
        <w:fldChar w:fldCharType="end"/>
      </w:r>
      <w:r>
        <w:rPr>
          <w:rStyle w:val="38"/>
          <w:rFonts w:ascii="黑体" w:hAnsi="黑体" w:eastAsia="黑体"/>
          <w:sz w:val="24"/>
          <w:szCs w:val="24"/>
        </w:rPr>
        <w:fldChar w:fldCharType="end"/>
      </w:r>
    </w:p>
    <w:p>
      <w:pPr>
        <w:pStyle w:val="18"/>
        <w:tabs>
          <w:tab w:val="right" w:leader="dot" w:pos="8302"/>
        </w:tabs>
        <w:spacing w:line="360" w:lineRule="auto"/>
        <w:rPr>
          <w:rFonts w:ascii="宋体" w:hAnsi="宋体" w:cstheme="minorBidi"/>
          <w:i w:val="0"/>
          <w:iCs w:val="0"/>
          <w:kern w:val="2"/>
          <w:sz w:val="24"/>
          <w:szCs w:val="24"/>
        </w:rPr>
      </w:pPr>
      <w:r>
        <w:fldChar w:fldCharType="begin"/>
      </w:r>
      <w:r>
        <w:instrText xml:space="preserve"> HYPERLINK \l "_Toc35500814" </w:instrText>
      </w:r>
      <w:r>
        <w:fldChar w:fldCharType="separate"/>
      </w:r>
      <w:r>
        <w:rPr>
          <w:rStyle w:val="38"/>
          <w:rFonts w:ascii="宋体" w:hAnsi="宋体"/>
          <w:i w:val="0"/>
          <w:sz w:val="24"/>
          <w:szCs w:val="24"/>
        </w:rPr>
        <w:t>（一）</w:t>
      </w:r>
      <w:r>
        <w:rPr>
          <w:rStyle w:val="38"/>
          <w:rFonts w:ascii="宋体" w:hAnsi="宋体" w:cs="黑体"/>
          <w:i w:val="0"/>
          <w:spacing w:val="-8"/>
          <w:sz w:val="24"/>
          <w:szCs w:val="24"/>
        </w:rPr>
        <w:t>政府部门工作目标完成情况。</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_Toc35500814 \h </w:instrText>
      </w:r>
      <w:r>
        <w:rPr>
          <w:rFonts w:ascii="宋体" w:hAnsi="宋体"/>
          <w:i w:val="0"/>
          <w:sz w:val="24"/>
          <w:szCs w:val="24"/>
        </w:rPr>
        <w:fldChar w:fldCharType="separate"/>
      </w:r>
      <w:r>
        <w:rPr>
          <w:rFonts w:ascii="宋体" w:hAnsi="宋体"/>
          <w:i w:val="0"/>
          <w:sz w:val="24"/>
          <w:szCs w:val="24"/>
        </w:rPr>
        <w:t>13</w:t>
      </w:r>
      <w:r>
        <w:rPr>
          <w:rFonts w:ascii="宋体" w:hAnsi="宋体"/>
          <w:i w:val="0"/>
          <w:sz w:val="24"/>
          <w:szCs w:val="24"/>
        </w:rPr>
        <w:fldChar w:fldCharType="end"/>
      </w:r>
      <w:r>
        <w:rPr>
          <w:rFonts w:ascii="宋体" w:hAnsi="宋体"/>
          <w:i w:val="0"/>
          <w:sz w:val="24"/>
          <w:szCs w:val="24"/>
        </w:rPr>
        <w:fldChar w:fldCharType="end"/>
      </w:r>
    </w:p>
    <w:p>
      <w:pPr>
        <w:pStyle w:val="18"/>
        <w:tabs>
          <w:tab w:val="right" w:leader="dot" w:pos="8302"/>
        </w:tabs>
        <w:spacing w:line="360" w:lineRule="auto"/>
        <w:rPr>
          <w:rFonts w:ascii="宋体" w:hAnsi="宋体" w:cstheme="minorBidi"/>
          <w:i w:val="0"/>
          <w:iCs w:val="0"/>
          <w:kern w:val="2"/>
          <w:sz w:val="24"/>
          <w:szCs w:val="24"/>
        </w:rPr>
      </w:pPr>
      <w:r>
        <w:fldChar w:fldCharType="begin"/>
      </w:r>
      <w:r>
        <w:instrText xml:space="preserve"> HYPERLINK \l "_Toc35500815" </w:instrText>
      </w:r>
      <w:r>
        <w:fldChar w:fldCharType="separate"/>
      </w:r>
      <w:r>
        <w:rPr>
          <w:rStyle w:val="38"/>
          <w:rFonts w:ascii="宋体" w:hAnsi="宋体"/>
          <w:i w:val="0"/>
          <w:sz w:val="24"/>
          <w:szCs w:val="24"/>
        </w:rPr>
        <w:t>（二）政府部门财务状况分析。</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_Toc35500815 \h </w:instrText>
      </w:r>
      <w:r>
        <w:rPr>
          <w:rFonts w:ascii="宋体" w:hAnsi="宋体"/>
          <w:i w:val="0"/>
          <w:sz w:val="24"/>
          <w:szCs w:val="24"/>
        </w:rPr>
        <w:fldChar w:fldCharType="separate"/>
      </w:r>
      <w:r>
        <w:rPr>
          <w:rFonts w:ascii="宋体" w:hAnsi="宋体"/>
          <w:i w:val="0"/>
          <w:sz w:val="24"/>
          <w:szCs w:val="24"/>
        </w:rPr>
        <w:t>13</w:t>
      </w:r>
      <w:r>
        <w:rPr>
          <w:rFonts w:ascii="宋体" w:hAnsi="宋体"/>
          <w:i w:val="0"/>
          <w:sz w:val="24"/>
          <w:szCs w:val="24"/>
        </w:rPr>
        <w:fldChar w:fldCharType="end"/>
      </w:r>
      <w:r>
        <w:rPr>
          <w:rFonts w:ascii="宋体" w:hAnsi="宋体"/>
          <w:i w:val="0"/>
          <w:sz w:val="24"/>
          <w:szCs w:val="24"/>
        </w:rPr>
        <w:fldChar w:fldCharType="end"/>
      </w:r>
    </w:p>
    <w:p>
      <w:pPr>
        <w:pStyle w:val="18"/>
        <w:tabs>
          <w:tab w:val="right" w:leader="dot" w:pos="8302"/>
        </w:tabs>
        <w:spacing w:line="360" w:lineRule="auto"/>
        <w:rPr>
          <w:rFonts w:ascii="宋体" w:hAnsi="宋体" w:cstheme="minorBidi"/>
          <w:i w:val="0"/>
          <w:iCs w:val="0"/>
          <w:kern w:val="2"/>
          <w:sz w:val="24"/>
          <w:szCs w:val="24"/>
        </w:rPr>
      </w:pPr>
      <w:r>
        <w:fldChar w:fldCharType="begin"/>
      </w:r>
      <w:r>
        <w:instrText xml:space="preserve"> HYPERLINK \l "_Toc35500816" </w:instrText>
      </w:r>
      <w:r>
        <w:fldChar w:fldCharType="separate"/>
      </w:r>
      <w:r>
        <w:rPr>
          <w:rStyle w:val="38"/>
          <w:rFonts w:ascii="宋体" w:hAnsi="宋体"/>
          <w:i w:val="0"/>
          <w:sz w:val="24"/>
          <w:szCs w:val="24"/>
        </w:rPr>
        <w:t>（三）政府部门运行情况分析。</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_Toc35500816 \h </w:instrText>
      </w:r>
      <w:r>
        <w:rPr>
          <w:rFonts w:ascii="宋体" w:hAnsi="宋体"/>
          <w:i w:val="0"/>
          <w:sz w:val="24"/>
          <w:szCs w:val="24"/>
        </w:rPr>
        <w:fldChar w:fldCharType="separate"/>
      </w:r>
      <w:r>
        <w:rPr>
          <w:rFonts w:ascii="宋体" w:hAnsi="宋体"/>
          <w:i w:val="0"/>
          <w:sz w:val="24"/>
          <w:szCs w:val="24"/>
        </w:rPr>
        <w:t>14</w:t>
      </w:r>
      <w:r>
        <w:rPr>
          <w:rFonts w:ascii="宋体" w:hAnsi="宋体"/>
          <w:i w:val="0"/>
          <w:sz w:val="24"/>
          <w:szCs w:val="24"/>
        </w:rPr>
        <w:fldChar w:fldCharType="end"/>
      </w:r>
      <w:r>
        <w:rPr>
          <w:rFonts w:ascii="宋体" w:hAnsi="宋体"/>
          <w:i w:val="0"/>
          <w:sz w:val="24"/>
          <w:szCs w:val="24"/>
        </w:rPr>
        <w:fldChar w:fldCharType="end"/>
      </w:r>
    </w:p>
    <w:p>
      <w:pPr>
        <w:pStyle w:val="18"/>
        <w:tabs>
          <w:tab w:val="right" w:leader="dot" w:pos="8302"/>
        </w:tabs>
        <w:spacing w:line="360" w:lineRule="auto"/>
        <w:rPr>
          <w:rFonts w:ascii="宋体" w:hAnsi="宋体" w:cstheme="minorBidi"/>
          <w:i w:val="0"/>
          <w:iCs w:val="0"/>
          <w:kern w:val="2"/>
          <w:sz w:val="24"/>
          <w:szCs w:val="24"/>
        </w:rPr>
      </w:pPr>
      <w:r>
        <w:fldChar w:fldCharType="begin"/>
      </w:r>
      <w:r>
        <w:instrText xml:space="preserve"> HYPERLINK \l "_Toc35500817" </w:instrText>
      </w:r>
      <w:r>
        <w:fldChar w:fldCharType="separate"/>
      </w:r>
      <w:r>
        <w:rPr>
          <w:rStyle w:val="38"/>
          <w:rFonts w:ascii="宋体" w:hAnsi="宋体"/>
          <w:i w:val="0"/>
          <w:sz w:val="24"/>
          <w:szCs w:val="24"/>
        </w:rPr>
        <w:t>（四）政府部门财务管理情况。</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_Toc35500817 \h </w:instrText>
      </w:r>
      <w:r>
        <w:rPr>
          <w:rFonts w:ascii="宋体" w:hAnsi="宋体"/>
          <w:i w:val="0"/>
          <w:sz w:val="24"/>
          <w:szCs w:val="24"/>
        </w:rPr>
        <w:fldChar w:fldCharType="separate"/>
      </w:r>
      <w:r>
        <w:rPr>
          <w:rFonts w:ascii="宋体" w:hAnsi="宋体"/>
          <w:i w:val="0"/>
          <w:sz w:val="24"/>
          <w:szCs w:val="24"/>
        </w:rPr>
        <w:t>15</w:t>
      </w:r>
      <w:r>
        <w:rPr>
          <w:rFonts w:ascii="宋体" w:hAnsi="宋体"/>
          <w:i w:val="0"/>
          <w:sz w:val="24"/>
          <w:szCs w:val="24"/>
        </w:rPr>
        <w:fldChar w:fldCharType="end"/>
      </w:r>
      <w:r>
        <w:rPr>
          <w:rFonts w:ascii="宋体" w:hAnsi="宋体"/>
          <w:i w:val="0"/>
          <w:sz w:val="24"/>
          <w:szCs w:val="24"/>
        </w:rPr>
        <w:fldChar w:fldCharType="end"/>
      </w:r>
    </w:p>
    <w:p>
      <w:pPr>
        <w:spacing w:line="360" w:lineRule="auto"/>
        <w:jc w:val="both"/>
        <w:rPr>
          <w:rFonts w:eastAsia="仿宋_GB2312"/>
          <w:smallCaps/>
        </w:rPr>
      </w:pPr>
      <w:r>
        <w:rPr>
          <w:rFonts w:asciiTheme="minorEastAsia" w:hAnsiTheme="minorEastAsia" w:eastAsiaTheme="minorEastAsia"/>
          <w:smallCaps/>
          <w:sz w:val="28"/>
          <w:szCs w:val="28"/>
        </w:rPr>
        <w:fldChar w:fldCharType="end"/>
      </w:r>
    </w:p>
    <w:p>
      <w:pPr>
        <w:spacing w:line="360" w:lineRule="auto"/>
        <w:jc w:val="both"/>
        <w:rPr>
          <w:rFonts w:eastAsia="仿宋_GB2312"/>
          <w:smallCaps/>
        </w:rPr>
      </w:pPr>
    </w:p>
    <w:p>
      <w:pPr>
        <w:spacing w:line="360" w:lineRule="auto"/>
        <w:jc w:val="both"/>
        <w:rPr>
          <w:rFonts w:eastAsia="仿宋_GB2312"/>
          <w:smallCaps/>
        </w:rPr>
        <w:sectPr>
          <w:footerReference r:id="rId8" w:type="first"/>
          <w:footnotePr>
            <w:numFmt w:val="decimalEnclosedCircleChinese"/>
          </w:footnotePr>
          <w:pgSz w:w="11906" w:h="16838"/>
          <w:pgMar w:top="1440" w:right="1797" w:bottom="1440" w:left="1797" w:header="851" w:footer="992" w:gutter="0"/>
          <w:cols w:space="425" w:num="1"/>
          <w:docGrid w:type="lines" w:linePitch="326" w:charSpace="0"/>
        </w:sectPr>
      </w:pPr>
    </w:p>
    <w:p>
      <w:pPr>
        <w:pStyle w:val="2"/>
        <w:spacing w:before="0" w:after="0" w:line="360" w:lineRule="auto"/>
        <w:rPr>
          <w:rStyle w:val="43"/>
          <w:rFonts w:ascii="宋体" w:eastAsia="宋体"/>
          <w:b w:val="0"/>
          <w:sz w:val="32"/>
          <w:szCs w:val="32"/>
        </w:rPr>
      </w:pPr>
      <w:bookmarkStart w:id="12" w:name="_Toc435363360"/>
      <w:bookmarkStart w:id="13" w:name="_Toc435362062"/>
      <w:bookmarkStart w:id="14" w:name="_Toc436083527"/>
      <w:bookmarkStart w:id="15" w:name="_Toc435362289"/>
      <w:bookmarkStart w:id="16" w:name="_Toc503548884"/>
      <w:bookmarkStart w:id="17" w:name="_Toc35500801"/>
      <w:bookmarkStart w:id="18" w:name="_Toc435361944"/>
      <w:bookmarkStart w:id="19" w:name="_Toc435362487"/>
      <w:bookmarkStart w:id="20" w:name="_Toc435360895"/>
      <w:bookmarkStart w:id="21" w:name="_Toc35452575"/>
      <w:r>
        <w:rPr>
          <w:rFonts w:hint="eastAsia" w:ascii="宋体" w:eastAsia="宋体"/>
          <w:sz w:val="32"/>
          <w:szCs w:val="32"/>
        </w:rPr>
        <w:t>一、政府部门财务报表</w:t>
      </w:r>
      <w:bookmarkEnd w:id="12"/>
      <w:bookmarkEnd w:id="13"/>
      <w:bookmarkEnd w:id="14"/>
      <w:bookmarkEnd w:id="15"/>
      <w:bookmarkEnd w:id="16"/>
      <w:bookmarkEnd w:id="17"/>
      <w:bookmarkEnd w:id="18"/>
      <w:bookmarkEnd w:id="19"/>
      <w:bookmarkEnd w:id="20"/>
      <w:bookmarkEnd w:id="21"/>
    </w:p>
    <w:p>
      <w:pPr>
        <w:pStyle w:val="3"/>
        <w:spacing w:before="0" w:after="0" w:line="360" w:lineRule="auto"/>
        <w:ind w:firstLine="602" w:firstLineChars="200"/>
        <w:jc w:val="left"/>
        <w:rPr>
          <w:rFonts w:asciiTheme="minorEastAsia" w:hAnsiTheme="minorEastAsia" w:eastAsiaTheme="minorEastAsia"/>
        </w:rPr>
      </w:pPr>
      <w:bookmarkStart w:id="22" w:name="_Toc436083528"/>
      <w:bookmarkStart w:id="23" w:name="_Toc503548885"/>
      <w:bookmarkStart w:id="24" w:name="_Toc435361945"/>
      <w:bookmarkStart w:id="25" w:name="_Toc35452576"/>
      <w:bookmarkStart w:id="26" w:name="_Toc435362488"/>
      <w:bookmarkStart w:id="27" w:name="_Toc35500802"/>
      <w:bookmarkStart w:id="28" w:name="_Toc435362290"/>
      <w:bookmarkStart w:id="29" w:name="_Toc435362063"/>
      <w:r>
        <w:rPr>
          <w:rFonts w:hint="eastAsia" w:asciiTheme="minorEastAsia" w:hAnsiTheme="minorEastAsia" w:eastAsiaTheme="minorEastAsia"/>
        </w:rPr>
        <w:t>（一）政府部门会计报表</w:t>
      </w:r>
      <w:bookmarkEnd w:id="22"/>
      <w:bookmarkEnd w:id="23"/>
      <w:bookmarkEnd w:id="24"/>
      <w:bookmarkEnd w:id="25"/>
      <w:bookmarkEnd w:id="26"/>
      <w:bookmarkEnd w:id="27"/>
      <w:bookmarkEnd w:id="28"/>
      <w:bookmarkEnd w:id="29"/>
    </w:p>
    <w:p/>
    <w:p>
      <w:bookmarkStart w:id="30" w:name="_Toc435361946"/>
      <w:bookmarkStart w:id="31" w:name="_Toc435362489"/>
      <w:bookmarkStart w:id="32" w:name="_Toc435362064"/>
      <w:bookmarkStart w:id="33" w:name="_Toc435362291"/>
      <w:r>
        <w:rPr>
          <w:rFonts w:hint="eastAsia"/>
        </w:rPr>
        <w:t>表</w:t>
      </w:r>
      <w:r>
        <w:t>1</w:t>
      </w:r>
    </w:p>
    <w:p>
      <w:pPr>
        <w:spacing w:before="2" w:line="360" w:lineRule="auto"/>
        <w:ind w:firstLine="562" w:firstLineChars="200"/>
        <w:jc w:val="center"/>
        <w:outlineLvl w:val="2"/>
        <w:rPr>
          <w:rFonts w:cs="Times New Roman" w:asciiTheme="majorEastAsia" w:hAnsiTheme="majorEastAsia" w:eastAsiaTheme="majorEastAsia"/>
          <w:b/>
          <w:bCs/>
          <w:kern w:val="2"/>
          <w:sz w:val="28"/>
          <w:szCs w:val="28"/>
        </w:rPr>
      </w:pPr>
      <w:bookmarkStart w:id="34" w:name="_Toc35452577"/>
      <w:bookmarkStart w:id="35" w:name="_Toc35500803"/>
      <w:r>
        <w:rPr>
          <w:rFonts w:hint="eastAsia" w:cs="Times New Roman" w:asciiTheme="majorEastAsia" w:hAnsiTheme="majorEastAsia" w:eastAsiaTheme="majorEastAsia"/>
          <w:b/>
          <w:bCs/>
          <w:kern w:val="2"/>
          <w:sz w:val="28"/>
          <w:szCs w:val="28"/>
        </w:rPr>
        <w:t>资产负债表</w:t>
      </w:r>
      <w:bookmarkEnd w:id="30"/>
      <w:bookmarkEnd w:id="31"/>
      <w:bookmarkEnd w:id="32"/>
      <w:bookmarkEnd w:id="33"/>
      <w:bookmarkEnd w:id="34"/>
      <w:bookmarkEnd w:id="35"/>
    </w:p>
    <w:p>
      <w:pPr>
        <w:tabs>
          <w:tab w:val="left" w:pos="4160"/>
          <w:tab w:val="left" w:pos="7170"/>
        </w:tabs>
        <w:adjustRightInd w:val="0"/>
        <w:snapToGrid w:val="0"/>
        <w:spacing w:line="320" w:lineRule="exact"/>
        <w:ind w:left="-425" w:leftChars="-177"/>
        <w:rPr>
          <w:b/>
          <w:bCs/>
          <w:sz w:val="20"/>
          <w:szCs w:val="20"/>
        </w:rPr>
      </w:pPr>
      <w:r>
        <w:rPr>
          <w:rFonts w:hint="eastAsia"/>
          <w:sz w:val="20"/>
          <w:szCs w:val="20"/>
        </w:rPr>
        <w:t>编制单位：重庆市秀山土家族苗族自治县医疗保障局</w:t>
      </w:r>
      <w:r>
        <w:rPr>
          <w:b/>
          <w:bCs/>
          <w:sz w:val="20"/>
          <w:szCs w:val="20"/>
        </w:rPr>
        <w:tab/>
      </w:r>
      <w:r>
        <w:rPr>
          <w:sz w:val="20"/>
          <w:szCs w:val="20"/>
        </w:rPr>
        <w:t>2019</w:t>
      </w:r>
      <w:r>
        <w:rPr>
          <w:rFonts w:hint="eastAsia"/>
          <w:sz w:val="20"/>
          <w:szCs w:val="20"/>
        </w:rPr>
        <w:t>年12月31日</w:t>
      </w:r>
      <w:r>
        <w:rPr>
          <w:b/>
          <w:bCs/>
          <w:sz w:val="20"/>
          <w:szCs w:val="20"/>
        </w:rPr>
        <w:tab/>
      </w:r>
      <w:r>
        <w:rPr>
          <w:rFonts w:hint="eastAsia"/>
          <w:sz w:val="20"/>
          <w:szCs w:val="20"/>
        </w:rPr>
        <w:t>单位：万元</w:t>
      </w:r>
    </w:p>
    <w:tbl>
      <w:tblPr>
        <w:tblStyle w:val="41"/>
        <w:tblW w:w="8958" w:type="dxa"/>
        <w:jc w:val="center"/>
        <w:tblInd w:w="0" w:type="dxa"/>
        <w:tblLayout w:type="fixed"/>
        <w:tblCellMar>
          <w:top w:w="0" w:type="dxa"/>
          <w:left w:w="108" w:type="dxa"/>
          <w:bottom w:w="0" w:type="dxa"/>
          <w:right w:w="108" w:type="dxa"/>
        </w:tblCellMar>
      </w:tblPr>
      <w:tblGrid>
        <w:gridCol w:w="3890"/>
        <w:gridCol w:w="1276"/>
        <w:gridCol w:w="1733"/>
        <w:gridCol w:w="2059"/>
      </w:tblGrid>
      <w:tr>
        <w:tblPrEx>
          <w:tblLayout w:type="fixed"/>
          <w:tblCellMar>
            <w:top w:w="0" w:type="dxa"/>
            <w:left w:w="108" w:type="dxa"/>
            <w:bottom w:w="0" w:type="dxa"/>
            <w:right w:w="108" w:type="dxa"/>
          </w:tblCellMar>
        </w:tblPrEx>
        <w:trPr>
          <w:trHeight w:val="340" w:hRule="exact"/>
          <w:tblHeader/>
          <w:jc w:val="center"/>
        </w:trPr>
        <w:tc>
          <w:tcPr>
            <w:tcW w:w="3890" w:type="dxa"/>
            <w:tcBorders>
              <w:top w:val="single" w:color="auto" w:sz="4" w:space="0"/>
              <w:bottom w:val="single" w:color="auto" w:sz="4" w:space="0"/>
            </w:tcBorders>
            <w:shd w:val="clear" w:color="FFFFFF" w:fill="FFFFFF"/>
            <w:vAlign w:val="center"/>
          </w:tcPr>
          <w:p>
            <w:pPr>
              <w:adjustRightInd w:val="0"/>
              <w:snapToGrid w:val="0"/>
              <w:spacing w:line="320" w:lineRule="exact"/>
              <w:jc w:val="center"/>
              <w:rPr>
                <w:b/>
                <w:bCs/>
                <w:sz w:val="20"/>
                <w:szCs w:val="20"/>
              </w:rPr>
            </w:pPr>
            <w:r>
              <w:rPr>
                <w:rFonts w:hint="eastAsia"/>
                <w:b/>
                <w:bCs/>
                <w:sz w:val="20"/>
                <w:szCs w:val="20"/>
              </w:rPr>
              <w:t>项目</w:t>
            </w:r>
          </w:p>
        </w:tc>
        <w:tc>
          <w:tcPr>
            <w:tcW w:w="1276" w:type="dxa"/>
            <w:tcBorders>
              <w:top w:val="single" w:color="auto" w:sz="4" w:space="0"/>
              <w:bottom w:val="single" w:color="auto" w:sz="4" w:space="0"/>
            </w:tcBorders>
            <w:shd w:val="clear" w:color="FFFFFF" w:fill="FFFFFF"/>
            <w:vAlign w:val="center"/>
          </w:tcPr>
          <w:p>
            <w:pPr>
              <w:adjustRightInd w:val="0"/>
              <w:snapToGrid w:val="0"/>
              <w:spacing w:line="320" w:lineRule="exact"/>
              <w:jc w:val="center"/>
              <w:rPr>
                <w:b/>
                <w:bCs/>
                <w:sz w:val="20"/>
                <w:szCs w:val="20"/>
              </w:rPr>
            </w:pPr>
            <w:r>
              <w:rPr>
                <w:rFonts w:hint="eastAsia"/>
                <w:b/>
                <w:bCs/>
                <w:sz w:val="20"/>
                <w:szCs w:val="20"/>
              </w:rPr>
              <w:t>附注</w:t>
            </w:r>
          </w:p>
        </w:tc>
        <w:tc>
          <w:tcPr>
            <w:tcW w:w="1733" w:type="dxa"/>
            <w:tcBorders>
              <w:top w:val="single" w:color="auto" w:sz="4" w:space="0"/>
              <w:bottom w:val="single" w:color="auto" w:sz="4" w:space="0"/>
            </w:tcBorders>
            <w:shd w:val="clear" w:color="FFFFFF" w:fill="FFFFFF"/>
            <w:vAlign w:val="center"/>
          </w:tcPr>
          <w:p>
            <w:pPr>
              <w:adjustRightInd w:val="0"/>
              <w:snapToGrid w:val="0"/>
              <w:spacing w:line="320" w:lineRule="exact"/>
              <w:jc w:val="center"/>
              <w:rPr>
                <w:b/>
                <w:bCs/>
                <w:sz w:val="20"/>
                <w:szCs w:val="20"/>
              </w:rPr>
            </w:pPr>
            <w:r>
              <w:rPr>
                <w:rFonts w:hint="eastAsia"/>
                <w:b/>
                <w:bCs/>
                <w:sz w:val="20"/>
                <w:szCs w:val="20"/>
              </w:rPr>
              <w:t>年末数</w:t>
            </w:r>
          </w:p>
        </w:tc>
        <w:tc>
          <w:tcPr>
            <w:tcW w:w="2059" w:type="dxa"/>
            <w:tcBorders>
              <w:top w:val="single" w:color="auto" w:sz="4" w:space="0"/>
              <w:bottom w:val="single" w:color="auto" w:sz="4" w:space="0"/>
            </w:tcBorders>
            <w:shd w:val="clear" w:color="FFFFFF" w:fill="FFFFFF"/>
            <w:vAlign w:val="center"/>
          </w:tcPr>
          <w:p>
            <w:pPr>
              <w:adjustRightInd w:val="0"/>
              <w:snapToGrid w:val="0"/>
              <w:spacing w:line="320" w:lineRule="exact"/>
              <w:jc w:val="center"/>
              <w:rPr>
                <w:b/>
                <w:bCs/>
                <w:sz w:val="20"/>
                <w:szCs w:val="20"/>
              </w:rPr>
            </w:pPr>
            <w:r>
              <w:rPr>
                <w:rFonts w:hint="eastAsia"/>
                <w:b/>
                <w:bCs/>
                <w:sz w:val="20"/>
                <w:szCs w:val="20"/>
              </w:rPr>
              <w:t>年初数</w:t>
            </w:r>
          </w:p>
        </w:tc>
      </w:tr>
      <w:tr>
        <w:tblPrEx>
          <w:tblLayout w:type="fixed"/>
          <w:tblCellMar>
            <w:top w:w="0" w:type="dxa"/>
            <w:left w:w="108" w:type="dxa"/>
            <w:bottom w:w="0" w:type="dxa"/>
            <w:right w:w="108" w:type="dxa"/>
          </w:tblCellMar>
        </w:tblPrEx>
        <w:trPr>
          <w:trHeight w:val="20" w:hRule="exact"/>
          <w:tblHeader/>
          <w:jc w:val="center"/>
        </w:trPr>
        <w:tc>
          <w:tcPr>
            <w:tcW w:w="3890" w:type="dxa"/>
            <w:tcBorders>
              <w:top w:val="single" w:color="auto" w:sz="4" w:space="0"/>
            </w:tcBorders>
            <w:shd w:val="clear" w:color="FFFFFF" w:fill="FFFFFF"/>
            <w:vAlign w:val="center"/>
          </w:tcPr>
          <w:p>
            <w:pPr>
              <w:adjustRightInd w:val="0"/>
              <w:snapToGrid w:val="0"/>
              <w:spacing w:line="320" w:lineRule="exact"/>
              <w:jc w:val="center"/>
              <w:rPr>
                <w:b/>
                <w:bCs/>
                <w:sz w:val="20"/>
                <w:szCs w:val="20"/>
              </w:rPr>
            </w:pPr>
          </w:p>
        </w:tc>
        <w:tc>
          <w:tcPr>
            <w:tcW w:w="1276" w:type="dxa"/>
            <w:tcBorders>
              <w:top w:val="single" w:color="auto" w:sz="4" w:space="0"/>
            </w:tcBorders>
            <w:shd w:val="clear" w:color="FFFFFF" w:fill="FFFFFF"/>
            <w:vAlign w:val="center"/>
          </w:tcPr>
          <w:p>
            <w:pPr>
              <w:adjustRightInd w:val="0"/>
              <w:snapToGrid w:val="0"/>
              <w:spacing w:line="320" w:lineRule="exact"/>
              <w:jc w:val="center"/>
              <w:rPr>
                <w:b/>
                <w:bCs/>
                <w:sz w:val="20"/>
                <w:szCs w:val="20"/>
              </w:rPr>
            </w:pPr>
          </w:p>
        </w:tc>
        <w:tc>
          <w:tcPr>
            <w:tcW w:w="1733" w:type="dxa"/>
            <w:tcBorders>
              <w:top w:val="single" w:color="auto" w:sz="4" w:space="0"/>
            </w:tcBorders>
            <w:shd w:val="clear" w:color="FFFFFF" w:fill="FFFFFF"/>
            <w:vAlign w:val="center"/>
          </w:tcPr>
          <w:p>
            <w:pPr>
              <w:adjustRightInd w:val="0"/>
              <w:snapToGrid w:val="0"/>
              <w:spacing w:line="320" w:lineRule="exact"/>
              <w:jc w:val="center"/>
              <w:rPr>
                <w:b/>
                <w:bCs/>
                <w:sz w:val="20"/>
                <w:szCs w:val="20"/>
              </w:rPr>
            </w:pPr>
          </w:p>
        </w:tc>
        <w:tc>
          <w:tcPr>
            <w:tcW w:w="2059" w:type="dxa"/>
            <w:tcBorders>
              <w:top w:val="single" w:color="auto" w:sz="4" w:space="0"/>
            </w:tcBorders>
            <w:shd w:val="clear" w:color="FFFFFF" w:fill="FFFFFF"/>
            <w:vAlign w:val="center"/>
          </w:tcPr>
          <w:p>
            <w:pPr>
              <w:adjustRightInd w:val="0"/>
              <w:snapToGrid w:val="0"/>
              <w:spacing w:line="320" w:lineRule="exact"/>
              <w:jc w:val="center"/>
              <w:rPr>
                <w:b/>
                <w:bCs/>
                <w:sz w:val="20"/>
                <w:szCs w:val="20"/>
              </w:rPr>
            </w:pP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i w:val="0"/>
                <w:color w:val="000000"/>
                <w:position w:val="-1"/>
                <w:sz w:val="20"/>
                <w:u w:val="none"/>
              </w:rPr>
              <w:t>流动资产：</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p>
        </w:tc>
        <w:tc>
          <w:tcPr>
            <w:tcW w:w="2059" w:type="dxa"/>
            <w:shd w:val="clear" w:color="FFFFFF" w:fill="FFFFFF"/>
            <w:vAlign w:val="center"/>
          </w:tcPr>
          <w:p>
            <w:pPr>
              <w:pageBreakBefore w:val="0"/>
              <w:spacing w:line="320" w:lineRule="exact"/>
              <w:jc w:val="right"/>
              <w:textAlignment w:val="auto"/>
            </w:pP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货币资金</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附表1</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421.18</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短期投资</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财政应返还额度</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应收票据</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应收账款净额</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附表2</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预付账款</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附表3</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应收股利</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应收利息</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其他应收款净额</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附表4</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存货</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待摊费用</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一年内到期的非流动资产</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其他流动资产</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i w:val="0"/>
                <w:color w:val="000000"/>
                <w:position w:val="-1"/>
                <w:sz w:val="20"/>
                <w:u w:val="none"/>
              </w:rPr>
              <w:t>流动资产合计</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421.18</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非流动资产：</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p>
        </w:tc>
        <w:tc>
          <w:tcPr>
            <w:tcW w:w="2059" w:type="dxa"/>
            <w:shd w:val="clear" w:color="FFFFFF" w:fill="FFFFFF"/>
            <w:vAlign w:val="center"/>
          </w:tcPr>
          <w:p>
            <w:pPr>
              <w:pageBreakBefore w:val="0"/>
              <w:spacing w:line="320" w:lineRule="exact"/>
              <w:jc w:val="right"/>
              <w:textAlignment w:val="auto"/>
            </w:pP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长期股权投资</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附表5</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长期债券投资</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附表5</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固定资产原值</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12.53</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减：固定资产累计折旧</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1.00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固定资产净值</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附表6</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11.53</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工程物资</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在建工程</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附表7</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无形资产原值</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减：无形资产累计摊销</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无形资产净值</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附表8</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研发支出</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公共基础设施原值</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附表9</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减：公共基础设施累计折旧（摊销）</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附表9</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公共基础设施净值</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附表9</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政府储备物资</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附表10</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文物文化资产</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保障性住房原值</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减：保障性住房累计折旧</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保障性住房净值</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附表11</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长期待摊费用</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待处理财产损溢</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其他非流动资产</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i w:val="0"/>
                <w:color w:val="000000"/>
                <w:position w:val="-1"/>
                <w:sz w:val="20"/>
                <w:u w:val="none"/>
              </w:rPr>
              <w:t>非流动资产合计</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11.53</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455" w:hRule="atLeast"/>
          <w:jc w:val="center"/>
        </w:trPr>
        <w:tc>
          <w:tcPr>
            <w:tcW w:w="3890" w:type="dxa"/>
            <w:tcBorders>
              <w:bottom w:val="single" w:color="auto" w:sz="4" w:space="0"/>
            </w:tcBorders>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i w:val="0"/>
                <w:color w:val="000000"/>
                <w:position w:val="-1"/>
                <w:sz w:val="20"/>
                <w:u w:val="none"/>
              </w:rPr>
              <w:t>受托代理资产</w:t>
            </w:r>
          </w:p>
        </w:tc>
        <w:tc>
          <w:tcPr>
            <w:tcW w:w="1276" w:type="dxa"/>
            <w:tcBorders>
              <w:bottom w:val="single" w:color="auto" w:sz="4" w:space="0"/>
            </w:tcBorders>
            <w:shd w:val="clear" w:color="FFFFFF" w:fill="FFFFFF"/>
            <w:vAlign w:val="center"/>
          </w:tcPr>
          <w:p>
            <w:pPr>
              <w:pageBreakBefore w:val="0"/>
              <w:spacing w:line="320" w:lineRule="exact"/>
              <w:jc w:val="center"/>
              <w:textAlignment w:val="auto"/>
            </w:pPr>
          </w:p>
        </w:tc>
        <w:tc>
          <w:tcPr>
            <w:tcW w:w="1733" w:type="dxa"/>
            <w:tcBorders>
              <w:bottom w:val="single" w:color="auto" w:sz="4" w:space="0"/>
            </w:tcBorders>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tcBorders>
              <w:bottom w:val="single" w:color="auto" w:sz="4" w:space="0"/>
            </w:tcBorders>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455" w:hRule="atLeast"/>
          <w:jc w:val="center"/>
        </w:trPr>
        <w:tc>
          <w:tcPr>
            <w:tcW w:w="3890" w:type="dxa"/>
            <w:tcBorders>
              <w:bottom w:val="single" w:color="auto" w:sz="4" w:space="0"/>
            </w:tcBorders>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i w:val="0"/>
                <w:color w:val="000000"/>
                <w:position w:val="-1"/>
                <w:sz w:val="20"/>
                <w:u w:val="none"/>
              </w:rPr>
              <w:t>资产总计</w:t>
            </w:r>
          </w:p>
        </w:tc>
        <w:tc>
          <w:tcPr>
            <w:tcW w:w="1276" w:type="dxa"/>
            <w:tcBorders>
              <w:bottom w:val="single" w:color="auto" w:sz="4" w:space="0"/>
            </w:tcBorders>
            <w:shd w:val="clear" w:color="FFFFFF" w:fill="FFFFFF"/>
            <w:vAlign w:val="center"/>
          </w:tcPr>
          <w:p>
            <w:pPr>
              <w:pageBreakBefore w:val="0"/>
              <w:spacing w:line="320" w:lineRule="exact"/>
              <w:jc w:val="center"/>
              <w:textAlignment w:val="auto"/>
            </w:pPr>
          </w:p>
        </w:tc>
        <w:tc>
          <w:tcPr>
            <w:tcW w:w="1733" w:type="dxa"/>
            <w:tcBorders>
              <w:bottom w:val="single" w:color="auto" w:sz="4" w:space="0"/>
            </w:tcBorders>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432.71</w:t>
            </w:r>
          </w:p>
        </w:tc>
        <w:tc>
          <w:tcPr>
            <w:tcW w:w="2059" w:type="dxa"/>
            <w:tcBorders>
              <w:bottom w:val="single" w:color="auto" w:sz="4" w:space="0"/>
            </w:tcBorders>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流动负债：</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p>
        </w:tc>
        <w:tc>
          <w:tcPr>
            <w:tcW w:w="2059" w:type="dxa"/>
            <w:shd w:val="clear" w:color="FFFFFF" w:fill="FFFFFF"/>
            <w:vAlign w:val="center"/>
          </w:tcPr>
          <w:p>
            <w:pPr>
              <w:pageBreakBefore w:val="0"/>
              <w:spacing w:line="320" w:lineRule="exact"/>
              <w:jc w:val="right"/>
              <w:textAlignment w:val="auto"/>
            </w:pP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短期借款</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应交增值税</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其他应交税费</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应缴财政款</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应付职工薪酬</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应付票据</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应付账款</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附表12</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应付政府补贴款</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应付利息</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预收账款</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附表13</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其他应付款</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附表14</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预提费用</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一年内到期的非流动负债</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其他流动负债</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i w:val="0"/>
                <w:color w:val="000000"/>
                <w:position w:val="-1"/>
                <w:sz w:val="20"/>
                <w:u w:val="none"/>
              </w:rPr>
              <w:t>流动负债合计</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非流动负债：</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p>
        </w:tc>
        <w:tc>
          <w:tcPr>
            <w:tcW w:w="2059" w:type="dxa"/>
            <w:shd w:val="clear" w:color="FFFFFF" w:fill="FFFFFF"/>
            <w:vAlign w:val="center"/>
          </w:tcPr>
          <w:p>
            <w:pPr>
              <w:pageBreakBefore w:val="0"/>
              <w:spacing w:line="320" w:lineRule="exact"/>
              <w:jc w:val="right"/>
              <w:textAlignment w:val="auto"/>
            </w:pP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长期借款</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附表15</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长期应付款</w:t>
            </w:r>
          </w:p>
        </w:tc>
        <w:tc>
          <w:tcPr>
            <w:tcW w:w="1276"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val="0"/>
                <w:i w:val="0"/>
                <w:color w:val="000000"/>
                <w:position w:val="-1"/>
                <w:sz w:val="20"/>
                <w:u w:val="none"/>
              </w:rPr>
              <w:t xml:space="preserve">  附表16</w:t>
            </w: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预计负债</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其他非流动负债</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center"/>
              <w:textAlignment w:val="auto"/>
            </w:pPr>
            <w:r>
              <w:rPr>
                <w:rFonts w:ascii="Times New Roman" w:hAnsi="Times New Roman" w:eastAsia="Times New Roman" w:cs="Times New Roman"/>
                <w:b/>
                <w:i w:val="0"/>
                <w:color w:val="000000"/>
                <w:position w:val="-1"/>
                <w:sz w:val="20"/>
                <w:u w:val="none"/>
              </w:rPr>
              <w:t>非流动负债合计</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455" w:hRule="atLeast"/>
          <w:jc w:val="center"/>
        </w:trPr>
        <w:tc>
          <w:tcPr>
            <w:tcW w:w="3890" w:type="dxa"/>
            <w:tcBorders>
              <w:bottom w:val="single" w:color="auto" w:sz="4" w:space="0"/>
            </w:tcBorders>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i w:val="0"/>
                <w:color w:val="000000"/>
                <w:position w:val="-1"/>
                <w:sz w:val="20"/>
                <w:u w:val="none"/>
              </w:rPr>
              <w:t>受托代理负债</w:t>
            </w:r>
          </w:p>
        </w:tc>
        <w:tc>
          <w:tcPr>
            <w:tcW w:w="1276" w:type="dxa"/>
            <w:tcBorders>
              <w:bottom w:val="single" w:color="auto" w:sz="4" w:space="0"/>
            </w:tcBorders>
            <w:shd w:val="clear" w:color="FFFFFF" w:fill="FFFFFF"/>
            <w:vAlign w:val="center"/>
          </w:tcPr>
          <w:p>
            <w:pPr>
              <w:pageBreakBefore w:val="0"/>
              <w:spacing w:line="320" w:lineRule="exact"/>
              <w:jc w:val="center"/>
              <w:textAlignment w:val="auto"/>
            </w:pPr>
          </w:p>
        </w:tc>
        <w:tc>
          <w:tcPr>
            <w:tcW w:w="1733" w:type="dxa"/>
            <w:tcBorders>
              <w:bottom w:val="single" w:color="auto" w:sz="4" w:space="0"/>
            </w:tcBorders>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tcBorders>
              <w:bottom w:val="single" w:color="auto" w:sz="4" w:space="0"/>
            </w:tcBorders>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455" w:hRule="atLeast"/>
          <w:jc w:val="center"/>
        </w:trPr>
        <w:tc>
          <w:tcPr>
            <w:tcW w:w="3890" w:type="dxa"/>
            <w:tcBorders>
              <w:bottom w:val="single" w:color="auto" w:sz="4" w:space="0"/>
            </w:tcBorders>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i w:val="0"/>
                <w:color w:val="000000"/>
                <w:position w:val="-1"/>
                <w:sz w:val="20"/>
                <w:u w:val="none"/>
              </w:rPr>
              <w:t>负债合计</w:t>
            </w:r>
          </w:p>
        </w:tc>
        <w:tc>
          <w:tcPr>
            <w:tcW w:w="1276" w:type="dxa"/>
            <w:tcBorders>
              <w:bottom w:val="single" w:color="auto" w:sz="4" w:space="0"/>
            </w:tcBorders>
            <w:shd w:val="clear" w:color="FFFFFF" w:fill="FFFFFF"/>
            <w:vAlign w:val="center"/>
          </w:tcPr>
          <w:p>
            <w:pPr>
              <w:pageBreakBefore w:val="0"/>
              <w:spacing w:line="320" w:lineRule="exact"/>
              <w:jc w:val="center"/>
              <w:textAlignment w:val="auto"/>
            </w:pPr>
          </w:p>
        </w:tc>
        <w:tc>
          <w:tcPr>
            <w:tcW w:w="1733" w:type="dxa"/>
            <w:tcBorders>
              <w:bottom w:val="single" w:color="auto" w:sz="4" w:space="0"/>
            </w:tcBorders>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tcBorders>
              <w:bottom w:val="single" w:color="auto" w:sz="4" w:space="0"/>
            </w:tcBorders>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净资产:</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p>
        </w:tc>
        <w:tc>
          <w:tcPr>
            <w:tcW w:w="2059" w:type="dxa"/>
            <w:shd w:val="clear" w:color="FFFFFF" w:fill="FFFFFF"/>
            <w:vAlign w:val="center"/>
          </w:tcPr>
          <w:p>
            <w:pPr>
              <w:pageBreakBefore w:val="0"/>
              <w:spacing w:line="320" w:lineRule="exact"/>
              <w:jc w:val="right"/>
              <w:textAlignment w:val="auto"/>
            </w:pP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累计盈余</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432.71</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专用基金</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40" w:hRule="atLeast"/>
          <w:jc w:val="center"/>
        </w:trPr>
        <w:tc>
          <w:tcPr>
            <w:tcW w:w="3890" w:type="dxa"/>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val="0"/>
                <w:i w:val="0"/>
                <w:color w:val="000000"/>
                <w:position w:val="-1"/>
                <w:sz w:val="20"/>
                <w:u w:val="none"/>
              </w:rPr>
              <w:t xml:space="preserve">  权益法调整</w:t>
            </w:r>
          </w:p>
        </w:tc>
        <w:tc>
          <w:tcPr>
            <w:tcW w:w="1276" w:type="dxa"/>
            <w:shd w:val="clear" w:color="FFFFFF" w:fill="FFFFFF"/>
            <w:vAlign w:val="center"/>
          </w:tcPr>
          <w:p>
            <w:pPr>
              <w:pageBreakBefore w:val="0"/>
              <w:spacing w:line="320" w:lineRule="exact"/>
              <w:jc w:val="center"/>
              <w:textAlignment w:val="auto"/>
            </w:pPr>
          </w:p>
        </w:tc>
        <w:tc>
          <w:tcPr>
            <w:tcW w:w="1733"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c>
          <w:tcPr>
            <w:tcW w:w="2059" w:type="dxa"/>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455" w:hRule="atLeast"/>
          <w:jc w:val="center"/>
        </w:trPr>
        <w:tc>
          <w:tcPr>
            <w:tcW w:w="3890" w:type="dxa"/>
            <w:tcBorders>
              <w:bottom w:val="single" w:color="auto" w:sz="4" w:space="0"/>
            </w:tcBorders>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i w:val="0"/>
                <w:color w:val="000000"/>
                <w:position w:val="-1"/>
                <w:sz w:val="20"/>
                <w:u w:val="none"/>
              </w:rPr>
              <w:t>净资产</w:t>
            </w:r>
          </w:p>
        </w:tc>
        <w:tc>
          <w:tcPr>
            <w:tcW w:w="1276" w:type="dxa"/>
            <w:tcBorders>
              <w:bottom w:val="single" w:color="auto" w:sz="4" w:space="0"/>
            </w:tcBorders>
            <w:shd w:val="clear" w:color="FFFFFF" w:fill="FFFFFF"/>
            <w:vAlign w:val="center"/>
          </w:tcPr>
          <w:p>
            <w:pPr>
              <w:pageBreakBefore w:val="0"/>
              <w:spacing w:line="320" w:lineRule="exact"/>
              <w:jc w:val="center"/>
              <w:textAlignment w:val="auto"/>
            </w:pPr>
          </w:p>
        </w:tc>
        <w:tc>
          <w:tcPr>
            <w:tcW w:w="1733" w:type="dxa"/>
            <w:tcBorders>
              <w:bottom w:val="single" w:color="auto" w:sz="4" w:space="0"/>
            </w:tcBorders>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432.71</w:t>
            </w:r>
          </w:p>
        </w:tc>
        <w:tc>
          <w:tcPr>
            <w:tcW w:w="2059" w:type="dxa"/>
            <w:tcBorders>
              <w:bottom w:val="single" w:color="auto" w:sz="4" w:space="0"/>
            </w:tcBorders>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455" w:hRule="atLeast"/>
          <w:jc w:val="center"/>
        </w:trPr>
        <w:tc>
          <w:tcPr>
            <w:tcW w:w="3890" w:type="dxa"/>
            <w:tcBorders>
              <w:bottom w:val="single" w:color="auto" w:sz="4" w:space="0"/>
            </w:tcBorders>
            <w:shd w:val="clear" w:color="FFFFFF" w:fill="FFFFFF"/>
            <w:vAlign w:val="center"/>
          </w:tcPr>
          <w:p>
            <w:pPr>
              <w:pageBreakBefore w:val="0"/>
              <w:spacing w:line="320" w:lineRule="exact"/>
              <w:jc w:val="left"/>
              <w:textAlignment w:val="auto"/>
            </w:pPr>
            <w:r>
              <w:rPr>
                <w:rFonts w:ascii="Times New Roman" w:hAnsi="Times New Roman" w:eastAsia="Times New Roman" w:cs="Times New Roman"/>
                <w:b/>
                <w:i w:val="0"/>
                <w:color w:val="000000"/>
                <w:position w:val="-1"/>
                <w:sz w:val="20"/>
                <w:u w:val="none"/>
              </w:rPr>
              <w:t>负债及净资产总计</w:t>
            </w:r>
          </w:p>
        </w:tc>
        <w:tc>
          <w:tcPr>
            <w:tcW w:w="1276" w:type="dxa"/>
            <w:tcBorders>
              <w:bottom w:val="single" w:color="auto" w:sz="4" w:space="0"/>
            </w:tcBorders>
            <w:shd w:val="clear" w:color="FFFFFF" w:fill="FFFFFF"/>
            <w:vAlign w:val="center"/>
          </w:tcPr>
          <w:p>
            <w:pPr>
              <w:pageBreakBefore w:val="0"/>
              <w:spacing w:line="320" w:lineRule="exact"/>
              <w:jc w:val="center"/>
              <w:textAlignment w:val="auto"/>
            </w:pPr>
          </w:p>
        </w:tc>
        <w:tc>
          <w:tcPr>
            <w:tcW w:w="1733" w:type="dxa"/>
            <w:tcBorders>
              <w:bottom w:val="single" w:color="auto" w:sz="4" w:space="0"/>
            </w:tcBorders>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432.71</w:t>
            </w:r>
          </w:p>
        </w:tc>
        <w:tc>
          <w:tcPr>
            <w:tcW w:w="2059" w:type="dxa"/>
            <w:tcBorders>
              <w:bottom w:val="single" w:color="auto" w:sz="4" w:space="0"/>
            </w:tcBorders>
            <w:shd w:val="clear" w:color="FFFFFF" w:fill="FFFFFF"/>
            <w:vAlign w:val="center"/>
          </w:tcPr>
          <w:p>
            <w:pPr>
              <w:pageBreakBefore w:val="0"/>
              <w:spacing w:line="320" w:lineRule="exact"/>
              <w:jc w:val="right"/>
              <w:textAlignment w:val="auto"/>
            </w:pPr>
            <w:r>
              <w:rPr>
                <w:rFonts w:ascii="Times New Roman" w:hAnsi="Times New Roman" w:eastAsia="Times New Roman" w:cs="Times New Roman"/>
                <w:b w:val="0"/>
                <w:i w:val="0"/>
                <w:color w:val="000000"/>
                <w:position w:val="-1"/>
                <w:sz w:val="20"/>
                <w:u w:val="none"/>
              </w:rPr>
              <w:t>0.00</w:t>
            </w:r>
          </w:p>
        </w:tc>
      </w:tr>
    </w:tbl>
    <w:p>
      <w:pPr>
        <w:pStyle w:val="110"/>
        <w:ind w:firstLine="0" w:firstLineChars="0"/>
        <w:rPr>
          <w:rFonts w:asciiTheme="minorEastAsia" w:hAnsiTheme="minorEastAsia" w:eastAsiaTheme="minorEastAsia"/>
          <w:sz w:val="22"/>
        </w:rPr>
      </w:pPr>
      <w:bookmarkStart w:id="36" w:name="_Toc435362065"/>
      <w:bookmarkStart w:id="37" w:name="_Toc435361947"/>
      <w:bookmarkStart w:id="38" w:name="_Toc435362292"/>
      <w:bookmarkStart w:id="39" w:name="_Toc435362490"/>
    </w:p>
    <w:p>
      <w:r>
        <w:rPr>
          <w:rFonts w:hint="eastAsia"/>
        </w:rPr>
        <w:t>表</w:t>
      </w:r>
      <w:r>
        <w:t>2</w:t>
      </w:r>
      <w:bookmarkEnd w:id="36"/>
      <w:bookmarkEnd w:id="37"/>
      <w:bookmarkEnd w:id="38"/>
      <w:bookmarkEnd w:id="39"/>
      <w:r>
        <w:rPr>
          <w:rFonts w:hint="eastAsia"/>
        </w:rPr>
        <w:t>-1</w:t>
      </w:r>
    </w:p>
    <w:p>
      <w:pPr>
        <w:spacing w:before="2" w:line="360" w:lineRule="auto"/>
        <w:ind w:firstLine="562" w:firstLineChars="200"/>
        <w:jc w:val="center"/>
        <w:outlineLvl w:val="2"/>
        <w:rPr>
          <w:rFonts w:cs="Times New Roman" w:asciiTheme="majorEastAsia" w:hAnsiTheme="majorEastAsia" w:eastAsiaTheme="majorEastAsia"/>
          <w:b/>
          <w:bCs/>
          <w:kern w:val="2"/>
          <w:sz w:val="28"/>
          <w:szCs w:val="28"/>
        </w:rPr>
      </w:pPr>
      <w:bookmarkStart w:id="40" w:name="_Toc35452578"/>
      <w:bookmarkStart w:id="41" w:name="_Toc35500804"/>
      <w:r>
        <w:rPr>
          <w:rFonts w:hint="eastAsia" w:cs="Times New Roman" w:asciiTheme="majorEastAsia" w:hAnsiTheme="majorEastAsia" w:eastAsiaTheme="majorEastAsia"/>
          <w:b/>
          <w:bCs/>
          <w:kern w:val="2"/>
          <w:sz w:val="28"/>
          <w:szCs w:val="28"/>
        </w:rPr>
        <w:t>收入费用表</w:t>
      </w:r>
      <w:r>
        <w:rPr>
          <w:rFonts w:cs="Times New Roman" w:asciiTheme="majorEastAsia" w:hAnsiTheme="majorEastAsia" w:eastAsiaTheme="majorEastAsia"/>
          <w:b/>
          <w:bCs/>
          <w:kern w:val="2"/>
          <w:sz w:val="28"/>
          <w:szCs w:val="28"/>
        </w:rPr>
        <w:t>（1）</w:t>
      </w:r>
      <w:bookmarkEnd w:id="40"/>
      <w:bookmarkEnd w:id="41"/>
    </w:p>
    <w:p>
      <w:pPr>
        <w:tabs>
          <w:tab w:val="left" w:pos="4962"/>
          <w:tab w:val="left" w:pos="7150"/>
        </w:tabs>
        <w:adjustRightInd w:val="0"/>
        <w:snapToGrid w:val="0"/>
        <w:spacing w:line="320" w:lineRule="exact"/>
        <w:ind w:left="-425" w:leftChars="-177"/>
        <w:rPr>
          <w:b/>
          <w:bCs/>
          <w:sz w:val="20"/>
          <w:szCs w:val="20"/>
        </w:rPr>
      </w:pPr>
      <w:r>
        <w:rPr>
          <w:rFonts w:hint="eastAsia"/>
          <w:sz w:val="20"/>
          <w:szCs w:val="20"/>
        </w:rPr>
        <w:t>编制单位：重庆市秀山土家族苗族自治县医疗保障局</w:t>
      </w:r>
      <w:r>
        <w:rPr>
          <w:b/>
          <w:bCs/>
          <w:sz w:val="20"/>
          <w:szCs w:val="20"/>
        </w:rPr>
        <w:tab/>
      </w:r>
      <w:r>
        <w:rPr>
          <w:rFonts w:hint="eastAsia"/>
          <w:sz w:val="20"/>
          <w:szCs w:val="20"/>
        </w:rPr>
        <w:t>2019  年</w:t>
      </w:r>
      <w:r>
        <w:rPr>
          <w:b/>
          <w:bCs/>
          <w:sz w:val="20"/>
          <w:szCs w:val="20"/>
        </w:rPr>
        <w:tab/>
      </w:r>
      <w:r>
        <w:rPr>
          <w:rFonts w:hint="eastAsia"/>
          <w:sz w:val="20"/>
          <w:szCs w:val="20"/>
        </w:rPr>
        <w:t>单位：万元</w:t>
      </w:r>
    </w:p>
    <w:tbl>
      <w:tblPr>
        <w:tblStyle w:val="41"/>
        <w:tblW w:w="9073" w:type="dxa"/>
        <w:tblInd w:w="-318" w:type="dxa"/>
        <w:tblLayout w:type="fixed"/>
        <w:tblCellMar>
          <w:top w:w="0" w:type="dxa"/>
          <w:left w:w="108" w:type="dxa"/>
          <w:bottom w:w="0" w:type="dxa"/>
          <w:right w:w="108" w:type="dxa"/>
        </w:tblCellMar>
      </w:tblPr>
      <w:tblGrid>
        <w:gridCol w:w="3687"/>
        <w:gridCol w:w="1417"/>
        <w:gridCol w:w="1985"/>
        <w:gridCol w:w="1984"/>
      </w:tblGrid>
      <w:tr>
        <w:tblPrEx>
          <w:tblLayout w:type="fixed"/>
          <w:tblCellMar>
            <w:top w:w="0" w:type="dxa"/>
            <w:left w:w="108" w:type="dxa"/>
            <w:bottom w:w="0" w:type="dxa"/>
            <w:right w:w="108" w:type="dxa"/>
          </w:tblCellMar>
        </w:tblPrEx>
        <w:trPr>
          <w:trHeight w:val="397" w:hRule="atLeast"/>
          <w:tblHeader/>
        </w:trPr>
        <w:tc>
          <w:tcPr>
            <w:tcW w:w="3687" w:type="dxa"/>
            <w:tcBorders>
              <w:top w:val="single" w:color="auto" w:sz="4" w:space="0"/>
              <w:bottom w:val="single" w:color="auto" w:sz="4" w:space="0"/>
            </w:tcBorders>
            <w:shd w:val="clear" w:color="FFFFFF" w:fill="FFFFFF"/>
            <w:vAlign w:val="center"/>
          </w:tcPr>
          <w:p>
            <w:pPr>
              <w:jc w:val="center"/>
              <w:rPr>
                <w:b/>
                <w:bCs/>
                <w:sz w:val="20"/>
                <w:szCs w:val="20"/>
              </w:rPr>
            </w:pPr>
            <w:r>
              <w:rPr>
                <w:rFonts w:hint="eastAsia"/>
                <w:b/>
                <w:bCs/>
                <w:sz w:val="20"/>
                <w:szCs w:val="20"/>
              </w:rPr>
              <w:t>项目</w:t>
            </w:r>
          </w:p>
        </w:tc>
        <w:tc>
          <w:tcPr>
            <w:tcW w:w="1417" w:type="dxa"/>
            <w:tcBorders>
              <w:top w:val="single" w:color="auto" w:sz="4" w:space="0"/>
              <w:bottom w:val="single" w:color="auto" w:sz="4" w:space="0"/>
            </w:tcBorders>
            <w:shd w:val="clear" w:color="FFFFFF" w:fill="FFFFFF"/>
            <w:vAlign w:val="center"/>
          </w:tcPr>
          <w:p>
            <w:pPr>
              <w:jc w:val="center"/>
              <w:rPr>
                <w:b/>
                <w:bCs/>
                <w:sz w:val="20"/>
                <w:szCs w:val="20"/>
              </w:rPr>
            </w:pPr>
            <w:r>
              <w:rPr>
                <w:rFonts w:hint="eastAsia"/>
                <w:b/>
                <w:bCs/>
                <w:sz w:val="20"/>
                <w:szCs w:val="20"/>
              </w:rPr>
              <w:t>附注</w:t>
            </w:r>
          </w:p>
        </w:tc>
        <w:tc>
          <w:tcPr>
            <w:tcW w:w="1985" w:type="dxa"/>
            <w:tcBorders>
              <w:top w:val="single" w:color="auto" w:sz="4" w:space="0"/>
              <w:bottom w:val="single" w:color="auto" w:sz="4" w:space="0"/>
            </w:tcBorders>
            <w:shd w:val="clear" w:color="FFFFFF" w:fill="FFFFFF"/>
            <w:vAlign w:val="center"/>
          </w:tcPr>
          <w:p>
            <w:pPr>
              <w:jc w:val="center"/>
              <w:rPr>
                <w:b/>
                <w:bCs/>
                <w:sz w:val="20"/>
                <w:szCs w:val="20"/>
              </w:rPr>
            </w:pPr>
            <w:r>
              <w:rPr>
                <w:rFonts w:hint="eastAsia"/>
                <w:b/>
                <w:bCs/>
                <w:sz w:val="20"/>
                <w:szCs w:val="20"/>
              </w:rPr>
              <w:t>本年数</w:t>
            </w:r>
          </w:p>
        </w:tc>
        <w:tc>
          <w:tcPr>
            <w:tcW w:w="1984" w:type="dxa"/>
            <w:tcBorders>
              <w:top w:val="single" w:color="auto" w:sz="4" w:space="0"/>
              <w:bottom w:val="single" w:color="auto" w:sz="4" w:space="0"/>
            </w:tcBorders>
            <w:shd w:val="clear" w:color="FFFFFF" w:fill="FFFFFF"/>
            <w:vAlign w:val="center"/>
          </w:tcPr>
          <w:p>
            <w:pPr>
              <w:jc w:val="center"/>
              <w:rPr>
                <w:b/>
                <w:bCs/>
                <w:sz w:val="20"/>
                <w:szCs w:val="20"/>
              </w:rPr>
            </w:pPr>
            <w:r>
              <w:rPr>
                <w:rFonts w:hint="eastAsia"/>
                <w:b/>
                <w:bCs/>
                <w:sz w:val="20"/>
                <w:szCs w:val="20"/>
              </w:rPr>
              <w:t>上年数</w:t>
            </w:r>
          </w:p>
        </w:tc>
      </w:tr>
      <w:tr>
        <w:tblPrEx>
          <w:tblLayout w:type="fixed"/>
          <w:tblCellMar>
            <w:top w:w="0" w:type="dxa"/>
            <w:left w:w="108" w:type="dxa"/>
            <w:bottom w:w="0" w:type="dxa"/>
            <w:right w:w="108" w:type="dxa"/>
          </w:tblCellMar>
        </w:tblPrEx>
        <w:trPr>
          <w:trHeight w:val="20" w:hRule="exact"/>
          <w:tblHeader/>
        </w:trPr>
        <w:tc>
          <w:tcPr>
            <w:tcW w:w="3687" w:type="dxa"/>
            <w:tcBorders>
              <w:top w:val="single" w:color="auto" w:sz="4" w:space="0"/>
            </w:tcBorders>
            <w:shd w:val="clear" w:color="FFFFFF" w:fill="FFFFFF"/>
            <w:vAlign w:val="center"/>
          </w:tcPr>
          <w:p>
            <w:pPr>
              <w:jc w:val="center"/>
              <w:rPr>
                <w:b/>
                <w:bCs/>
                <w:sz w:val="20"/>
                <w:szCs w:val="20"/>
              </w:rPr>
            </w:pPr>
          </w:p>
        </w:tc>
        <w:tc>
          <w:tcPr>
            <w:tcW w:w="1417" w:type="dxa"/>
            <w:tcBorders>
              <w:top w:val="single" w:color="auto" w:sz="4" w:space="0"/>
            </w:tcBorders>
            <w:shd w:val="clear" w:color="FFFFFF" w:fill="FFFFFF"/>
            <w:vAlign w:val="center"/>
          </w:tcPr>
          <w:p>
            <w:pPr>
              <w:jc w:val="center"/>
              <w:rPr>
                <w:b/>
                <w:bCs/>
                <w:sz w:val="20"/>
                <w:szCs w:val="20"/>
              </w:rPr>
            </w:pPr>
          </w:p>
        </w:tc>
        <w:tc>
          <w:tcPr>
            <w:tcW w:w="1985" w:type="dxa"/>
            <w:tcBorders>
              <w:top w:val="single" w:color="auto" w:sz="4" w:space="0"/>
            </w:tcBorders>
            <w:shd w:val="clear" w:color="FFFFFF" w:fill="FFFFFF"/>
            <w:vAlign w:val="center"/>
          </w:tcPr>
          <w:p>
            <w:pPr>
              <w:jc w:val="center"/>
              <w:rPr>
                <w:b/>
                <w:bCs/>
                <w:sz w:val="20"/>
                <w:szCs w:val="20"/>
              </w:rPr>
            </w:pPr>
          </w:p>
        </w:tc>
        <w:tc>
          <w:tcPr>
            <w:tcW w:w="1984" w:type="dxa"/>
            <w:tcBorders>
              <w:top w:val="single" w:color="auto" w:sz="4" w:space="0"/>
            </w:tcBorders>
            <w:shd w:val="clear" w:color="FFFFFF" w:fill="FFFFFF"/>
            <w:vAlign w:val="center"/>
          </w:tcPr>
          <w:p>
            <w:pPr>
              <w:jc w:val="center"/>
              <w:rPr>
                <w:b/>
                <w:bCs/>
                <w:sz w:val="20"/>
                <w:szCs w:val="20"/>
              </w:rPr>
            </w:pP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财政拨款收入</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2,456.15</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事业收入</w:t>
            </w:r>
          </w:p>
        </w:tc>
        <w:tc>
          <w:tcPr>
            <w:tcW w:w="1417" w:type="dxa"/>
            <w:shd w:val="clear" w:color="FFFFFF" w:fill="FFFFFF"/>
            <w:vAlign w:val="center"/>
          </w:tcPr>
          <w:p>
            <w:pPr>
              <w:pageBreakBefore w:val="0"/>
              <w:jc w:val="center"/>
              <w:textAlignment w:val="auto"/>
            </w:pPr>
            <w:r>
              <w:rPr>
                <w:rFonts w:ascii="Times New Roman" w:hAnsi="Times New Roman" w:eastAsia="Times New Roman" w:cs="Times New Roman"/>
                <w:b w:val="0"/>
                <w:i w:val="0"/>
                <w:color w:val="000000"/>
                <w:position w:val="-1"/>
                <w:sz w:val="20"/>
                <w:u w:val="none"/>
              </w:rPr>
              <w:t xml:space="preserve">  附表17</w:t>
            </w: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上级补助收入</w:t>
            </w:r>
          </w:p>
        </w:tc>
        <w:tc>
          <w:tcPr>
            <w:tcW w:w="1417" w:type="dxa"/>
            <w:shd w:val="clear" w:color="FFFFFF" w:fill="FFFFFF"/>
            <w:vAlign w:val="center"/>
          </w:tcPr>
          <w:p>
            <w:pPr>
              <w:pageBreakBefore w:val="0"/>
              <w:jc w:val="center"/>
              <w:textAlignment w:val="auto"/>
            </w:pPr>
            <w:r>
              <w:rPr>
                <w:rFonts w:ascii="Times New Roman" w:hAnsi="Times New Roman" w:eastAsia="Times New Roman" w:cs="Times New Roman"/>
                <w:b w:val="0"/>
                <w:i w:val="0"/>
                <w:color w:val="000000"/>
                <w:position w:val="-1"/>
                <w:sz w:val="20"/>
                <w:u w:val="none"/>
              </w:rPr>
              <w:t xml:space="preserve">  附表25</w:t>
            </w: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附属单位上缴收入</w:t>
            </w:r>
          </w:p>
        </w:tc>
        <w:tc>
          <w:tcPr>
            <w:tcW w:w="1417" w:type="dxa"/>
            <w:shd w:val="clear" w:color="FFFFFF" w:fill="FFFFFF"/>
            <w:vAlign w:val="center"/>
          </w:tcPr>
          <w:p>
            <w:pPr>
              <w:pageBreakBefore w:val="0"/>
              <w:jc w:val="center"/>
              <w:textAlignment w:val="auto"/>
            </w:pPr>
            <w:r>
              <w:rPr>
                <w:rFonts w:ascii="Times New Roman" w:hAnsi="Times New Roman" w:eastAsia="Times New Roman" w:cs="Times New Roman"/>
                <w:b w:val="0"/>
                <w:i w:val="0"/>
                <w:color w:val="000000"/>
                <w:position w:val="-1"/>
                <w:sz w:val="20"/>
                <w:u w:val="none"/>
              </w:rPr>
              <w:t xml:space="preserve">  附表27</w:t>
            </w: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经营收入</w:t>
            </w:r>
          </w:p>
        </w:tc>
        <w:tc>
          <w:tcPr>
            <w:tcW w:w="1417" w:type="dxa"/>
            <w:shd w:val="clear" w:color="FFFFFF" w:fill="FFFFFF"/>
            <w:vAlign w:val="center"/>
          </w:tcPr>
          <w:p>
            <w:pPr>
              <w:pageBreakBefore w:val="0"/>
              <w:jc w:val="center"/>
              <w:textAlignment w:val="auto"/>
            </w:pPr>
            <w:r>
              <w:rPr>
                <w:rFonts w:ascii="Times New Roman" w:hAnsi="Times New Roman" w:eastAsia="Times New Roman" w:cs="Times New Roman"/>
                <w:b w:val="0"/>
                <w:i w:val="0"/>
                <w:color w:val="000000"/>
                <w:position w:val="-1"/>
                <w:sz w:val="20"/>
                <w:u w:val="none"/>
              </w:rPr>
              <w:t xml:space="preserve">  附表18</w:t>
            </w: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非同级财政拨款收入</w:t>
            </w:r>
          </w:p>
        </w:tc>
        <w:tc>
          <w:tcPr>
            <w:tcW w:w="1417" w:type="dxa"/>
            <w:shd w:val="clear" w:color="FFFFFF" w:fill="FFFFFF"/>
            <w:vAlign w:val="center"/>
          </w:tcPr>
          <w:p>
            <w:pPr>
              <w:pageBreakBefore w:val="0"/>
              <w:jc w:val="center"/>
              <w:textAlignment w:val="auto"/>
            </w:pPr>
            <w:r>
              <w:rPr>
                <w:rFonts w:ascii="Times New Roman" w:hAnsi="Times New Roman" w:eastAsia="Times New Roman" w:cs="Times New Roman"/>
                <w:b w:val="0"/>
                <w:i w:val="0"/>
                <w:color w:val="000000"/>
                <w:position w:val="-1"/>
                <w:sz w:val="20"/>
                <w:u w:val="none"/>
              </w:rPr>
              <w:t xml:space="preserve">  附表19</w:t>
            </w: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投资收益</w:t>
            </w:r>
          </w:p>
        </w:tc>
        <w:tc>
          <w:tcPr>
            <w:tcW w:w="1417" w:type="dxa"/>
            <w:shd w:val="clear" w:color="FFFFFF" w:fill="FFFFFF"/>
            <w:vAlign w:val="center"/>
          </w:tcPr>
          <w:p>
            <w:pPr>
              <w:pageBreakBefore w:val="0"/>
              <w:jc w:val="center"/>
              <w:textAlignment w:val="auto"/>
            </w:pPr>
            <w:r>
              <w:rPr>
                <w:rFonts w:ascii="Times New Roman" w:hAnsi="Times New Roman" w:eastAsia="Times New Roman" w:cs="Times New Roman"/>
                <w:b w:val="0"/>
                <w:i w:val="0"/>
                <w:color w:val="000000"/>
                <w:position w:val="-1"/>
                <w:sz w:val="20"/>
                <w:u w:val="none"/>
              </w:rPr>
              <w:t xml:space="preserve">  附表5</w:t>
            </w: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捐赠收入</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利息收入</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租金收入</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其他收入</w:t>
            </w:r>
          </w:p>
        </w:tc>
        <w:tc>
          <w:tcPr>
            <w:tcW w:w="1417" w:type="dxa"/>
            <w:shd w:val="clear" w:color="FFFFFF" w:fill="FFFFFF"/>
            <w:vAlign w:val="center"/>
          </w:tcPr>
          <w:p>
            <w:pPr>
              <w:pageBreakBefore w:val="0"/>
              <w:jc w:val="center"/>
              <w:textAlignment w:val="auto"/>
            </w:pPr>
            <w:r>
              <w:rPr>
                <w:rFonts w:ascii="Times New Roman" w:hAnsi="Times New Roman" w:eastAsia="Times New Roman" w:cs="Times New Roman"/>
                <w:b w:val="0"/>
                <w:i w:val="0"/>
                <w:color w:val="000000"/>
                <w:position w:val="-1"/>
                <w:sz w:val="20"/>
                <w:u w:val="none"/>
              </w:rPr>
              <w:t xml:space="preserve">  附表20</w:t>
            </w: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200.00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455" w:hRule="atLeast"/>
        </w:trPr>
        <w:tc>
          <w:tcPr>
            <w:tcW w:w="3687" w:type="dxa"/>
            <w:tcBorders>
              <w:bottom w:val="single" w:color="auto" w:sz="4" w:space="0"/>
            </w:tcBorders>
            <w:shd w:val="clear" w:color="FFFFFF" w:fill="FFFFFF"/>
            <w:vAlign w:val="center"/>
          </w:tcPr>
          <w:p>
            <w:pPr>
              <w:pageBreakBefore w:val="0"/>
              <w:jc w:val="left"/>
              <w:textAlignment w:val="auto"/>
            </w:pPr>
            <w:r>
              <w:rPr>
                <w:rFonts w:ascii="Times New Roman" w:hAnsi="Times New Roman" w:eastAsia="Times New Roman" w:cs="Times New Roman"/>
                <w:b/>
                <w:i w:val="0"/>
                <w:color w:val="000000"/>
                <w:position w:val="-1"/>
                <w:sz w:val="20"/>
                <w:u w:val="none"/>
              </w:rPr>
              <w:t>收入合计</w:t>
            </w:r>
          </w:p>
        </w:tc>
        <w:tc>
          <w:tcPr>
            <w:tcW w:w="1417" w:type="dxa"/>
            <w:tcBorders>
              <w:bottom w:val="single" w:color="auto" w:sz="4" w:space="0"/>
            </w:tcBorders>
            <w:shd w:val="clear" w:color="FFFFFF" w:fill="FFFFFF"/>
            <w:vAlign w:val="center"/>
          </w:tcPr>
          <w:p>
            <w:pPr>
              <w:pageBreakBefore w:val="0"/>
              <w:jc w:val="center"/>
              <w:textAlignment w:val="auto"/>
            </w:pPr>
          </w:p>
        </w:tc>
        <w:tc>
          <w:tcPr>
            <w:tcW w:w="1985" w:type="dxa"/>
            <w:tcBorders>
              <w:bottom w:val="single" w:color="auto" w:sz="4" w:space="0"/>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2,656.15</w:t>
            </w:r>
          </w:p>
        </w:tc>
        <w:tc>
          <w:tcPr>
            <w:tcW w:w="1984" w:type="dxa"/>
            <w:tcBorders>
              <w:bottom w:val="single" w:color="auto" w:sz="4" w:space="0"/>
            </w:tcBorders>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业务活动费用</w:t>
            </w:r>
          </w:p>
        </w:tc>
        <w:tc>
          <w:tcPr>
            <w:tcW w:w="1417" w:type="dxa"/>
            <w:shd w:val="clear" w:color="FFFFFF" w:fill="FFFFFF"/>
            <w:vAlign w:val="center"/>
          </w:tcPr>
          <w:p>
            <w:pPr>
              <w:pageBreakBefore w:val="0"/>
              <w:jc w:val="center"/>
              <w:textAlignment w:val="auto"/>
            </w:pPr>
            <w:r>
              <w:rPr>
                <w:rFonts w:ascii="Times New Roman" w:hAnsi="Times New Roman" w:eastAsia="Times New Roman" w:cs="Times New Roman"/>
                <w:b w:val="0"/>
                <w:i w:val="0"/>
                <w:color w:val="000000"/>
                <w:position w:val="-1"/>
                <w:sz w:val="20"/>
                <w:u w:val="none"/>
              </w:rPr>
              <w:t xml:space="preserve">  附表21</w:t>
            </w: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2,408.77</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单位管理费用</w:t>
            </w:r>
          </w:p>
        </w:tc>
        <w:tc>
          <w:tcPr>
            <w:tcW w:w="1417" w:type="dxa"/>
            <w:shd w:val="clear" w:color="FFFFFF" w:fill="FFFFFF"/>
            <w:vAlign w:val="center"/>
          </w:tcPr>
          <w:p>
            <w:pPr>
              <w:pageBreakBefore w:val="0"/>
              <w:jc w:val="center"/>
              <w:textAlignment w:val="auto"/>
            </w:pPr>
            <w:r>
              <w:rPr>
                <w:rFonts w:ascii="Times New Roman" w:hAnsi="Times New Roman" w:eastAsia="Times New Roman" w:cs="Times New Roman"/>
                <w:b w:val="0"/>
                <w:i w:val="0"/>
                <w:color w:val="000000"/>
                <w:position w:val="-1"/>
                <w:sz w:val="20"/>
                <w:u w:val="none"/>
              </w:rPr>
              <w:t xml:space="preserve">  附表22</w:t>
            </w: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经营费用</w:t>
            </w:r>
          </w:p>
        </w:tc>
        <w:tc>
          <w:tcPr>
            <w:tcW w:w="1417" w:type="dxa"/>
            <w:shd w:val="clear" w:color="FFFFFF" w:fill="FFFFFF"/>
            <w:vAlign w:val="center"/>
          </w:tcPr>
          <w:p>
            <w:pPr>
              <w:pageBreakBefore w:val="0"/>
              <w:jc w:val="center"/>
              <w:textAlignment w:val="auto"/>
            </w:pPr>
            <w:r>
              <w:rPr>
                <w:rFonts w:ascii="Times New Roman" w:hAnsi="Times New Roman" w:eastAsia="Times New Roman" w:cs="Times New Roman"/>
                <w:b w:val="0"/>
                <w:i w:val="0"/>
                <w:color w:val="000000"/>
                <w:position w:val="-1"/>
                <w:sz w:val="20"/>
                <w:u w:val="none"/>
              </w:rPr>
              <w:t xml:space="preserve">  附表23</w:t>
            </w: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资产处置费用</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上缴上级费用</w:t>
            </w:r>
          </w:p>
        </w:tc>
        <w:tc>
          <w:tcPr>
            <w:tcW w:w="1417" w:type="dxa"/>
            <w:shd w:val="clear" w:color="FFFFFF" w:fill="FFFFFF"/>
            <w:vAlign w:val="center"/>
          </w:tcPr>
          <w:p>
            <w:pPr>
              <w:pageBreakBefore w:val="0"/>
              <w:jc w:val="center"/>
              <w:textAlignment w:val="auto"/>
            </w:pPr>
            <w:r>
              <w:rPr>
                <w:rFonts w:ascii="Times New Roman" w:hAnsi="Times New Roman" w:eastAsia="Times New Roman" w:cs="Times New Roman"/>
                <w:b w:val="0"/>
                <w:i w:val="0"/>
                <w:color w:val="000000"/>
                <w:position w:val="-1"/>
                <w:sz w:val="20"/>
                <w:u w:val="none"/>
              </w:rPr>
              <w:t xml:space="preserve">  附表28</w:t>
            </w: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对附属单位补助费用</w:t>
            </w:r>
          </w:p>
        </w:tc>
        <w:tc>
          <w:tcPr>
            <w:tcW w:w="1417" w:type="dxa"/>
            <w:shd w:val="clear" w:color="FFFFFF" w:fill="FFFFFF"/>
            <w:vAlign w:val="center"/>
          </w:tcPr>
          <w:p>
            <w:pPr>
              <w:pageBreakBefore w:val="0"/>
              <w:jc w:val="center"/>
              <w:textAlignment w:val="auto"/>
            </w:pPr>
            <w:r>
              <w:rPr>
                <w:rFonts w:ascii="Times New Roman" w:hAnsi="Times New Roman" w:eastAsia="Times New Roman" w:cs="Times New Roman"/>
                <w:b w:val="0"/>
                <w:i w:val="0"/>
                <w:color w:val="000000"/>
                <w:position w:val="-1"/>
                <w:sz w:val="20"/>
                <w:u w:val="none"/>
              </w:rPr>
              <w:t xml:space="preserve">  附表26</w:t>
            </w: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所得税费用</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rFonts w:ascii="Times New Roman" w:hAnsi="Times New Roman" w:eastAsia="Times New Roman" w:cs="Times New Roman"/>
                <w:b w:val="0"/>
                <w:i w:val="0"/>
                <w:color w:val="000000"/>
                <w:position w:val="-1"/>
                <w:sz w:val="20"/>
                <w:u w:val="none"/>
              </w:rPr>
              <w:t xml:space="preserve">  其他费用</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455" w:hRule="atLeast"/>
        </w:trPr>
        <w:tc>
          <w:tcPr>
            <w:tcW w:w="3687" w:type="dxa"/>
            <w:tcBorders>
              <w:bottom w:val="single" w:color="auto" w:sz="4" w:space="0"/>
            </w:tcBorders>
            <w:shd w:val="clear" w:color="FFFFFF" w:fill="FFFFFF"/>
            <w:vAlign w:val="center"/>
          </w:tcPr>
          <w:p>
            <w:pPr>
              <w:pageBreakBefore w:val="0"/>
              <w:jc w:val="left"/>
              <w:textAlignment w:val="auto"/>
            </w:pPr>
            <w:r>
              <w:rPr>
                <w:rFonts w:ascii="Times New Roman" w:hAnsi="Times New Roman" w:eastAsia="Times New Roman" w:cs="Times New Roman"/>
                <w:b/>
                <w:i w:val="0"/>
                <w:color w:val="000000"/>
                <w:position w:val="-1"/>
                <w:sz w:val="20"/>
                <w:u w:val="none"/>
              </w:rPr>
              <w:t>费用合计</w:t>
            </w:r>
          </w:p>
        </w:tc>
        <w:tc>
          <w:tcPr>
            <w:tcW w:w="1417" w:type="dxa"/>
            <w:tcBorders>
              <w:bottom w:val="single" w:color="auto" w:sz="4" w:space="0"/>
            </w:tcBorders>
            <w:shd w:val="clear" w:color="FFFFFF" w:fill="FFFFFF"/>
            <w:vAlign w:val="center"/>
          </w:tcPr>
          <w:p>
            <w:pPr>
              <w:pageBreakBefore w:val="0"/>
              <w:jc w:val="center"/>
              <w:textAlignment w:val="auto"/>
            </w:pPr>
          </w:p>
        </w:tc>
        <w:tc>
          <w:tcPr>
            <w:tcW w:w="1985" w:type="dxa"/>
            <w:tcBorders>
              <w:bottom w:val="single" w:color="auto" w:sz="4" w:space="0"/>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2,408.77</w:t>
            </w:r>
          </w:p>
        </w:tc>
        <w:tc>
          <w:tcPr>
            <w:tcW w:w="1984" w:type="dxa"/>
            <w:tcBorders>
              <w:bottom w:val="single" w:color="auto" w:sz="4" w:space="0"/>
            </w:tcBorders>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455" w:hRule="atLeast"/>
        </w:trPr>
        <w:tc>
          <w:tcPr>
            <w:tcW w:w="3687" w:type="dxa"/>
            <w:tcBorders>
              <w:bottom w:val="single" w:color="auto" w:sz="4" w:space="0"/>
            </w:tcBorders>
            <w:shd w:val="clear" w:color="FFFFFF" w:fill="FFFFFF"/>
            <w:vAlign w:val="center"/>
          </w:tcPr>
          <w:p>
            <w:pPr>
              <w:pageBreakBefore w:val="0"/>
              <w:jc w:val="center"/>
              <w:textAlignment w:val="auto"/>
            </w:pPr>
            <w:r>
              <w:rPr>
                <w:rFonts w:ascii="Times New Roman" w:hAnsi="Times New Roman" w:eastAsia="Times New Roman" w:cs="Times New Roman"/>
                <w:b/>
                <w:i w:val="0"/>
                <w:color w:val="000000"/>
                <w:position w:val="-1"/>
                <w:sz w:val="20"/>
                <w:u w:val="none"/>
              </w:rPr>
              <w:t>本年盈余</w:t>
            </w:r>
          </w:p>
        </w:tc>
        <w:tc>
          <w:tcPr>
            <w:tcW w:w="1417" w:type="dxa"/>
            <w:tcBorders>
              <w:bottom w:val="single" w:color="auto" w:sz="4" w:space="0"/>
            </w:tcBorders>
            <w:shd w:val="clear" w:color="FFFFFF" w:fill="FFFFFF"/>
            <w:vAlign w:val="center"/>
          </w:tcPr>
          <w:p>
            <w:pPr>
              <w:pageBreakBefore w:val="0"/>
              <w:jc w:val="center"/>
              <w:textAlignment w:val="auto"/>
            </w:pPr>
          </w:p>
        </w:tc>
        <w:tc>
          <w:tcPr>
            <w:tcW w:w="1985" w:type="dxa"/>
            <w:tcBorders>
              <w:bottom w:val="single" w:color="auto" w:sz="4" w:space="0"/>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247.38</w:t>
            </w:r>
          </w:p>
        </w:tc>
        <w:tc>
          <w:tcPr>
            <w:tcW w:w="1984" w:type="dxa"/>
            <w:tcBorders>
              <w:bottom w:val="single" w:color="auto" w:sz="4" w:space="0"/>
            </w:tcBorders>
            <w:shd w:val="clear" w:color="FFFFFF" w:fill="FFFFFF"/>
            <w:vAlign w:val="center"/>
          </w:tcPr>
          <w:p>
            <w:pPr>
              <w:pageBreakBefore w:val="0"/>
              <w:jc w:val="right"/>
              <w:textAlignment w:val="auto"/>
            </w:pPr>
            <w:r>
              <w:rPr>
                <w:b w:val="0"/>
                <w:i w:val="0"/>
                <w:color w:val="000000"/>
                <w:position w:val="-1"/>
                <w:sz w:val="20"/>
                <w:u w:val="none"/>
              </w:rPr>
              <w:t>0.00</w:t>
            </w:r>
          </w:p>
        </w:tc>
      </w:tr>
    </w:tbl>
    <w:p>
      <w:pPr>
        <w:pStyle w:val="110"/>
        <w:ind w:firstLine="0" w:firstLineChars="0"/>
        <w:rPr>
          <w:rFonts w:asciiTheme="minorEastAsia" w:hAnsiTheme="minorEastAsia" w:eastAsiaTheme="minorEastAsia"/>
          <w:sz w:val="22"/>
        </w:rPr>
      </w:pPr>
    </w:p>
    <w:p>
      <w:r>
        <w:rPr>
          <w:rFonts w:hint="eastAsia"/>
        </w:rPr>
        <w:t>表</w:t>
      </w:r>
      <w:r>
        <w:t>2</w:t>
      </w:r>
      <w:r>
        <w:rPr>
          <w:rFonts w:hint="eastAsia"/>
        </w:rPr>
        <w:t>-2</w:t>
      </w:r>
      <w:r>
        <w:rPr>
          <w:rStyle w:val="40"/>
        </w:rPr>
        <w:footnoteReference w:id="0"/>
      </w:r>
    </w:p>
    <w:p>
      <w:pPr>
        <w:spacing w:before="2" w:line="360" w:lineRule="auto"/>
        <w:ind w:firstLine="562" w:firstLineChars="200"/>
        <w:jc w:val="center"/>
        <w:outlineLvl w:val="2"/>
        <w:rPr>
          <w:rFonts w:cs="Times New Roman" w:asciiTheme="majorEastAsia" w:hAnsiTheme="majorEastAsia" w:eastAsiaTheme="majorEastAsia"/>
          <w:b/>
          <w:bCs/>
          <w:kern w:val="2"/>
          <w:sz w:val="28"/>
          <w:szCs w:val="28"/>
        </w:rPr>
      </w:pPr>
      <w:bookmarkStart w:id="42" w:name="_Toc35452579"/>
      <w:bookmarkStart w:id="43" w:name="_Toc35500805"/>
      <w:r>
        <w:rPr>
          <w:rFonts w:hint="eastAsia" w:cs="Times New Roman" w:asciiTheme="majorEastAsia" w:hAnsiTheme="majorEastAsia" w:eastAsiaTheme="majorEastAsia"/>
          <w:b/>
          <w:bCs/>
          <w:kern w:val="2"/>
          <w:sz w:val="28"/>
          <w:szCs w:val="28"/>
        </w:rPr>
        <w:t>收入费用表</w:t>
      </w:r>
      <w:r>
        <w:rPr>
          <w:rFonts w:cs="Times New Roman" w:asciiTheme="majorEastAsia" w:hAnsiTheme="majorEastAsia" w:eastAsiaTheme="majorEastAsia"/>
          <w:b/>
          <w:bCs/>
          <w:kern w:val="2"/>
          <w:sz w:val="28"/>
          <w:szCs w:val="28"/>
        </w:rPr>
        <w:t>（</w:t>
      </w:r>
      <w:r>
        <w:rPr>
          <w:rFonts w:hint="eastAsia" w:cs="Times New Roman" w:asciiTheme="majorEastAsia" w:hAnsiTheme="majorEastAsia" w:eastAsiaTheme="majorEastAsia"/>
          <w:b/>
          <w:bCs/>
          <w:kern w:val="2"/>
          <w:sz w:val="28"/>
          <w:szCs w:val="28"/>
        </w:rPr>
        <w:t>2</w:t>
      </w:r>
      <w:r>
        <w:rPr>
          <w:rFonts w:cs="Times New Roman" w:asciiTheme="majorEastAsia" w:hAnsiTheme="majorEastAsia" w:eastAsiaTheme="majorEastAsia"/>
          <w:b/>
          <w:bCs/>
          <w:kern w:val="2"/>
          <w:sz w:val="28"/>
          <w:szCs w:val="28"/>
        </w:rPr>
        <w:t>）</w:t>
      </w:r>
      <w:bookmarkEnd w:id="42"/>
      <w:bookmarkEnd w:id="43"/>
    </w:p>
    <w:p>
      <w:pPr>
        <w:tabs>
          <w:tab w:val="left" w:pos="4962"/>
          <w:tab w:val="left" w:pos="7150"/>
        </w:tabs>
        <w:adjustRightInd w:val="0"/>
        <w:snapToGrid w:val="0"/>
        <w:spacing w:line="320" w:lineRule="exact"/>
        <w:ind w:left="-425" w:leftChars="-177"/>
        <w:rPr>
          <w:b/>
          <w:bCs/>
          <w:sz w:val="20"/>
          <w:szCs w:val="20"/>
        </w:rPr>
      </w:pPr>
      <w:r>
        <w:rPr>
          <w:rFonts w:hint="eastAsia"/>
          <w:sz w:val="20"/>
          <w:szCs w:val="20"/>
        </w:rPr>
        <w:t>编制单位：重庆市秀山土家族苗族自治县医疗保障局</w:t>
      </w:r>
      <w:r>
        <w:rPr>
          <w:b/>
          <w:bCs/>
          <w:sz w:val="20"/>
          <w:szCs w:val="20"/>
        </w:rPr>
        <w:tab/>
      </w:r>
      <w:r>
        <w:rPr>
          <w:rFonts w:hint="eastAsia"/>
          <w:sz w:val="20"/>
          <w:szCs w:val="20"/>
        </w:rPr>
        <w:t>2019  年</w:t>
      </w:r>
      <w:r>
        <w:rPr>
          <w:b/>
          <w:bCs/>
          <w:sz w:val="20"/>
          <w:szCs w:val="20"/>
        </w:rPr>
        <w:tab/>
      </w:r>
      <w:r>
        <w:rPr>
          <w:rFonts w:hint="eastAsia"/>
          <w:sz w:val="20"/>
          <w:szCs w:val="20"/>
        </w:rPr>
        <w:t>单位：万元</w:t>
      </w:r>
    </w:p>
    <w:tbl>
      <w:tblPr>
        <w:tblStyle w:val="41"/>
        <w:tblW w:w="9073" w:type="dxa"/>
        <w:tblInd w:w="-318" w:type="dxa"/>
        <w:tblLayout w:type="fixed"/>
        <w:tblCellMar>
          <w:top w:w="0" w:type="dxa"/>
          <w:left w:w="108" w:type="dxa"/>
          <w:bottom w:w="0" w:type="dxa"/>
          <w:right w:w="108" w:type="dxa"/>
        </w:tblCellMar>
      </w:tblPr>
      <w:tblGrid>
        <w:gridCol w:w="3687"/>
        <w:gridCol w:w="1417"/>
        <w:gridCol w:w="1985"/>
        <w:gridCol w:w="1984"/>
      </w:tblGrid>
      <w:tr>
        <w:tblPrEx>
          <w:tblLayout w:type="fixed"/>
          <w:tblCellMar>
            <w:top w:w="0" w:type="dxa"/>
            <w:left w:w="108" w:type="dxa"/>
            <w:bottom w:w="0" w:type="dxa"/>
            <w:right w:w="108" w:type="dxa"/>
          </w:tblCellMar>
        </w:tblPrEx>
        <w:trPr>
          <w:trHeight w:val="397" w:hRule="atLeast"/>
          <w:tblHeader/>
        </w:trPr>
        <w:tc>
          <w:tcPr>
            <w:tcW w:w="3687" w:type="dxa"/>
            <w:tcBorders>
              <w:top w:val="single" w:color="auto" w:sz="4" w:space="0"/>
              <w:bottom w:val="single" w:color="auto" w:sz="4" w:space="0"/>
            </w:tcBorders>
            <w:shd w:val="clear" w:color="FFFFFF" w:fill="FFFFFF"/>
            <w:vAlign w:val="center"/>
          </w:tcPr>
          <w:p>
            <w:pPr>
              <w:jc w:val="center"/>
              <w:rPr>
                <w:b/>
                <w:bCs/>
                <w:sz w:val="20"/>
                <w:szCs w:val="20"/>
              </w:rPr>
            </w:pPr>
            <w:r>
              <w:rPr>
                <w:rFonts w:hint="eastAsia"/>
                <w:b/>
                <w:bCs/>
                <w:sz w:val="20"/>
                <w:szCs w:val="20"/>
              </w:rPr>
              <w:t>项目</w:t>
            </w:r>
          </w:p>
        </w:tc>
        <w:tc>
          <w:tcPr>
            <w:tcW w:w="1417" w:type="dxa"/>
            <w:tcBorders>
              <w:top w:val="single" w:color="auto" w:sz="4" w:space="0"/>
              <w:bottom w:val="single" w:color="auto" w:sz="4" w:space="0"/>
            </w:tcBorders>
            <w:shd w:val="clear" w:color="FFFFFF" w:fill="FFFFFF"/>
            <w:vAlign w:val="center"/>
          </w:tcPr>
          <w:p>
            <w:pPr>
              <w:jc w:val="center"/>
              <w:rPr>
                <w:b/>
                <w:bCs/>
                <w:sz w:val="20"/>
                <w:szCs w:val="20"/>
              </w:rPr>
            </w:pPr>
            <w:r>
              <w:rPr>
                <w:rFonts w:hint="eastAsia"/>
                <w:b/>
                <w:bCs/>
                <w:sz w:val="20"/>
                <w:szCs w:val="20"/>
              </w:rPr>
              <w:t>附注</w:t>
            </w:r>
          </w:p>
        </w:tc>
        <w:tc>
          <w:tcPr>
            <w:tcW w:w="1985" w:type="dxa"/>
            <w:tcBorders>
              <w:top w:val="single" w:color="auto" w:sz="4" w:space="0"/>
              <w:bottom w:val="single" w:color="auto" w:sz="4" w:space="0"/>
            </w:tcBorders>
            <w:shd w:val="clear" w:color="FFFFFF" w:fill="FFFFFF"/>
            <w:vAlign w:val="center"/>
          </w:tcPr>
          <w:p>
            <w:pPr>
              <w:jc w:val="center"/>
              <w:rPr>
                <w:b/>
                <w:bCs/>
                <w:sz w:val="20"/>
                <w:szCs w:val="20"/>
              </w:rPr>
            </w:pPr>
            <w:r>
              <w:rPr>
                <w:rFonts w:hint="eastAsia"/>
                <w:b/>
                <w:bCs/>
                <w:sz w:val="20"/>
                <w:szCs w:val="20"/>
              </w:rPr>
              <w:t>本年数</w:t>
            </w:r>
          </w:p>
        </w:tc>
        <w:tc>
          <w:tcPr>
            <w:tcW w:w="1984" w:type="dxa"/>
            <w:tcBorders>
              <w:top w:val="single" w:color="auto" w:sz="4" w:space="0"/>
              <w:bottom w:val="single" w:color="auto" w:sz="4" w:space="0"/>
            </w:tcBorders>
            <w:shd w:val="clear" w:color="FFFFFF" w:fill="FFFFFF"/>
            <w:vAlign w:val="center"/>
          </w:tcPr>
          <w:p>
            <w:pPr>
              <w:jc w:val="center"/>
              <w:rPr>
                <w:b/>
                <w:bCs/>
                <w:sz w:val="20"/>
                <w:szCs w:val="20"/>
              </w:rPr>
            </w:pPr>
            <w:r>
              <w:rPr>
                <w:rFonts w:hint="eastAsia"/>
                <w:b/>
                <w:bCs/>
                <w:sz w:val="20"/>
                <w:szCs w:val="20"/>
              </w:rPr>
              <w:t>上年数</w:t>
            </w:r>
          </w:p>
        </w:tc>
      </w:tr>
      <w:tr>
        <w:tblPrEx>
          <w:tblLayout w:type="fixed"/>
          <w:tblCellMar>
            <w:top w:w="0" w:type="dxa"/>
            <w:left w:w="108" w:type="dxa"/>
            <w:bottom w:w="0" w:type="dxa"/>
            <w:right w:w="108" w:type="dxa"/>
          </w:tblCellMar>
        </w:tblPrEx>
        <w:trPr>
          <w:trHeight w:val="20" w:hRule="exact"/>
          <w:tblHeader/>
        </w:trPr>
        <w:tc>
          <w:tcPr>
            <w:tcW w:w="3687" w:type="dxa"/>
            <w:tcBorders>
              <w:top w:val="single" w:color="auto" w:sz="4" w:space="0"/>
            </w:tcBorders>
            <w:shd w:val="clear" w:color="FFFFFF" w:fill="FFFFFF"/>
            <w:vAlign w:val="center"/>
          </w:tcPr>
          <w:p>
            <w:pPr>
              <w:jc w:val="center"/>
              <w:rPr>
                <w:b/>
                <w:bCs/>
                <w:sz w:val="20"/>
                <w:szCs w:val="20"/>
              </w:rPr>
            </w:pPr>
          </w:p>
        </w:tc>
        <w:tc>
          <w:tcPr>
            <w:tcW w:w="1417" w:type="dxa"/>
            <w:tcBorders>
              <w:top w:val="single" w:color="auto" w:sz="4" w:space="0"/>
            </w:tcBorders>
            <w:shd w:val="clear" w:color="FFFFFF" w:fill="FFFFFF"/>
            <w:vAlign w:val="center"/>
          </w:tcPr>
          <w:p>
            <w:pPr>
              <w:jc w:val="center"/>
              <w:rPr>
                <w:b/>
                <w:bCs/>
                <w:sz w:val="20"/>
                <w:szCs w:val="20"/>
              </w:rPr>
            </w:pPr>
          </w:p>
        </w:tc>
        <w:tc>
          <w:tcPr>
            <w:tcW w:w="1985" w:type="dxa"/>
            <w:tcBorders>
              <w:top w:val="single" w:color="auto" w:sz="4" w:space="0"/>
            </w:tcBorders>
            <w:shd w:val="clear" w:color="FFFFFF" w:fill="FFFFFF"/>
            <w:vAlign w:val="center"/>
          </w:tcPr>
          <w:p>
            <w:pPr>
              <w:jc w:val="center"/>
              <w:rPr>
                <w:b/>
                <w:bCs/>
                <w:sz w:val="20"/>
                <w:szCs w:val="20"/>
              </w:rPr>
            </w:pPr>
          </w:p>
        </w:tc>
        <w:tc>
          <w:tcPr>
            <w:tcW w:w="1984" w:type="dxa"/>
            <w:tcBorders>
              <w:top w:val="single" w:color="auto" w:sz="4" w:space="0"/>
            </w:tcBorders>
            <w:shd w:val="clear" w:color="FFFFFF" w:fill="FFFFFF"/>
            <w:vAlign w:val="center"/>
          </w:tcPr>
          <w:p>
            <w:pPr>
              <w:jc w:val="center"/>
              <w:rPr>
                <w:b/>
                <w:bCs/>
                <w:sz w:val="20"/>
                <w:szCs w:val="20"/>
              </w:rPr>
            </w:pP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财政拨款收入</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2,456.15</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事业收入</w:t>
            </w:r>
          </w:p>
        </w:tc>
        <w:tc>
          <w:tcPr>
            <w:tcW w:w="1417" w:type="dxa"/>
            <w:shd w:val="clear" w:color="FFFFFF" w:fill="FFFFFF"/>
            <w:vAlign w:val="center"/>
          </w:tcPr>
          <w:p>
            <w:pPr>
              <w:pageBreakBefore w:val="0"/>
              <w:jc w:val="center"/>
              <w:textAlignment w:val="auto"/>
            </w:pPr>
            <w:r>
              <w:rPr>
                <w:b w:val="0"/>
                <w:i w:val="0"/>
                <w:color w:val="000000"/>
                <w:position w:val="-1"/>
                <w:sz w:val="20"/>
                <w:u w:val="none"/>
              </w:rPr>
              <w:t xml:space="preserve">  附表17</w:t>
            </w: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上级补助收入</w:t>
            </w:r>
          </w:p>
        </w:tc>
        <w:tc>
          <w:tcPr>
            <w:tcW w:w="1417" w:type="dxa"/>
            <w:shd w:val="clear" w:color="FFFFFF" w:fill="FFFFFF"/>
            <w:vAlign w:val="center"/>
          </w:tcPr>
          <w:p>
            <w:pPr>
              <w:pageBreakBefore w:val="0"/>
              <w:jc w:val="center"/>
              <w:textAlignment w:val="auto"/>
            </w:pPr>
            <w:r>
              <w:rPr>
                <w:b w:val="0"/>
                <w:i w:val="0"/>
                <w:color w:val="000000"/>
                <w:position w:val="-1"/>
                <w:sz w:val="20"/>
                <w:u w:val="none"/>
              </w:rPr>
              <w:t xml:space="preserve">  附表25</w:t>
            </w: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附属单位上缴收入</w:t>
            </w:r>
          </w:p>
        </w:tc>
        <w:tc>
          <w:tcPr>
            <w:tcW w:w="1417" w:type="dxa"/>
            <w:shd w:val="clear" w:color="FFFFFF" w:fill="FFFFFF"/>
            <w:vAlign w:val="center"/>
          </w:tcPr>
          <w:p>
            <w:pPr>
              <w:pageBreakBefore w:val="0"/>
              <w:jc w:val="center"/>
              <w:textAlignment w:val="auto"/>
            </w:pPr>
            <w:r>
              <w:rPr>
                <w:b w:val="0"/>
                <w:i w:val="0"/>
                <w:color w:val="000000"/>
                <w:position w:val="-1"/>
                <w:sz w:val="20"/>
                <w:u w:val="none"/>
              </w:rPr>
              <w:t xml:space="preserve">  附表27</w:t>
            </w: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经营收入</w:t>
            </w:r>
          </w:p>
        </w:tc>
        <w:tc>
          <w:tcPr>
            <w:tcW w:w="1417" w:type="dxa"/>
            <w:shd w:val="clear" w:color="FFFFFF" w:fill="FFFFFF"/>
            <w:vAlign w:val="center"/>
          </w:tcPr>
          <w:p>
            <w:pPr>
              <w:pageBreakBefore w:val="0"/>
              <w:jc w:val="center"/>
              <w:textAlignment w:val="auto"/>
            </w:pPr>
            <w:r>
              <w:rPr>
                <w:b w:val="0"/>
                <w:i w:val="0"/>
                <w:color w:val="000000"/>
                <w:position w:val="-1"/>
                <w:sz w:val="20"/>
                <w:u w:val="none"/>
              </w:rPr>
              <w:t xml:space="preserve">  附表18</w:t>
            </w: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非同级财政拨款收入</w:t>
            </w:r>
          </w:p>
        </w:tc>
        <w:tc>
          <w:tcPr>
            <w:tcW w:w="1417" w:type="dxa"/>
            <w:shd w:val="clear" w:color="FFFFFF" w:fill="FFFFFF"/>
            <w:vAlign w:val="center"/>
          </w:tcPr>
          <w:p>
            <w:pPr>
              <w:pageBreakBefore w:val="0"/>
              <w:jc w:val="center"/>
              <w:textAlignment w:val="auto"/>
            </w:pPr>
            <w:r>
              <w:rPr>
                <w:b w:val="0"/>
                <w:i w:val="0"/>
                <w:color w:val="000000"/>
                <w:position w:val="-1"/>
                <w:sz w:val="20"/>
                <w:u w:val="none"/>
              </w:rPr>
              <w:t xml:space="preserve">  附表19</w:t>
            </w: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投资收益</w:t>
            </w:r>
          </w:p>
        </w:tc>
        <w:tc>
          <w:tcPr>
            <w:tcW w:w="1417" w:type="dxa"/>
            <w:shd w:val="clear" w:color="FFFFFF" w:fill="FFFFFF"/>
            <w:vAlign w:val="center"/>
          </w:tcPr>
          <w:p>
            <w:pPr>
              <w:pageBreakBefore w:val="0"/>
              <w:jc w:val="center"/>
              <w:textAlignment w:val="auto"/>
            </w:pPr>
            <w:r>
              <w:rPr>
                <w:b w:val="0"/>
                <w:i w:val="0"/>
                <w:color w:val="000000"/>
                <w:position w:val="-1"/>
                <w:sz w:val="20"/>
                <w:u w:val="none"/>
              </w:rPr>
              <w:t xml:space="preserve">  附表5</w:t>
            </w: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捐赠收入</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利息收入</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租金收入</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其他收入</w:t>
            </w:r>
          </w:p>
        </w:tc>
        <w:tc>
          <w:tcPr>
            <w:tcW w:w="1417" w:type="dxa"/>
            <w:shd w:val="clear" w:color="FFFFFF" w:fill="FFFFFF"/>
            <w:vAlign w:val="center"/>
          </w:tcPr>
          <w:p>
            <w:pPr>
              <w:pageBreakBefore w:val="0"/>
              <w:jc w:val="center"/>
              <w:textAlignment w:val="auto"/>
            </w:pPr>
            <w:r>
              <w:rPr>
                <w:b w:val="0"/>
                <w:i w:val="0"/>
                <w:color w:val="000000"/>
                <w:position w:val="-1"/>
                <w:sz w:val="20"/>
                <w:u w:val="none"/>
              </w:rPr>
              <w:t xml:space="preserve">  附表20</w:t>
            </w:r>
          </w:p>
        </w:tc>
        <w:tc>
          <w:tcPr>
            <w:tcW w:w="1985" w:type="dxa"/>
            <w:shd w:val="clear" w:color="FFFFFF" w:fill="FFFFFF"/>
            <w:vAlign w:val="center"/>
          </w:tcPr>
          <w:p>
            <w:pPr>
              <w:pageBreakBefore w:val="0"/>
              <w:jc w:val="right"/>
              <w:textAlignment w:val="auto"/>
            </w:pPr>
            <w:r>
              <w:rPr>
                <w:b w:val="0"/>
                <w:i w:val="0"/>
                <w:color w:val="000000"/>
                <w:position w:val="-1"/>
                <w:sz w:val="20"/>
                <w:u w:val="none"/>
              </w:rPr>
              <w:t>200.00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455" w:hRule="atLeast"/>
        </w:trPr>
        <w:tc>
          <w:tcPr>
            <w:tcW w:w="3687" w:type="dxa"/>
            <w:tcBorders>
              <w:bottom w:val="single" w:color="auto" w:sz="4" w:space="0"/>
            </w:tcBorders>
            <w:shd w:val="clear" w:color="FFFFFF" w:fill="FFFFFF"/>
            <w:vAlign w:val="center"/>
          </w:tcPr>
          <w:p>
            <w:pPr>
              <w:pageBreakBefore w:val="0"/>
              <w:jc w:val="left"/>
              <w:textAlignment w:val="auto"/>
            </w:pPr>
            <w:r>
              <w:rPr>
                <w:b/>
                <w:i w:val="0"/>
                <w:color w:val="000000"/>
                <w:position w:val="-1"/>
                <w:sz w:val="20"/>
                <w:u w:val="none"/>
              </w:rPr>
              <w:t>收入合计</w:t>
            </w:r>
          </w:p>
        </w:tc>
        <w:tc>
          <w:tcPr>
            <w:tcW w:w="1417" w:type="dxa"/>
            <w:tcBorders>
              <w:bottom w:val="single" w:color="auto" w:sz="4" w:space="0"/>
            </w:tcBorders>
            <w:shd w:val="clear" w:color="FFFFFF" w:fill="FFFFFF"/>
            <w:vAlign w:val="center"/>
          </w:tcPr>
          <w:p>
            <w:pPr>
              <w:pageBreakBefore w:val="0"/>
              <w:jc w:val="center"/>
              <w:textAlignment w:val="auto"/>
            </w:pPr>
          </w:p>
        </w:tc>
        <w:tc>
          <w:tcPr>
            <w:tcW w:w="1985" w:type="dxa"/>
            <w:tcBorders>
              <w:bottom w:val="single" w:color="auto" w:sz="4" w:space="0"/>
            </w:tcBorders>
            <w:shd w:val="clear" w:color="FFFFFF" w:fill="FFFFFF"/>
            <w:vAlign w:val="center"/>
          </w:tcPr>
          <w:p>
            <w:pPr>
              <w:pageBreakBefore w:val="0"/>
              <w:jc w:val="right"/>
              <w:textAlignment w:val="auto"/>
            </w:pPr>
            <w:r>
              <w:rPr>
                <w:b w:val="0"/>
                <w:i w:val="0"/>
                <w:color w:val="000000"/>
                <w:position w:val="-1"/>
                <w:sz w:val="20"/>
                <w:u w:val="none"/>
              </w:rPr>
              <w:t>2,656.15</w:t>
            </w:r>
          </w:p>
        </w:tc>
        <w:tc>
          <w:tcPr>
            <w:tcW w:w="1984" w:type="dxa"/>
            <w:tcBorders>
              <w:bottom w:val="single" w:color="auto" w:sz="4" w:space="0"/>
            </w:tcBorders>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工资福利费用</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37.52</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商品和服务费用</w:t>
            </w:r>
          </w:p>
        </w:tc>
        <w:tc>
          <w:tcPr>
            <w:tcW w:w="1417" w:type="dxa"/>
            <w:shd w:val="clear" w:color="FFFFFF" w:fill="FFFFFF"/>
            <w:vAlign w:val="center"/>
          </w:tcPr>
          <w:p>
            <w:pPr>
              <w:pageBreakBefore w:val="0"/>
              <w:jc w:val="center"/>
              <w:textAlignment w:val="auto"/>
            </w:pPr>
            <w:r>
              <w:rPr>
                <w:b w:val="0"/>
                <w:i w:val="0"/>
                <w:color w:val="000000"/>
                <w:position w:val="-1"/>
                <w:sz w:val="20"/>
                <w:u w:val="none"/>
              </w:rPr>
              <w:t xml:space="preserve">  附表24</w:t>
            </w:r>
          </w:p>
        </w:tc>
        <w:tc>
          <w:tcPr>
            <w:tcW w:w="1985" w:type="dxa"/>
            <w:shd w:val="clear" w:color="FFFFFF" w:fill="FFFFFF"/>
            <w:vAlign w:val="center"/>
          </w:tcPr>
          <w:p>
            <w:pPr>
              <w:pageBreakBefore w:val="0"/>
              <w:jc w:val="right"/>
              <w:textAlignment w:val="auto"/>
            </w:pPr>
            <w:r>
              <w:rPr>
                <w:b w:val="0"/>
                <w:i w:val="0"/>
                <w:color w:val="000000"/>
                <w:position w:val="-1"/>
                <w:sz w:val="20"/>
                <w:u w:val="none"/>
              </w:rPr>
              <w:t>92.64</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对个人和家庭的补助费用</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2,278.33</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对企业补助费用</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固定资产折旧费用</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0.28</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无形资产摊销费用</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公共基础设施折旧（摊销）费用</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保障性住房折旧费用</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计提专用基金</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资产处置费用</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上缴上级费用</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对附属单位补助费用</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所得税费用</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trPr>
        <w:tc>
          <w:tcPr>
            <w:tcW w:w="3687" w:type="dxa"/>
            <w:shd w:val="clear" w:color="FFFFFF" w:fill="FFFFFF"/>
            <w:vAlign w:val="center"/>
          </w:tcPr>
          <w:p>
            <w:pPr>
              <w:pageBreakBefore w:val="0"/>
              <w:jc w:val="left"/>
              <w:textAlignment w:val="auto"/>
            </w:pPr>
            <w:r>
              <w:rPr>
                <w:b w:val="0"/>
                <w:i w:val="0"/>
                <w:color w:val="000000"/>
                <w:position w:val="-1"/>
                <w:sz w:val="20"/>
                <w:u w:val="none"/>
              </w:rPr>
              <w:t xml:space="preserve">  其他费用</w:t>
            </w:r>
          </w:p>
        </w:tc>
        <w:tc>
          <w:tcPr>
            <w:tcW w:w="1417" w:type="dxa"/>
            <w:shd w:val="clear" w:color="FFFFFF" w:fill="FFFFFF"/>
            <w:vAlign w:val="center"/>
          </w:tcPr>
          <w:p>
            <w:pPr>
              <w:pageBreakBefore w:val="0"/>
              <w:jc w:val="center"/>
              <w:textAlignment w:val="auto"/>
            </w:pPr>
          </w:p>
        </w:tc>
        <w:tc>
          <w:tcPr>
            <w:tcW w:w="1985" w:type="dxa"/>
            <w:shd w:val="clear" w:color="FFFFFF" w:fill="FFFFFF"/>
            <w:vAlign w:val="center"/>
          </w:tcPr>
          <w:p>
            <w:pPr>
              <w:pageBreakBefore w:val="0"/>
              <w:jc w:val="right"/>
              <w:textAlignment w:val="auto"/>
            </w:pPr>
            <w:r>
              <w:rPr>
                <w:b w:val="0"/>
                <w:i w:val="0"/>
                <w:color w:val="000000"/>
                <w:position w:val="-1"/>
                <w:sz w:val="20"/>
                <w:u w:val="none"/>
              </w:rPr>
              <w:t>0.00</w:t>
            </w:r>
          </w:p>
        </w:tc>
        <w:tc>
          <w:tcPr>
            <w:tcW w:w="1984" w:type="dxa"/>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455" w:hRule="atLeast"/>
        </w:trPr>
        <w:tc>
          <w:tcPr>
            <w:tcW w:w="3687" w:type="dxa"/>
            <w:tcBorders>
              <w:bottom w:val="single" w:color="auto" w:sz="4" w:space="0"/>
            </w:tcBorders>
            <w:shd w:val="clear" w:color="FFFFFF" w:fill="FFFFFF"/>
            <w:vAlign w:val="center"/>
          </w:tcPr>
          <w:p>
            <w:pPr>
              <w:pageBreakBefore w:val="0"/>
              <w:jc w:val="left"/>
              <w:textAlignment w:val="auto"/>
            </w:pPr>
            <w:r>
              <w:rPr>
                <w:b/>
                <w:i w:val="0"/>
                <w:color w:val="000000"/>
                <w:position w:val="-1"/>
                <w:sz w:val="20"/>
                <w:u w:val="none"/>
              </w:rPr>
              <w:t>费用合计</w:t>
            </w:r>
          </w:p>
        </w:tc>
        <w:tc>
          <w:tcPr>
            <w:tcW w:w="1417" w:type="dxa"/>
            <w:tcBorders>
              <w:bottom w:val="single" w:color="auto" w:sz="4" w:space="0"/>
            </w:tcBorders>
            <w:shd w:val="clear" w:color="FFFFFF" w:fill="FFFFFF"/>
            <w:vAlign w:val="center"/>
          </w:tcPr>
          <w:p>
            <w:pPr>
              <w:pageBreakBefore w:val="0"/>
              <w:jc w:val="center"/>
              <w:textAlignment w:val="auto"/>
            </w:pPr>
          </w:p>
        </w:tc>
        <w:tc>
          <w:tcPr>
            <w:tcW w:w="1985" w:type="dxa"/>
            <w:tcBorders>
              <w:bottom w:val="single" w:color="auto" w:sz="4" w:space="0"/>
            </w:tcBorders>
            <w:shd w:val="clear" w:color="FFFFFF" w:fill="FFFFFF"/>
            <w:vAlign w:val="center"/>
          </w:tcPr>
          <w:p>
            <w:pPr>
              <w:pageBreakBefore w:val="0"/>
              <w:jc w:val="right"/>
              <w:textAlignment w:val="auto"/>
            </w:pPr>
            <w:r>
              <w:rPr>
                <w:b w:val="0"/>
                <w:i w:val="0"/>
                <w:color w:val="000000"/>
                <w:position w:val="-1"/>
                <w:sz w:val="20"/>
                <w:u w:val="none"/>
              </w:rPr>
              <w:t>2,408.77</w:t>
            </w:r>
          </w:p>
        </w:tc>
        <w:tc>
          <w:tcPr>
            <w:tcW w:w="1984" w:type="dxa"/>
            <w:tcBorders>
              <w:bottom w:val="single" w:color="auto" w:sz="4" w:space="0"/>
            </w:tcBorders>
            <w:shd w:val="clear" w:color="FFFFFF" w:fill="FFFFFF"/>
            <w:vAlign w:val="center"/>
          </w:tcPr>
          <w:p>
            <w:pPr>
              <w:pageBreakBefore w:val="0"/>
              <w:jc w:val="right"/>
              <w:textAlignment w:val="auto"/>
            </w:pPr>
            <w:r>
              <w:rPr>
                <w:b w:val="0"/>
                <w:i w:val="0"/>
                <w:color w:val="000000"/>
                <w:position w:val="-1"/>
                <w:sz w:val="20"/>
                <w:u w:val="none"/>
              </w:rPr>
              <w:t>0.00</w:t>
            </w:r>
          </w:p>
        </w:tc>
      </w:tr>
      <w:tr>
        <w:tblPrEx>
          <w:tblLayout w:type="fixed"/>
          <w:tblCellMar>
            <w:top w:w="0" w:type="dxa"/>
            <w:left w:w="108" w:type="dxa"/>
            <w:bottom w:w="0" w:type="dxa"/>
            <w:right w:w="108" w:type="dxa"/>
          </w:tblCellMar>
        </w:tblPrEx>
        <w:trPr>
          <w:trHeight w:val="455" w:hRule="atLeast"/>
        </w:trPr>
        <w:tc>
          <w:tcPr>
            <w:tcW w:w="3687" w:type="dxa"/>
            <w:tcBorders>
              <w:bottom w:val="single" w:color="auto" w:sz="4" w:space="0"/>
            </w:tcBorders>
            <w:shd w:val="clear" w:color="FFFFFF" w:fill="FFFFFF"/>
            <w:vAlign w:val="center"/>
          </w:tcPr>
          <w:p>
            <w:pPr>
              <w:pageBreakBefore w:val="0"/>
              <w:jc w:val="center"/>
              <w:textAlignment w:val="auto"/>
            </w:pPr>
            <w:r>
              <w:rPr>
                <w:b/>
                <w:i w:val="0"/>
                <w:color w:val="000000"/>
                <w:position w:val="-1"/>
                <w:sz w:val="20"/>
                <w:u w:val="none"/>
              </w:rPr>
              <w:t>本年盈余</w:t>
            </w:r>
          </w:p>
        </w:tc>
        <w:tc>
          <w:tcPr>
            <w:tcW w:w="1417" w:type="dxa"/>
            <w:tcBorders>
              <w:bottom w:val="single" w:color="auto" w:sz="4" w:space="0"/>
            </w:tcBorders>
            <w:shd w:val="clear" w:color="FFFFFF" w:fill="FFFFFF"/>
            <w:vAlign w:val="center"/>
          </w:tcPr>
          <w:p>
            <w:pPr>
              <w:pageBreakBefore w:val="0"/>
              <w:jc w:val="center"/>
              <w:textAlignment w:val="auto"/>
            </w:pPr>
          </w:p>
        </w:tc>
        <w:tc>
          <w:tcPr>
            <w:tcW w:w="1985" w:type="dxa"/>
            <w:tcBorders>
              <w:bottom w:val="single" w:color="auto" w:sz="4" w:space="0"/>
            </w:tcBorders>
            <w:shd w:val="clear" w:color="FFFFFF" w:fill="FFFFFF"/>
            <w:vAlign w:val="center"/>
          </w:tcPr>
          <w:p>
            <w:pPr>
              <w:pageBreakBefore w:val="0"/>
              <w:jc w:val="right"/>
              <w:textAlignment w:val="auto"/>
            </w:pPr>
            <w:r>
              <w:rPr>
                <w:b w:val="0"/>
                <w:i w:val="0"/>
                <w:color w:val="000000"/>
                <w:position w:val="-1"/>
                <w:sz w:val="20"/>
                <w:u w:val="none"/>
              </w:rPr>
              <w:t>247.38</w:t>
            </w:r>
          </w:p>
        </w:tc>
        <w:tc>
          <w:tcPr>
            <w:tcW w:w="1984" w:type="dxa"/>
            <w:tcBorders>
              <w:bottom w:val="single" w:color="auto" w:sz="4" w:space="0"/>
            </w:tcBorders>
            <w:shd w:val="clear" w:color="FFFFFF" w:fill="FFFFFF"/>
            <w:vAlign w:val="center"/>
          </w:tcPr>
          <w:p>
            <w:pPr>
              <w:pageBreakBefore w:val="0"/>
              <w:jc w:val="right"/>
              <w:textAlignment w:val="auto"/>
            </w:pPr>
            <w:r>
              <w:rPr>
                <w:b w:val="0"/>
                <w:i w:val="0"/>
                <w:color w:val="000000"/>
                <w:position w:val="-1"/>
                <w:sz w:val="20"/>
                <w:u w:val="none"/>
              </w:rPr>
              <w:t>0.00</w:t>
            </w:r>
          </w:p>
        </w:tc>
      </w:tr>
    </w:tbl>
    <w:p>
      <w:pPr>
        <w:rPr>
          <w:sz w:val="22"/>
          <w:szCs w:val="22"/>
        </w:rPr>
      </w:pPr>
    </w:p>
    <w:p>
      <w:pPr>
        <w:rPr>
          <w:position w:val="9"/>
          <w:sz w:val="9"/>
          <w:szCs w:val="9"/>
        </w:rPr>
      </w:pPr>
    </w:p>
    <w:p>
      <w:pPr>
        <w:rPr>
          <w:position w:val="9"/>
          <w:sz w:val="9"/>
          <w:szCs w:val="9"/>
        </w:rPr>
      </w:pPr>
    </w:p>
    <w:p/>
    <w:p/>
    <w:p/>
    <w:p/>
    <w:p/>
    <w:p/>
    <w:p/>
    <w:p/>
    <w:p>
      <w:pPr>
        <w:spacing w:before="57" w:line="331" w:lineRule="auto"/>
        <w:ind w:left="217" w:right="371" w:hanging="1"/>
        <w:rPr>
          <w:sz w:val="18"/>
          <w:szCs w:val="18"/>
        </w:rPr>
      </w:pPr>
    </w:p>
    <w:p>
      <w:pPr>
        <w:spacing w:before="57" w:line="331" w:lineRule="auto"/>
        <w:ind w:left="217" w:right="371" w:hanging="1"/>
        <w:rPr>
          <w:sz w:val="18"/>
          <w:szCs w:val="18"/>
        </w:rPr>
      </w:pPr>
    </w:p>
    <w:p>
      <w:pPr>
        <w:spacing w:before="57" w:line="331" w:lineRule="auto"/>
        <w:ind w:left="217" w:right="371" w:hanging="1"/>
        <w:rPr>
          <w:sz w:val="18"/>
          <w:szCs w:val="18"/>
        </w:rPr>
      </w:pPr>
    </w:p>
    <w:p>
      <w:pPr>
        <w:spacing w:before="57" w:line="331" w:lineRule="auto"/>
        <w:ind w:left="217" w:right="371" w:hanging="1"/>
        <w:rPr>
          <w:sz w:val="18"/>
          <w:szCs w:val="18"/>
        </w:rPr>
      </w:pPr>
    </w:p>
    <w:p>
      <w:pPr>
        <w:spacing w:before="57" w:line="331" w:lineRule="auto"/>
        <w:ind w:left="217" w:right="371" w:hanging="1"/>
        <w:rPr>
          <w:sz w:val="18"/>
          <w:szCs w:val="18"/>
        </w:rPr>
      </w:pPr>
    </w:p>
    <w:p>
      <w:pPr>
        <w:pStyle w:val="3"/>
        <w:spacing w:before="0" w:after="0" w:line="360" w:lineRule="auto"/>
        <w:ind w:firstLine="602" w:firstLineChars="200"/>
        <w:jc w:val="left"/>
        <w:rPr>
          <w:rFonts w:asciiTheme="minorEastAsia" w:hAnsiTheme="minorEastAsia" w:eastAsiaTheme="minorEastAsia"/>
        </w:rPr>
      </w:pPr>
      <w:bookmarkStart w:id="44" w:name="_Toc35500806"/>
      <w:bookmarkStart w:id="45" w:name="_Toc35452580"/>
      <w:bookmarkStart w:id="46" w:name="_Toc333610272"/>
      <w:r>
        <w:rPr>
          <w:rFonts w:asciiTheme="minorEastAsia" w:hAnsiTheme="minorEastAsia" w:eastAsiaTheme="minorEastAsia"/>
        </w:rPr>
        <w:t>（二）政府部门会计报表附注</w:t>
      </w:r>
      <w:bookmarkEnd w:id="44"/>
      <w:bookmarkEnd w:id="45"/>
    </w:p>
    <w:p>
      <w:pPr>
        <w:pStyle w:val="4"/>
        <w:spacing w:before="0" w:after="0" w:line="360" w:lineRule="auto"/>
        <w:ind w:firstLine="602"/>
        <w:jc w:val="left"/>
        <w:rPr>
          <w:rFonts w:ascii="仿宋" w:hAnsi="仿宋" w:eastAsia="仿宋"/>
          <w:b/>
        </w:rPr>
      </w:pPr>
      <w:bookmarkStart w:id="47" w:name="1.会计报表编制基础。（略）"/>
      <w:bookmarkEnd w:id="47"/>
      <w:bookmarkStart w:id="48" w:name="2.遵循相关制度规定的声明。（略）"/>
      <w:bookmarkEnd w:id="48"/>
      <w:bookmarkStart w:id="49" w:name="_Toc35452581"/>
      <w:bookmarkStart w:id="50" w:name="_Toc35500807"/>
      <w:bookmarkStart w:id="51" w:name="_Toc35452582"/>
      <w:r>
        <w:rPr>
          <w:rFonts w:ascii="仿宋" w:hAnsi="仿宋" w:eastAsia="仿宋"/>
          <w:b/>
        </w:rPr>
        <w:t>1.会计报表编制基础。</w:t>
      </w:r>
      <w:bookmarkEnd w:id="49"/>
      <w:bookmarkEnd w:id="50"/>
    </w:p>
    <w:p>
      <w:pPr>
        <w:pStyle w:val="110"/>
        <w:ind w:firstLine="602"/>
        <w:jc w:val="both"/>
        <w:rPr>
          <w:rFonts w:hint="eastAsia" w:eastAsia="仿宋_GB2312"/>
          <w:color w:val="auto"/>
          <w:lang w:eastAsia="zh-CN"/>
        </w:rPr>
      </w:pPr>
      <w:r>
        <w:rPr>
          <w:rFonts w:hint="eastAsia" w:ascii="仿宋_GB2312" w:hAnsi="仿宋_GB2312" w:cs="仿宋_GB2312"/>
          <w:color w:val="auto"/>
          <w:szCs w:val="30"/>
        </w:rPr>
        <w:t>政府部门会计报表以权责发生制为基础编制</w:t>
      </w:r>
      <w:r>
        <w:rPr>
          <w:rFonts w:hint="eastAsia" w:ascii="仿宋_GB2312" w:hAnsi="仿宋_GB2312" w:cs="仿宋_GB2312"/>
          <w:color w:val="auto"/>
          <w:szCs w:val="30"/>
          <w:lang w:eastAsia="zh-CN"/>
        </w:rPr>
        <w:t>。</w:t>
      </w:r>
    </w:p>
    <w:p>
      <w:pPr>
        <w:spacing w:before="2"/>
        <w:rPr>
          <w:rFonts w:ascii="仿宋" w:hAnsi="仿宋" w:eastAsia="仿宋" w:cs="Times New Roman"/>
          <w:b/>
          <w:bCs/>
          <w:kern w:val="2"/>
          <w:sz w:val="30"/>
          <w:szCs w:val="28"/>
        </w:rPr>
      </w:pPr>
    </w:p>
    <w:p>
      <w:pPr>
        <w:pStyle w:val="4"/>
        <w:spacing w:before="0" w:after="0" w:line="360" w:lineRule="auto"/>
        <w:ind w:firstLine="602"/>
        <w:jc w:val="left"/>
        <w:rPr>
          <w:rFonts w:ascii="仿宋" w:hAnsi="仿宋" w:eastAsia="仿宋"/>
          <w:b/>
        </w:rPr>
      </w:pPr>
      <w:bookmarkStart w:id="52" w:name="_Toc35500808"/>
      <w:r>
        <w:rPr>
          <w:rFonts w:ascii="仿宋" w:hAnsi="仿宋" w:eastAsia="仿宋"/>
          <w:b/>
        </w:rPr>
        <w:t>2.遵循相关制度规定的声明。</w:t>
      </w:r>
      <w:bookmarkEnd w:id="51"/>
      <w:bookmarkEnd w:id="52"/>
    </w:p>
    <w:p>
      <w:pPr>
        <w:pStyle w:val="110"/>
        <w:spacing w:line="360" w:lineRule="auto"/>
        <w:ind w:firstLine="600"/>
        <w:jc w:val="both"/>
        <w:rPr>
          <w:rFonts w:ascii="仿宋_GB2312" w:hAnsi="仿宋_GB2312" w:cs="仿宋_GB2312"/>
          <w:color w:val="auto"/>
          <w:szCs w:val="30"/>
        </w:rPr>
      </w:pPr>
      <w:r>
        <w:rPr>
          <w:rFonts w:hint="eastAsia" w:ascii="仿宋_GB2312" w:hAnsi="仿宋_GB2312" w:cs="仿宋_GB2312"/>
          <w:color w:val="auto"/>
          <w:szCs w:val="30"/>
        </w:rPr>
        <w:t>政府部门应当声明编制的会计报表符合政府会计准则、相关会计制度和财务报告编制规定的要求，如实反映政府部门的财务状况、运行情况等有关信息。</w:t>
      </w:r>
    </w:p>
    <w:p>
      <w:pPr>
        <w:pStyle w:val="4"/>
        <w:numPr>
          <w:ilvl w:val="0"/>
          <w:numId w:val="1"/>
        </w:numPr>
        <w:spacing w:before="0" w:after="0" w:line="360" w:lineRule="auto"/>
        <w:ind w:firstLine="602"/>
        <w:jc w:val="left"/>
        <w:rPr>
          <w:rFonts w:ascii="仿宋" w:hAnsi="仿宋" w:eastAsia="仿宋"/>
          <w:b/>
        </w:rPr>
      </w:pPr>
      <w:bookmarkStart w:id="53" w:name="3.合并范围。（略）"/>
      <w:bookmarkEnd w:id="53"/>
      <w:bookmarkStart w:id="54" w:name="_Toc35452583"/>
      <w:bookmarkStart w:id="55" w:name="_Toc35500809"/>
      <w:r>
        <w:rPr>
          <w:rFonts w:ascii="仿宋" w:hAnsi="仿宋" w:eastAsia="仿宋"/>
          <w:b/>
        </w:rPr>
        <w:t>合并范围。</w:t>
      </w:r>
      <w:bookmarkEnd w:id="54"/>
      <w:bookmarkEnd w:id="55"/>
    </w:p>
    <w:tbl>
      <w:tblPr>
        <w:tblStyle w:val="41"/>
        <w:tblW w:w="8622" w:type="dxa"/>
        <w:jc w:val="center"/>
        <w:tblInd w:w="0" w:type="dxa"/>
        <w:tblLayout w:type="fixed"/>
        <w:tblCellMar>
          <w:top w:w="0" w:type="dxa"/>
          <w:left w:w="0" w:type="dxa"/>
          <w:bottom w:w="0" w:type="dxa"/>
          <w:right w:w="0" w:type="dxa"/>
        </w:tblCellMar>
      </w:tblPr>
      <w:tblGrid>
        <w:gridCol w:w="1031"/>
        <w:gridCol w:w="3910"/>
        <w:gridCol w:w="2230"/>
        <w:gridCol w:w="1451"/>
      </w:tblGrid>
      <w:tr>
        <w:tblPrEx>
          <w:tblLayout w:type="fixed"/>
          <w:tblCellMar>
            <w:top w:w="0" w:type="dxa"/>
            <w:left w:w="0" w:type="dxa"/>
            <w:bottom w:w="0" w:type="dxa"/>
            <w:right w:w="0" w:type="dxa"/>
          </w:tblCellMar>
        </w:tblPrEx>
        <w:trPr>
          <w:trHeight w:val="23" w:hRule="atLeast"/>
          <w:jc w:val="center"/>
        </w:trPr>
        <w:tc>
          <w:tcPr>
            <w:tcW w:w="8622" w:type="dxa"/>
            <w:gridSpan w:val="4"/>
            <w:tcBorders>
              <w:top w:val="nil"/>
              <w:left w:val="nil"/>
              <w:bottom w:val="single" w:color="auto" w:sz="4" w:space="0"/>
              <w:right w:val="nil"/>
            </w:tcBorders>
            <w:shd w:val="clear" w:color="FFFFFF" w:fill="FFFFFF"/>
          </w:tcPr>
          <w:p>
            <w:pPr>
              <w:pStyle w:val="144"/>
              <w:spacing w:line="260" w:lineRule="exact"/>
              <w:jc w:val="center"/>
              <w:rPr>
                <w:rFonts w:ascii="宋体" w:hAnsi="宋体" w:eastAsia="宋体" w:cs="宋体"/>
                <w:b/>
                <w:bCs/>
                <w:sz w:val="20"/>
                <w:szCs w:val="20"/>
              </w:rPr>
            </w:pPr>
            <w:r>
              <w:rPr>
                <w:rFonts w:ascii="宋体" w:hAnsi="宋体" w:eastAsia="宋体" w:cs="宋体"/>
                <w:b/>
                <w:bCs/>
                <w:sz w:val="20"/>
                <w:szCs w:val="20"/>
              </w:rPr>
              <w:t>××年度部门清单</w:t>
            </w:r>
          </w:p>
        </w:tc>
      </w:tr>
      <w:tr>
        <w:tblPrEx>
          <w:tblLayout w:type="fixed"/>
          <w:tblCellMar>
            <w:top w:w="0" w:type="dxa"/>
            <w:left w:w="0" w:type="dxa"/>
            <w:bottom w:w="0" w:type="dxa"/>
            <w:right w:w="0" w:type="dxa"/>
          </w:tblCellMar>
        </w:tblPrEx>
        <w:trPr>
          <w:trHeight w:val="23" w:hRule="atLeast"/>
          <w:jc w:val="center"/>
        </w:trPr>
        <w:tc>
          <w:tcPr>
            <w:tcW w:w="1031" w:type="dxa"/>
            <w:tcBorders>
              <w:top w:val="single" w:color="auto" w:sz="4" w:space="0"/>
              <w:left w:val="nil"/>
              <w:bottom w:val="single" w:color="auto" w:sz="4" w:space="0"/>
              <w:right w:val="nil"/>
            </w:tcBorders>
            <w:shd w:val="clear" w:color="FFFFFF" w:fill="FFFFFF"/>
          </w:tcPr>
          <w:p>
            <w:pPr>
              <w:pStyle w:val="144"/>
              <w:spacing w:before="40"/>
              <w:jc w:val="center"/>
              <w:rPr>
                <w:rFonts w:ascii="宋体" w:hAnsi="宋体" w:eastAsia="宋体" w:cs="宋体"/>
                <w:sz w:val="20"/>
                <w:szCs w:val="20"/>
              </w:rPr>
            </w:pPr>
            <w:r>
              <w:rPr>
                <w:rFonts w:ascii="宋体" w:hAnsi="宋体" w:eastAsia="宋体" w:cs="宋体"/>
                <w:b/>
                <w:bCs/>
                <w:sz w:val="20"/>
                <w:szCs w:val="20"/>
              </w:rPr>
              <w:t>序号</w:t>
            </w:r>
          </w:p>
        </w:tc>
        <w:tc>
          <w:tcPr>
            <w:tcW w:w="3910" w:type="dxa"/>
            <w:tcBorders>
              <w:top w:val="single" w:color="auto" w:sz="4" w:space="0"/>
              <w:left w:val="nil"/>
              <w:bottom w:val="single" w:color="auto" w:sz="4" w:space="0"/>
              <w:right w:val="nil"/>
            </w:tcBorders>
            <w:shd w:val="clear" w:color="FFFFFF" w:fill="FFFFFF"/>
          </w:tcPr>
          <w:p>
            <w:pPr>
              <w:pStyle w:val="144"/>
              <w:spacing w:before="40"/>
              <w:jc w:val="center"/>
              <w:rPr>
                <w:rFonts w:ascii="宋体" w:hAnsi="宋体" w:eastAsia="宋体" w:cs="宋体"/>
                <w:sz w:val="20"/>
                <w:szCs w:val="20"/>
              </w:rPr>
            </w:pPr>
            <w:r>
              <w:rPr>
                <w:rFonts w:hint="eastAsia" w:ascii="宋体" w:hAnsi="宋体" w:eastAsia="宋体" w:cs="宋体"/>
                <w:b/>
                <w:bCs/>
                <w:sz w:val="20"/>
                <w:szCs w:val="20"/>
              </w:rPr>
              <w:t>单位名称</w:t>
            </w:r>
          </w:p>
        </w:tc>
        <w:tc>
          <w:tcPr>
            <w:tcW w:w="2230" w:type="dxa"/>
            <w:tcBorders>
              <w:top w:val="single" w:color="auto" w:sz="4" w:space="0"/>
              <w:left w:val="nil"/>
              <w:bottom w:val="single" w:color="auto" w:sz="4" w:space="0"/>
              <w:right w:val="nil"/>
            </w:tcBorders>
            <w:shd w:val="clear" w:color="FFFFFF" w:fill="FFFFFF"/>
          </w:tcPr>
          <w:p>
            <w:pPr>
              <w:pStyle w:val="144"/>
              <w:spacing w:before="40"/>
              <w:jc w:val="center"/>
              <w:rPr>
                <w:rFonts w:hint="default" w:ascii="宋体" w:hAnsi="宋体" w:eastAsia="宋体" w:cs="宋体"/>
                <w:b/>
                <w:bCs/>
                <w:sz w:val="20"/>
                <w:szCs w:val="20"/>
                <w:lang w:val="en-US" w:eastAsia="zh-CN"/>
              </w:rPr>
            </w:pPr>
            <w:r>
              <w:rPr>
                <w:rFonts w:hint="eastAsia" w:ascii="宋体" w:hAnsi="宋体" w:eastAsia="宋体" w:cs="宋体"/>
                <w:b/>
                <w:bCs/>
                <w:sz w:val="20"/>
                <w:szCs w:val="20"/>
                <w:lang w:val="en-US" w:eastAsia="zh-CN"/>
              </w:rPr>
              <w:t>单位性质</w:t>
            </w:r>
          </w:p>
        </w:tc>
        <w:tc>
          <w:tcPr>
            <w:tcW w:w="1451" w:type="dxa"/>
            <w:tcBorders>
              <w:top w:val="single" w:color="auto" w:sz="4" w:space="0"/>
              <w:left w:val="nil"/>
              <w:bottom w:val="single" w:color="auto" w:sz="4" w:space="0"/>
              <w:right w:val="nil"/>
            </w:tcBorders>
            <w:shd w:val="clear" w:color="FFFFFF" w:fill="FFFFFF"/>
          </w:tcPr>
          <w:p>
            <w:pPr>
              <w:pStyle w:val="144"/>
              <w:spacing w:before="40"/>
              <w:jc w:val="center"/>
              <w:rPr>
                <w:rFonts w:ascii="宋体" w:hAnsi="宋体" w:eastAsia="宋体" w:cs="宋体"/>
                <w:sz w:val="20"/>
                <w:szCs w:val="20"/>
              </w:rPr>
            </w:pPr>
            <w:r>
              <w:rPr>
                <w:rFonts w:hint="eastAsia" w:ascii="宋体" w:hAnsi="宋体" w:eastAsia="宋体" w:cs="宋体"/>
                <w:b/>
                <w:bCs/>
                <w:sz w:val="20"/>
                <w:szCs w:val="20"/>
              </w:rPr>
              <w:t>实有人数</w:t>
            </w:r>
          </w:p>
        </w:tc>
      </w:tr>
      <w:tr>
        <w:tblPrEx>
          <w:tblLayout w:type="fixed"/>
          <w:tblCellMar>
            <w:top w:w="0" w:type="dxa"/>
            <w:left w:w="0" w:type="dxa"/>
            <w:bottom w:w="0" w:type="dxa"/>
            <w:right w:w="0" w:type="dxa"/>
          </w:tblCellMar>
        </w:tblPrEx>
        <w:trPr>
          <w:trHeight w:val="23" w:hRule="exact"/>
          <w:jc w:val="center"/>
        </w:trPr>
        <w:tc>
          <w:tcPr>
            <w:tcW w:w="1031" w:type="dxa"/>
            <w:tcBorders>
              <w:top w:val="single" w:color="auto" w:sz="4" w:space="0"/>
              <w:left w:val="nil"/>
              <w:bottom w:val="nil"/>
              <w:right w:val="nil"/>
            </w:tcBorders>
            <w:shd w:val="clear" w:color="FFFFFF" w:fill="FFFFFF"/>
          </w:tcPr>
          <w:p>
            <w:pPr>
              <w:pStyle w:val="144"/>
              <w:spacing w:before="40"/>
              <w:ind w:left="460"/>
              <w:rPr>
                <w:rFonts w:ascii="宋体" w:hAnsi="宋体" w:eastAsia="宋体" w:cs="宋体"/>
                <w:b/>
                <w:bCs/>
                <w:sz w:val="20"/>
                <w:szCs w:val="20"/>
              </w:rPr>
            </w:pPr>
          </w:p>
        </w:tc>
        <w:tc>
          <w:tcPr>
            <w:tcW w:w="3910" w:type="dxa"/>
            <w:tcBorders>
              <w:top w:val="single" w:color="auto" w:sz="4" w:space="0"/>
              <w:left w:val="nil"/>
              <w:bottom w:val="nil"/>
              <w:right w:val="single" w:color="auto" w:sz="4" w:space="0"/>
            </w:tcBorders>
            <w:shd w:val="clear" w:color="FFFFFF" w:fill="FFFFFF"/>
          </w:tcPr>
          <w:p>
            <w:pPr>
              <w:pStyle w:val="144"/>
              <w:spacing w:before="40"/>
              <w:ind w:left="759"/>
              <w:rPr>
                <w:rFonts w:ascii="宋体" w:hAnsi="宋体" w:eastAsia="宋体" w:cs="宋体"/>
                <w:b/>
                <w:bCs/>
                <w:sz w:val="20"/>
                <w:szCs w:val="20"/>
              </w:rPr>
            </w:pPr>
          </w:p>
        </w:tc>
        <w:tc>
          <w:tcPr>
            <w:tcW w:w="2230" w:type="dxa"/>
            <w:tcBorders>
              <w:top w:val="single" w:color="auto" w:sz="4" w:space="0"/>
              <w:left w:val="single" w:color="auto" w:sz="4" w:space="0"/>
              <w:bottom w:val="nil"/>
              <w:right w:val="nil"/>
            </w:tcBorders>
            <w:shd w:val="clear" w:color="FFFFFF" w:fill="FFFFFF"/>
          </w:tcPr>
          <w:p>
            <w:pPr>
              <w:pStyle w:val="144"/>
              <w:spacing w:before="40"/>
              <w:ind w:left="759"/>
              <w:rPr>
                <w:rFonts w:ascii="宋体" w:hAnsi="宋体" w:eastAsia="宋体" w:cs="宋体"/>
                <w:b/>
                <w:bCs/>
                <w:sz w:val="20"/>
                <w:szCs w:val="20"/>
              </w:rPr>
            </w:pPr>
          </w:p>
        </w:tc>
        <w:tc>
          <w:tcPr>
            <w:tcW w:w="1451" w:type="dxa"/>
            <w:tcBorders>
              <w:top w:val="single" w:color="auto" w:sz="4" w:space="0"/>
              <w:left w:val="nil"/>
              <w:bottom w:val="nil"/>
              <w:right w:val="nil"/>
            </w:tcBorders>
            <w:shd w:val="clear" w:color="FFFFFF" w:fill="FFFFFF"/>
          </w:tcPr>
          <w:p>
            <w:pPr>
              <w:pStyle w:val="144"/>
              <w:spacing w:before="40"/>
              <w:ind w:left="601"/>
              <w:rPr>
                <w:rFonts w:ascii="宋体" w:hAnsi="宋体" w:eastAsia="宋体" w:cs="宋体"/>
                <w:b/>
                <w:bCs/>
                <w:sz w:val="20"/>
                <w:szCs w:val="20"/>
              </w:rPr>
            </w:pPr>
          </w:p>
        </w:tc>
      </w:tr>
      <w:tr>
        <w:tblPrEx>
          <w:tblLayout w:type="fixed"/>
          <w:tblCellMar>
            <w:top w:w="0" w:type="dxa"/>
            <w:left w:w="0" w:type="dxa"/>
            <w:bottom w:w="0" w:type="dxa"/>
            <w:right w:w="0" w:type="dxa"/>
          </w:tblCellMar>
        </w:tblPrEx>
        <w:trPr>
          <w:trHeight w:val="23" w:hRule="atLeast"/>
          <w:jc w:val="center"/>
        </w:trPr>
        <w:tc>
          <w:tcPr>
            <w:tcW w:w="1031" w:type="dxa"/>
            <w:tcBorders>
              <w:top w:val="nil"/>
              <w:left w:val="nil"/>
              <w:bottom w:val="nil"/>
              <w:right w:val="nil"/>
            </w:tcBorders>
            <w:shd w:val="clear" w:color="FFFFFF" w:fill="FFFFFF"/>
          </w:tcPr>
          <w:p>
            <w:pPr>
              <w:pageBreakBefore w:val="0"/>
              <w:spacing w:before="40"/>
              <w:jc w:val="center"/>
              <w:textAlignment w:val="auto"/>
            </w:pPr>
            <w:r>
              <w:rPr>
                <w:rFonts w:ascii="Times New Roman" w:hAnsi="Times New Roman" w:eastAsia="Times New Roman" w:cs="Times New Roman"/>
                <w:b w:val="0"/>
                <w:i w:val="0"/>
                <w:color w:val="000000"/>
                <w:position w:val="-1"/>
                <w:sz w:val="20"/>
                <w:u w:val="none"/>
              </w:rPr>
              <w:t>1</w:t>
            </w:r>
          </w:p>
        </w:tc>
        <w:tc>
          <w:tcPr>
            <w:tcW w:w="3910" w:type="dxa"/>
            <w:tcBorders>
              <w:top w:val="nil"/>
              <w:left w:val="nil"/>
              <w:bottom w:val="nil"/>
              <w:right w:val="nil"/>
            </w:tcBorders>
            <w:shd w:val="clear" w:color="FFFFFF" w:fill="FFFFFF"/>
          </w:tcPr>
          <w:p>
            <w:pPr>
              <w:pageBreakBefore w:val="0"/>
              <w:spacing w:before="40"/>
              <w:jc w:val="center"/>
              <w:textAlignment w:val="auto"/>
            </w:pPr>
            <w:r>
              <w:rPr>
                <w:rFonts w:ascii="Times New Roman" w:hAnsi="Times New Roman" w:eastAsia="Times New Roman" w:cs="Times New Roman"/>
                <w:b w:val="0"/>
                <w:i w:val="0"/>
                <w:color w:val="000000"/>
                <w:position w:val="-1"/>
                <w:sz w:val="20"/>
                <w:u w:val="none"/>
              </w:rPr>
              <w:t>重庆市秀山土家族苗族自治县医疗保障局</w:t>
            </w:r>
          </w:p>
        </w:tc>
        <w:tc>
          <w:tcPr>
            <w:tcW w:w="2230" w:type="dxa"/>
            <w:tcBorders>
              <w:top w:val="nil"/>
              <w:left w:val="nil"/>
              <w:bottom w:val="nil"/>
              <w:right w:val="nil"/>
            </w:tcBorders>
            <w:shd w:val="clear" w:color="FFFFFF" w:fill="FFFFFF"/>
          </w:tcPr>
          <w:p>
            <w:pPr>
              <w:pageBreakBefore w:val="0"/>
              <w:spacing w:before="40"/>
              <w:jc w:val="center"/>
              <w:textAlignment w:val="auto"/>
            </w:pPr>
            <w:r>
              <w:rPr>
                <w:rFonts w:ascii="Times New Roman" w:hAnsi="Times New Roman" w:eastAsia="Times New Roman" w:cs="Times New Roman"/>
                <w:b w:val="0"/>
                <w:i w:val="0"/>
                <w:color w:val="000000"/>
                <w:position w:val="-1"/>
                <w:sz w:val="20"/>
                <w:u w:val="none"/>
              </w:rPr>
              <w:t>行政单位</w:t>
            </w:r>
          </w:p>
        </w:tc>
        <w:tc>
          <w:tcPr>
            <w:tcW w:w="1451" w:type="dxa"/>
            <w:tcBorders>
              <w:top w:val="nil"/>
              <w:left w:val="nil"/>
              <w:bottom w:val="nil"/>
              <w:right w:val="nil"/>
            </w:tcBorders>
            <w:shd w:val="clear" w:color="FFFFFF" w:fill="FFFFFF"/>
          </w:tcPr>
          <w:p>
            <w:pPr>
              <w:pageBreakBefore w:val="0"/>
              <w:spacing w:before="40"/>
              <w:jc w:val="center"/>
              <w:textAlignment w:val="auto"/>
            </w:pPr>
            <w:r>
              <w:rPr>
                <w:rFonts w:ascii="Times New Roman" w:hAnsi="Times New Roman" w:eastAsia="Times New Roman" w:cs="Times New Roman"/>
                <w:b w:val="0"/>
                <w:i w:val="0"/>
                <w:color w:val="000000"/>
                <w:position w:val="-1"/>
                <w:sz w:val="20"/>
                <w:u w:val="none"/>
              </w:rPr>
              <w:t>6</w:t>
            </w:r>
          </w:p>
        </w:tc>
      </w:tr>
    </w:tbl>
    <w:p>
      <w:pPr>
        <w:numPr>
          <w:ilvl w:val="0"/>
          <w:numId w:val="0"/>
        </w:numPr>
      </w:pPr>
    </w:p>
    <w:p>
      <w:pPr>
        <w:keepNext w:val="0"/>
        <w:keepLines w:val="0"/>
        <w:pageBreakBefore w:val="0"/>
        <w:widowControl/>
        <w:kinsoku/>
        <w:wordWrap/>
        <w:overflowPunct/>
        <w:topLinePunct w:val="0"/>
        <w:autoSpaceDE/>
        <w:autoSpaceDN/>
        <w:bidi w:val="0"/>
        <w:adjustRightInd/>
        <w:snapToGrid/>
        <w:spacing w:line="360" w:lineRule="auto"/>
        <w:ind w:firstLine="482"/>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rPr>
        <w:t>秀山</w:t>
      </w:r>
      <w:r>
        <w:rPr>
          <w:rFonts w:hint="eastAsia" w:ascii="仿宋" w:hAnsi="仿宋" w:eastAsia="仿宋" w:cs="仿宋"/>
          <w:sz w:val="30"/>
          <w:szCs w:val="30"/>
          <w:lang w:eastAsia="zh-CN"/>
        </w:rPr>
        <w:t>土家族苗族自治县</w:t>
      </w:r>
      <w:r>
        <w:rPr>
          <w:rFonts w:hint="eastAsia" w:ascii="仿宋" w:hAnsi="仿宋" w:eastAsia="仿宋" w:cs="仿宋"/>
          <w:sz w:val="30"/>
          <w:szCs w:val="30"/>
        </w:rPr>
        <w:t>医疗保障局</w:t>
      </w:r>
      <w:r>
        <w:rPr>
          <w:rFonts w:hint="eastAsia" w:ascii="仿宋" w:hAnsi="仿宋" w:eastAsia="仿宋" w:cs="仿宋"/>
          <w:sz w:val="30"/>
          <w:szCs w:val="30"/>
          <w:lang w:eastAsia="zh-CN"/>
        </w:rPr>
        <w:t>因国家机构改革于</w:t>
      </w:r>
      <w:r>
        <w:rPr>
          <w:rFonts w:hint="eastAsia" w:ascii="仿宋" w:hAnsi="仿宋" w:eastAsia="仿宋" w:cs="仿宋"/>
          <w:sz w:val="30"/>
          <w:szCs w:val="30"/>
        </w:rPr>
        <w:t>2019年3月组建成立的政府工作部门，为正科级</w:t>
      </w:r>
      <w:r>
        <w:rPr>
          <w:rFonts w:hint="eastAsia" w:ascii="仿宋" w:hAnsi="仿宋" w:eastAsia="仿宋" w:cs="仿宋"/>
          <w:sz w:val="30"/>
          <w:szCs w:val="30"/>
          <w:lang w:eastAsia="zh-CN"/>
        </w:rPr>
        <w:t>行政单位</w:t>
      </w:r>
      <w:r>
        <w:rPr>
          <w:rFonts w:hint="eastAsia" w:ascii="仿宋" w:hAnsi="仿宋" w:eastAsia="仿宋" w:cs="仿宋"/>
          <w:sz w:val="30"/>
          <w:szCs w:val="30"/>
        </w:rPr>
        <w:t>。负责管理秀山县医疗保障事务中心（简称县医保中心）和秀山县医药价格招标采购服务中心（简称县招采中心），其中县医保中心为正科级公益一类管理事业单位、县招采中心为副科级公益一类事业单位。局机关下设3个内设机构，</w:t>
      </w:r>
      <w:r>
        <w:rPr>
          <w:rFonts w:hint="eastAsia" w:ascii="仿宋" w:hAnsi="仿宋" w:eastAsia="仿宋" w:cs="仿宋"/>
          <w:sz w:val="30"/>
          <w:szCs w:val="30"/>
          <w:lang w:eastAsia="zh-CN"/>
        </w:rPr>
        <w:t>分别为办公室、医疗保障科、基金监管科。局机关人员编制数</w:t>
      </w:r>
      <w:r>
        <w:rPr>
          <w:rFonts w:hint="eastAsia" w:ascii="仿宋" w:hAnsi="仿宋" w:eastAsia="仿宋" w:cs="仿宋"/>
          <w:sz w:val="30"/>
          <w:szCs w:val="30"/>
        </w:rPr>
        <w:t>6名，</w:t>
      </w:r>
      <w:r>
        <w:rPr>
          <w:rFonts w:hint="eastAsia" w:ascii="仿宋" w:hAnsi="仿宋" w:eastAsia="仿宋" w:cs="仿宋"/>
          <w:sz w:val="30"/>
          <w:szCs w:val="30"/>
          <w:lang w:eastAsia="zh-CN"/>
        </w:rPr>
        <w:t>实有人数</w:t>
      </w:r>
      <w:r>
        <w:rPr>
          <w:rFonts w:hint="eastAsia" w:ascii="仿宋" w:hAnsi="仿宋" w:eastAsia="仿宋" w:cs="仿宋"/>
          <w:sz w:val="30"/>
          <w:szCs w:val="30"/>
          <w:lang w:val="en-US" w:eastAsia="zh-CN"/>
        </w:rPr>
        <w:t>6名（行政人员）。</w:t>
      </w:r>
    </w:p>
    <w:p>
      <w:pPr>
        <w:keepNext w:val="0"/>
        <w:keepLines w:val="0"/>
        <w:pageBreakBefore w:val="0"/>
        <w:widowControl/>
        <w:kinsoku/>
        <w:wordWrap/>
        <w:overflowPunct/>
        <w:topLinePunct w:val="0"/>
        <w:autoSpaceDE/>
        <w:autoSpaceDN/>
        <w:bidi w:val="0"/>
        <w:adjustRightInd/>
        <w:snapToGrid/>
        <w:spacing w:line="360" w:lineRule="auto"/>
        <w:ind w:firstLine="482"/>
        <w:textAlignment w:val="auto"/>
        <w:outlineLvl w:val="9"/>
      </w:pPr>
      <w:r>
        <w:rPr>
          <w:rFonts w:hint="eastAsia" w:ascii="仿宋" w:hAnsi="仿宋" w:eastAsia="仿宋" w:cs="仿宋"/>
          <w:bCs w:val="0"/>
          <w:color w:val="000000" w:themeColor="text1"/>
          <w:kern w:val="0"/>
          <w:sz w:val="30"/>
          <w:szCs w:val="30"/>
          <w:lang w:eastAsia="zh-CN"/>
          <w14:textFill>
            <w14:solidFill>
              <w14:schemeClr w14:val="tx1"/>
            </w14:solidFill>
          </w14:textFill>
        </w:rPr>
        <w:t>由于</w:t>
      </w:r>
      <w:r>
        <w:rPr>
          <w:rFonts w:hint="eastAsia" w:ascii="仿宋" w:hAnsi="仿宋" w:eastAsia="仿宋" w:cs="仿宋"/>
          <w:bCs w:val="0"/>
          <w:color w:val="000000" w:themeColor="text1"/>
          <w:kern w:val="0"/>
          <w:sz w:val="30"/>
          <w:szCs w:val="30"/>
          <w14:textFill>
            <w14:solidFill>
              <w14:schemeClr w14:val="tx1"/>
            </w14:solidFill>
          </w14:textFill>
        </w:rPr>
        <w:t>2019年</w:t>
      </w:r>
      <w:r>
        <w:rPr>
          <w:rFonts w:hint="eastAsia" w:ascii="仿宋" w:hAnsi="仿宋" w:eastAsia="仿宋" w:cs="仿宋"/>
          <w:bCs w:val="0"/>
          <w:color w:val="000000" w:themeColor="text1"/>
          <w:kern w:val="0"/>
          <w:sz w:val="30"/>
          <w:szCs w:val="30"/>
          <w:lang w:eastAsia="zh-CN"/>
          <w14:textFill>
            <w14:solidFill>
              <w14:schemeClr w14:val="tx1"/>
            </w14:solidFill>
          </w14:textFill>
        </w:rPr>
        <w:t>度局机关负责管理的两个中心</w:t>
      </w:r>
      <w:r>
        <w:rPr>
          <w:rFonts w:hint="eastAsia" w:ascii="仿宋" w:hAnsi="仿宋" w:eastAsia="仿宋" w:cs="仿宋"/>
          <w:bCs w:val="0"/>
          <w:color w:val="000000" w:themeColor="text1"/>
          <w:kern w:val="0"/>
          <w:sz w:val="30"/>
          <w:szCs w:val="30"/>
          <w14:textFill>
            <w14:solidFill>
              <w14:schemeClr w14:val="tx1"/>
            </w14:solidFill>
          </w14:textFill>
        </w:rPr>
        <w:t>三定方案未确定，</w:t>
      </w:r>
      <w:r>
        <w:rPr>
          <w:rFonts w:hint="eastAsia" w:ascii="仿宋" w:hAnsi="仿宋" w:eastAsia="仿宋" w:cs="仿宋"/>
          <w:bCs w:val="0"/>
          <w:color w:val="000000" w:themeColor="text1"/>
          <w:kern w:val="0"/>
          <w:sz w:val="30"/>
          <w:szCs w:val="30"/>
          <w:lang w:eastAsia="zh-CN"/>
          <w14:textFill>
            <w14:solidFill>
              <w14:schemeClr w14:val="tx1"/>
            </w14:solidFill>
          </w14:textFill>
        </w:rPr>
        <w:t>因此存在</w:t>
      </w:r>
      <w:r>
        <w:rPr>
          <w:rFonts w:hint="eastAsia" w:ascii="仿宋" w:hAnsi="仿宋" w:eastAsia="仿宋" w:cs="仿宋"/>
          <w:bCs w:val="0"/>
          <w:color w:val="000000" w:themeColor="text1"/>
          <w:kern w:val="0"/>
          <w:sz w:val="30"/>
          <w:szCs w:val="30"/>
          <w:lang w:val="en-US" w:eastAsia="zh-CN"/>
          <w14:textFill>
            <w14:solidFill>
              <w14:schemeClr w14:val="tx1"/>
            </w14:solidFill>
          </w14:textFill>
        </w:rPr>
        <w:t>20名人员（</w:t>
      </w:r>
      <w:r>
        <w:rPr>
          <w:rFonts w:hint="eastAsia" w:ascii="仿宋" w:hAnsi="仿宋" w:eastAsia="仿宋" w:cs="仿宋"/>
          <w:bCs w:val="0"/>
          <w:color w:val="000000" w:themeColor="text1"/>
          <w:kern w:val="0"/>
          <w:sz w:val="30"/>
          <w:szCs w:val="30"/>
          <w14:textFill>
            <w14:solidFill>
              <w14:schemeClr w14:val="tx1"/>
            </w14:solidFill>
          </w14:textFill>
        </w:rPr>
        <w:t>16名参公人员，4名事业人员</w:t>
      </w:r>
      <w:r>
        <w:rPr>
          <w:rFonts w:hint="eastAsia" w:ascii="仿宋" w:hAnsi="仿宋" w:eastAsia="仿宋" w:cs="仿宋"/>
          <w:bCs w:val="0"/>
          <w:color w:val="000000" w:themeColor="text1"/>
          <w:kern w:val="0"/>
          <w:sz w:val="30"/>
          <w:szCs w:val="30"/>
          <w:lang w:val="en-US" w:eastAsia="zh-CN"/>
          <w14:textFill>
            <w14:solidFill>
              <w14:schemeClr w14:val="tx1"/>
            </w14:solidFill>
          </w14:textFill>
        </w:rPr>
        <w:t>）于2019年3月在医保局实地办公，编制仍在社保局的情况</w:t>
      </w:r>
      <w:r>
        <w:rPr>
          <w:rFonts w:hint="eastAsia" w:ascii="仿宋" w:hAnsi="仿宋" w:eastAsia="仿宋" w:cs="仿宋"/>
          <w:bCs w:val="0"/>
          <w:color w:val="000000" w:themeColor="text1"/>
          <w:kern w:val="0"/>
          <w:sz w:val="30"/>
          <w:szCs w:val="30"/>
          <w14:textFill>
            <w14:solidFill>
              <w14:schemeClr w14:val="tx1"/>
            </w14:solidFill>
          </w14:textFill>
        </w:rPr>
        <w:t>。</w:t>
      </w:r>
    </w:p>
    <w:p>
      <w:pPr>
        <w:pStyle w:val="4"/>
        <w:spacing w:before="0" w:after="0" w:line="360" w:lineRule="auto"/>
        <w:ind w:firstLine="602"/>
        <w:jc w:val="left"/>
        <w:rPr>
          <w:rFonts w:ascii="仿宋" w:hAnsi="仿宋" w:eastAsia="仿宋"/>
          <w:b/>
        </w:rPr>
      </w:pPr>
      <w:bookmarkStart w:id="56" w:name="4.重要会计政策与会计估计变更情况。（略）"/>
      <w:bookmarkEnd w:id="56"/>
      <w:bookmarkStart w:id="57" w:name="_Toc35500810"/>
      <w:bookmarkStart w:id="58" w:name="_Toc35452584"/>
      <w:r>
        <w:rPr>
          <w:rFonts w:ascii="仿宋" w:hAnsi="仿宋" w:eastAsia="仿宋"/>
          <w:b/>
        </w:rPr>
        <w:t>4.重要会计政策与会计估计变更情况。</w:t>
      </w:r>
      <w:bookmarkEnd w:id="57"/>
      <w:bookmarkEnd w:id="58"/>
    </w:p>
    <w:p>
      <w:pPr>
        <w:pStyle w:val="110"/>
        <w:spacing w:line="360" w:lineRule="auto"/>
        <w:ind w:firstLine="600"/>
        <w:rPr>
          <w:rFonts w:ascii="仿宋_GB2312" w:hAnsi="仿宋_GB2312" w:cs="仿宋_GB2312"/>
          <w:color w:val="000000" w:themeColor="text1"/>
          <w:szCs w:val="30"/>
          <w14:textFill>
            <w14:solidFill>
              <w14:schemeClr w14:val="tx1"/>
            </w14:solidFill>
          </w14:textFill>
        </w:rPr>
      </w:pPr>
      <w:r>
        <w:rPr>
          <w:rFonts w:hint="eastAsia" w:ascii="仿宋_GB2312" w:hAnsi="仿宋_GB2312" w:cs="仿宋_GB2312"/>
          <w:color w:val="000000" w:themeColor="text1"/>
          <w:szCs w:val="30"/>
          <w14:textFill>
            <w14:solidFill>
              <w14:schemeClr w14:val="tx1"/>
            </w14:solidFill>
          </w14:textFill>
        </w:rPr>
        <w:t>（</w:t>
      </w:r>
      <w:r>
        <w:rPr>
          <w:rFonts w:ascii="仿宋_GB2312" w:hAnsi="仿宋_GB2312" w:cs="仿宋_GB2312"/>
          <w:color w:val="000000" w:themeColor="text1"/>
          <w:szCs w:val="30"/>
          <w14:textFill>
            <w14:solidFill>
              <w14:schemeClr w14:val="tx1"/>
            </w14:solidFill>
          </w14:textFill>
        </w:rPr>
        <w:t>1</w:t>
      </w:r>
      <w:r>
        <w:rPr>
          <w:rFonts w:hint="eastAsia" w:ascii="仿宋_GB2312" w:hAnsi="仿宋_GB2312" w:cs="仿宋_GB2312"/>
          <w:color w:val="000000" w:themeColor="text1"/>
          <w:szCs w:val="30"/>
          <w14:textFill>
            <w14:solidFill>
              <w14:schemeClr w14:val="tx1"/>
            </w14:solidFill>
          </w14:textFill>
        </w:rPr>
        <w:t>）会计期间。2019年1月</w:t>
      </w:r>
      <w:r>
        <w:rPr>
          <w:rFonts w:ascii="仿宋_GB2312" w:hAnsi="仿宋_GB2312" w:cs="仿宋_GB2312"/>
          <w:color w:val="000000" w:themeColor="text1"/>
          <w:szCs w:val="30"/>
          <w14:textFill>
            <w14:solidFill>
              <w14:schemeClr w14:val="tx1"/>
            </w14:solidFill>
          </w14:textFill>
        </w:rPr>
        <w:t>—</w:t>
      </w:r>
      <w:r>
        <w:rPr>
          <w:rFonts w:hint="eastAsia" w:ascii="仿宋_GB2312" w:hAnsi="仿宋_GB2312" w:cs="仿宋_GB2312"/>
          <w:color w:val="000000" w:themeColor="text1"/>
          <w:szCs w:val="30"/>
          <w14:textFill>
            <w14:solidFill>
              <w14:schemeClr w14:val="tx1"/>
            </w14:solidFill>
          </w14:textFill>
        </w:rPr>
        <w:t>2019年12月</w:t>
      </w:r>
    </w:p>
    <w:p>
      <w:pPr>
        <w:pStyle w:val="110"/>
        <w:spacing w:line="360" w:lineRule="auto"/>
        <w:ind w:firstLine="600"/>
        <w:rPr>
          <w:rFonts w:hint="eastAsia" w:ascii="仿宋_GB2312" w:hAnsi="仿宋_GB2312" w:eastAsia="仿宋_GB2312" w:cs="仿宋_GB2312"/>
          <w:color w:val="000000" w:themeColor="text1"/>
          <w:szCs w:val="30"/>
          <w:lang w:eastAsia="zh-CN"/>
          <w14:textFill>
            <w14:solidFill>
              <w14:schemeClr w14:val="tx1"/>
            </w14:solidFill>
          </w14:textFill>
        </w:rPr>
      </w:pPr>
      <w:r>
        <w:rPr>
          <w:rFonts w:hint="eastAsia" w:ascii="仿宋_GB2312" w:hAnsi="仿宋_GB2312" w:cs="仿宋_GB2312"/>
          <w:color w:val="000000" w:themeColor="text1"/>
          <w:szCs w:val="30"/>
          <w14:textFill>
            <w14:solidFill>
              <w14:schemeClr w14:val="tx1"/>
            </w14:solidFill>
          </w14:textFill>
        </w:rPr>
        <w:t>（</w:t>
      </w:r>
      <w:r>
        <w:rPr>
          <w:rFonts w:ascii="仿宋_GB2312" w:hAnsi="仿宋_GB2312" w:cs="仿宋_GB2312"/>
          <w:color w:val="000000" w:themeColor="text1"/>
          <w:szCs w:val="30"/>
          <w14:textFill>
            <w14:solidFill>
              <w14:schemeClr w14:val="tx1"/>
            </w14:solidFill>
          </w14:textFill>
        </w:rPr>
        <w:t>2</w:t>
      </w:r>
      <w:r>
        <w:rPr>
          <w:rFonts w:hint="eastAsia" w:ascii="仿宋_GB2312" w:hAnsi="仿宋_GB2312" w:cs="仿宋_GB2312"/>
          <w:color w:val="000000" w:themeColor="text1"/>
          <w:szCs w:val="30"/>
          <w14:textFill>
            <w14:solidFill>
              <w14:schemeClr w14:val="tx1"/>
            </w14:solidFill>
          </w14:textFill>
        </w:rPr>
        <w:t>）我单位纳入编报范围的单位主体均采用人民币作为记账本位币，无外币</w:t>
      </w:r>
      <w:r>
        <w:rPr>
          <w:rFonts w:hint="eastAsia" w:ascii="仿宋_GB2312" w:hAnsi="仿宋_GB2312" w:cs="仿宋_GB2312"/>
          <w:color w:val="000000" w:themeColor="text1"/>
          <w:szCs w:val="30"/>
          <w:lang w:eastAsia="zh-CN"/>
          <w14:textFill>
            <w14:solidFill>
              <w14:schemeClr w14:val="tx1"/>
            </w14:solidFill>
          </w14:textFill>
        </w:rPr>
        <w:t>。</w:t>
      </w:r>
    </w:p>
    <w:p>
      <w:pPr>
        <w:spacing w:line="60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w:t>
      </w:r>
      <w:r>
        <w:rPr>
          <w:rFonts w:ascii="仿宋_GB2312" w:hAnsi="仿宋_GB2312" w:eastAsia="仿宋_GB2312" w:cs="仿宋_GB2312"/>
          <w:color w:val="000000" w:themeColor="text1"/>
          <w:sz w:val="30"/>
          <w:szCs w:val="30"/>
          <w14:textFill>
            <w14:solidFill>
              <w14:schemeClr w14:val="tx1"/>
            </w14:solidFill>
          </w14:textFill>
        </w:rPr>
        <w:t>3</w:t>
      </w:r>
      <w:r>
        <w:rPr>
          <w:rFonts w:hint="eastAsia" w:ascii="仿宋_GB2312" w:hAnsi="仿宋_GB2312" w:eastAsia="仿宋_GB2312" w:cs="仿宋_GB2312"/>
          <w:color w:val="000000" w:themeColor="text1"/>
          <w:sz w:val="30"/>
          <w:szCs w:val="30"/>
          <w14:textFill>
            <w14:solidFill>
              <w14:schemeClr w14:val="tx1"/>
            </w14:solidFill>
          </w14:textFill>
        </w:rPr>
        <w:t>）会计报表中重要资产、负债、收入和费用项目的含义、确认原则、计量方法等会计政策，按照权责发生制予以确认。</w:t>
      </w:r>
    </w:p>
    <w:p>
      <w:pPr>
        <w:pStyle w:val="110"/>
        <w:spacing w:line="360" w:lineRule="auto"/>
        <w:ind w:firstLine="600"/>
        <w:rPr>
          <w:rFonts w:ascii="仿宋_GB2312" w:hAnsi="仿宋_GB2312" w:cs="仿宋_GB2312"/>
          <w:color w:val="000000" w:themeColor="text1"/>
          <w:szCs w:val="30"/>
          <w14:textFill>
            <w14:solidFill>
              <w14:schemeClr w14:val="tx1"/>
            </w14:solidFill>
          </w14:textFill>
        </w:rPr>
      </w:pPr>
      <w:r>
        <w:rPr>
          <w:rFonts w:hint="eastAsia" w:ascii="仿宋_GB2312" w:hAnsi="仿宋_GB2312" w:cs="仿宋_GB2312"/>
          <w:color w:val="000000" w:themeColor="text1"/>
          <w:szCs w:val="30"/>
          <w14:textFill>
            <w14:solidFill>
              <w14:schemeClr w14:val="tx1"/>
            </w14:solidFill>
          </w14:textFill>
        </w:rPr>
        <w:t>（4）固定资产、公共基础设施的类别、折旧年限及折旧方法按照《政府会计准则第3号—固定资产》计提折旧。</w:t>
      </w:r>
    </w:p>
    <w:p>
      <w:pPr>
        <w:pStyle w:val="110"/>
        <w:spacing w:line="360" w:lineRule="auto"/>
        <w:ind w:firstLine="600"/>
        <w:rPr>
          <w:rFonts w:ascii="仿宋_GB2312" w:hAnsi="仿宋_GB2312" w:cs="仿宋_GB2312"/>
          <w:color w:val="000000" w:themeColor="text1"/>
          <w:szCs w:val="30"/>
          <w14:textFill>
            <w14:solidFill>
              <w14:schemeClr w14:val="tx1"/>
            </w14:solidFill>
          </w14:textFill>
        </w:rPr>
      </w:pPr>
      <w:r>
        <w:rPr>
          <w:rFonts w:hint="eastAsia" w:ascii="仿宋_GB2312" w:hAnsi="仿宋_GB2312" w:cs="仿宋_GB2312"/>
          <w:color w:val="000000" w:themeColor="text1"/>
          <w:szCs w:val="30"/>
          <w14:textFill>
            <w14:solidFill>
              <w14:schemeClr w14:val="tx1"/>
            </w14:solidFill>
          </w14:textFill>
        </w:rPr>
        <w:t>（5）我单位没有无形资产的类别。</w:t>
      </w:r>
    </w:p>
    <w:p/>
    <w:p>
      <w:pPr>
        <w:rPr>
          <w:rFonts w:ascii="Microsoft JhengHei" w:hAnsi="Microsoft JhengHei" w:eastAsia="Microsoft JhengHei" w:cs="Microsoft JhengHei"/>
          <w:sz w:val="30"/>
          <w:szCs w:val="30"/>
        </w:rPr>
        <w:sectPr>
          <w:pgSz w:w="11910" w:h="16840"/>
          <w:pgMar w:top="1260" w:right="1680" w:bottom="1200" w:left="1680" w:header="0" w:footer="981" w:gutter="0"/>
          <w:cols w:space="720" w:num="1"/>
        </w:sectPr>
      </w:pPr>
    </w:p>
    <w:bookmarkEnd w:id="46"/>
    <w:p>
      <w:pPr>
        <w:pStyle w:val="4"/>
        <w:spacing w:before="0" w:after="0" w:line="360" w:lineRule="auto"/>
        <w:ind w:left="0" w:leftChars="0" w:firstLine="0" w:firstLineChars="0"/>
        <w:jc w:val="left"/>
        <w:rPr>
          <w:rFonts w:ascii="仿宋" w:hAnsi="仿宋" w:eastAsia="仿宋"/>
          <w:b/>
        </w:rPr>
      </w:pPr>
      <w:bookmarkStart w:id="59" w:name="_Toc333610277"/>
      <w:bookmarkStart w:id="60" w:name="_Toc35500811"/>
      <w:bookmarkStart w:id="61" w:name="_Toc435362498"/>
      <w:bookmarkStart w:id="62" w:name="_Toc435362073"/>
      <w:bookmarkStart w:id="63" w:name="_Toc435361955"/>
      <w:bookmarkStart w:id="64" w:name="_Toc435362300"/>
      <w:bookmarkStart w:id="65" w:name="_Toc35452585"/>
      <w:r>
        <w:rPr>
          <w:rFonts w:hint="eastAsia" w:ascii="仿宋" w:hAnsi="仿宋" w:eastAsia="仿宋"/>
          <w:b/>
        </w:rPr>
        <w:t>5.会计报表重要项目的明细信息</w:t>
      </w:r>
      <w:bookmarkEnd w:id="59"/>
      <w:r>
        <w:rPr>
          <w:rFonts w:hint="eastAsia" w:ascii="仿宋" w:hAnsi="仿宋" w:eastAsia="仿宋"/>
          <w:b/>
        </w:rPr>
        <w:t>及说明</w:t>
      </w:r>
      <w:bookmarkEnd w:id="60"/>
      <w:bookmarkEnd w:id="61"/>
      <w:bookmarkEnd w:id="62"/>
      <w:bookmarkEnd w:id="63"/>
      <w:bookmarkEnd w:id="64"/>
      <w:bookmarkEnd w:id="65"/>
      <w:r>
        <w:rPr>
          <w:rFonts w:ascii="仿宋" w:hAnsi="仿宋" w:eastAsia="仿宋"/>
          <w:b/>
        </w:rPr>
        <w:tab/>
      </w:r>
    </w:p>
    <w:p>
      <w:pPr>
        <w:pStyle w:val="110"/>
        <w:ind w:firstLine="600"/>
        <w:outlineLvl w:val="3"/>
        <w:rPr>
          <w:rFonts w:ascii="宋体" w:hAnsi="宋体" w:eastAsia="宋体"/>
        </w:rPr>
      </w:pPr>
      <w:r>
        <w:rPr>
          <w:rFonts w:hint="eastAsia" w:ascii="宋体" w:hAnsi="宋体" w:eastAsia="宋体"/>
        </w:rPr>
        <w:t>（</w:t>
      </w:r>
      <w:r>
        <w:rPr>
          <w:rFonts w:ascii="宋体" w:hAnsi="宋体" w:eastAsia="宋体"/>
        </w:rPr>
        <w:t>1</w:t>
      </w:r>
      <w:r>
        <w:rPr>
          <w:rFonts w:hint="eastAsia" w:ascii="宋体" w:hAnsi="宋体" w:eastAsia="宋体"/>
        </w:rPr>
        <w:t>）货币资金明细信息如下：</w:t>
      </w:r>
    </w:p>
    <w:tbl>
      <w:tblPr>
        <w:tblStyle w:val="41"/>
        <w:tblW w:w="8528" w:type="dxa"/>
        <w:jc w:val="center"/>
        <w:tblInd w:w="0" w:type="dxa"/>
        <w:tblLayout w:type="fixed"/>
        <w:tblCellMar>
          <w:top w:w="0" w:type="dxa"/>
          <w:left w:w="108" w:type="dxa"/>
          <w:bottom w:w="0" w:type="dxa"/>
          <w:right w:w="108" w:type="dxa"/>
        </w:tblCellMar>
      </w:tblPr>
      <w:tblGrid>
        <w:gridCol w:w="8528"/>
      </w:tblGrid>
      <w:tr>
        <w:tblPrEx>
          <w:tblLayout w:type="fixed"/>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rPr>
                <w:sz w:val="22"/>
                <w:szCs w:val="22"/>
              </w:rPr>
            </w:pPr>
            <w:r>
              <w:rPr>
                <w:rFonts w:hint="eastAsia"/>
                <w:sz w:val="22"/>
                <w:szCs w:val="22"/>
              </w:rPr>
              <w:t>附表1</w:t>
            </w:r>
          </w:p>
          <w:p>
            <w:pPr>
              <w:rPr>
                <w:sz w:val="22"/>
                <w:szCs w:val="22"/>
              </w:rPr>
            </w:pPr>
          </w:p>
        </w:tc>
      </w:tr>
      <w:tr>
        <w:tblPrEx>
          <w:tblLayout w:type="fixed"/>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center"/>
              <w:rPr>
                <w:b/>
                <w:bCs/>
                <w:sz w:val="22"/>
                <w:szCs w:val="22"/>
              </w:rPr>
            </w:pPr>
            <w:r>
              <w:rPr>
                <w:rFonts w:hint="eastAsia"/>
                <w:b/>
                <w:bCs/>
                <w:sz w:val="22"/>
                <w:szCs w:val="22"/>
              </w:rPr>
              <w:t>货币资金明细表</w:t>
            </w:r>
          </w:p>
        </w:tc>
      </w:tr>
      <w:tr>
        <w:tblPrEx>
          <w:tblLayout w:type="fixed"/>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right"/>
              <w:rPr>
                <w:b/>
                <w:bCs/>
                <w:sz w:val="20"/>
                <w:szCs w:val="20"/>
              </w:rPr>
            </w:pPr>
            <w:r>
              <w:rPr>
                <w:rFonts w:hint="eastAsia"/>
                <w:sz w:val="20"/>
                <w:szCs w:val="20"/>
              </w:rPr>
              <w:t>单位：万元</w:t>
            </w:r>
          </w:p>
        </w:tc>
      </w:tr>
    </w:tbl>
    <w:p>
      <w:pPr>
        <w:snapToGrid w:val="0"/>
        <w:spacing w:line="20" w:lineRule="exact"/>
        <w:jc w:val="right"/>
        <w:rPr>
          <w:rFonts w:ascii="Arial" w:hAnsi="Arial" w:cs="Arial"/>
          <w:color w:val="000000"/>
          <w:sz w:val="20"/>
          <w:szCs w:val="20"/>
        </w:rPr>
      </w:pPr>
      <w:bookmarkStart w:id="66" w:name="RANGE!A1:D9"/>
      <w:bookmarkEnd w:id="66"/>
    </w:p>
    <w:tbl>
      <w:tblPr>
        <w:tblStyle w:val="41"/>
        <w:tblW w:w="8528" w:type="dxa"/>
        <w:jc w:val="center"/>
        <w:tblInd w:w="0" w:type="dxa"/>
        <w:tblLayout w:type="fixed"/>
        <w:tblCellMar>
          <w:top w:w="0" w:type="dxa"/>
          <w:left w:w="108" w:type="dxa"/>
          <w:bottom w:w="0" w:type="dxa"/>
          <w:right w:w="108" w:type="dxa"/>
        </w:tblCellMar>
      </w:tblPr>
      <w:tblGrid>
        <w:gridCol w:w="3295"/>
        <w:gridCol w:w="2625"/>
        <w:gridCol w:w="2608"/>
      </w:tblGrid>
      <w:tr>
        <w:tblPrEx>
          <w:tblLayout w:type="fixed"/>
          <w:tblCellMar>
            <w:top w:w="0" w:type="dxa"/>
            <w:left w:w="108" w:type="dxa"/>
            <w:bottom w:w="0" w:type="dxa"/>
            <w:right w:w="108" w:type="dxa"/>
          </w:tblCellMar>
        </w:tblPrEx>
        <w:trPr>
          <w:trHeight w:val="397" w:hRule="exact"/>
          <w:tblHeader/>
          <w:jc w:val="center"/>
        </w:trPr>
        <w:tc>
          <w:tcPr>
            <w:tcW w:w="3295" w:type="dxa"/>
            <w:tcBorders>
              <w:top w:val="single" w:color="auto" w:sz="4" w:space="0"/>
              <w:left w:val="nil"/>
              <w:bottom w:val="single" w:color="auto" w:sz="4" w:space="0"/>
              <w:right w:val="nil"/>
            </w:tcBorders>
            <w:shd w:val="clear" w:color="FFFFFF" w:fill="FFFFFF"/>
            <w:vAlign w:val="center"/>
          </w:tcPr>
          <w:p>
            <w:pPr>
              <w:jc w:val="center"/>
              <w:rPr>
                <w:b/>
                <w:bCs/>
                <w:sz w:val="20"/>
                <w:szCs w:val="20"/>
              </w:rPr>
            </w:pPr>
            <w:r>
              <w:rPr>
                <w:rFonts w:hint="eastAsia"/>
                <w:b/>
                <w:bCs/>
                <w:sz w:val="20"/>
                <w:szCs w:val="20"/>
              </w:rPr>
              <w:t>项目</w:t>
            </w:r>
          </w:p>
        </w:tc>
        <w:tc>
          <w:tcPr>
            <w:tcW w:w="2625" w:type="dxa"/>
            <w:tcBorders>
              <w:top w:val="single" w:color="auto" w:sz="4" w:space="0"/>
              <w:left w:val="nil"/>
              <w:bottom w:val="single" w:color="auto" w:sz="4" w:space="0"/>
              <w:right w:val="nil"/>
            </w:tcBorders>
            <w:shd w:val="clear" w:color="FFFFFF" w:fill="FFFFFF"/>
            <w:vAlign w:val="center"/>
          </w:tcPr>
          <w:p>
            <w:pPr>
              <w:jc w:val="center"/>
              <w:rPr>
                <w:b/>
                <w:bCs/>
                <w:sz w:val="20"/>
                <w:szCs w:val="20"/>
              </w:rPr>
            </w:pPr>
            <w:r>
              <w:rPr>
                <w:rFonts w:hint="eastAsia"/>
                <w:b/>
                <w:bCs/>
                <w:sz w:val="20"/>
                <w:szCs w:val="20"/>
              </w:rPr>
              <w:t>年末数</w:t>
            </w:r>
          </w:p>
        </w:tc>
        <w:tc>
          <w:tcPr>
            <w:tcW w:w="2608" w:type="dxa"/>
            <w:tcBorders>
              <w:top w:val="single" w:color="auto" w:sz="4" w:space="0"/>
              <w:left w:val="nil"/>
              <w:bottom w:val="single" w:color="auto" w:sz="4" w:space="0"/>
              <w:right w:val="nil"/>
            </w:tcBorders>
            <w:shd w:val="clear" w:color="FFFFFF" w:fill="FFFFFF"/>
            <w:vAlign w:val="center"/>
          </w:tcPr>
          <w:p>
            <w:pPr>
              <w:jc w:val="center"/>
              <w:rPr>
                <w:b/>
                <w:bCs/>
                <w:sz w:val="20"/>
                <w:szCs w:val="20"/>
              </w:rPr>
            </w:pPr>
            <w:r>
              <w:rPr>
                <w:rFonts w:hint="eastAsia"/>
                <w:b/>
                <w:bCs/>
                <w:sz w:val="20"/>
                <w:szCs w:val="20"/>
              </w:rPr>
              <w:t>年初数</w:t>
            </w:r>
          </w:p>
        </w:tc>
      </w:tr>
      <w:tr>
        <w:tblPrEx>
          <w:tblLayout w:type="fixed"/>
          <w:tblCellMar>
            <w:top w:w="0" w:type="dxa"/>
            <w:left w:w="108" w:type="dxa"/>
            <w:bottom w:w="0" w:type="dxa"/>
            <w:right w:w="108" w:type="dxa"/>
          </w:tblCellMar>
        </w:tblPrEx>
        <w:trPr>
          <w:trHeight w:val="20" w:hRule="exact"/>
          <w:tblHeader/>
          <w:jc w:val="center"/>
        </w:trPr>
        <w:tc>
          <w:tcPr>
            <w:tcW w:w="3295" w:type="dxa"/>
            <w:tcBorders>
              <w:top w:val="single" w:color="auto" w:sz="4" w:space="0"/>
              <w:left w:val="nil"/>
              <w:right w:val="nil"/>
            </w:tcBorders>
            <w:shd w:val="clear" w:color="FFFFFF" w:fill="FFFFFF"/>
            <w:vAlign w:val="center"/>
          </w:tcPr>
          <w:p>
            <w:pPr>
              <w:jc w:val="center"/>
              <w:rPr>
                <w:b/>
                <w:bCs/>
                <w:sz w:val="20"/>
                <w:szCs w:val="20"/>
              </w:rPr>
            </w:pPr>
          </w:p>
        </w:tc>
        <w:tc>
          <w:tcPr>
            <w:tcW w:w="2625" w:type="dxa"/>
            <w:tcBorders>
              <w:top w:val="single" w:color="auto" w:sz="4" w:space="0"/>
              <w:left w:val="nil"/>
              <w:right w:val="nil"/>
            </w:tcBorders>
            <w:shd w:val="clear" w:color="FFFFFF" w:fill="FFFFFF"/>
            <w:vAlign w:val="center"/>
          </w:tcPr>
          <w:p>
            <w:pPr>
              <w:jc w:val="center"/>
              <w:rPr>
                <w:b/>
                <w:bCs/>
                <w:sz w:val="20"/>
                <w:szCs w:val="20"/>
              </w:rPr>
            </w:pPr>
          </w:p>
        </w:tc>
        <w:tc>
          <w:tcPr>
            <w:tcW w:w="2608" w:type="dxa"/>
            <w:tcBorders>
              <w:top w:val="single" w:color="auto" w:sz="4" w:space="0"/>
              <w:left w:val="nil"/>
              <w:right w:val="nil"/>
            </w:tcBorders>
            <w:shd w:val="clear" w:color="FFFFFF" w:fill="FFFFFF"/>
            <w:vAlign w:val="center"/>
          </w:tcPr>
          <w:p>
            <w:pPr>
              <w:jc w:val="center"/>
              <w:rPr>
                <w:b/>
                <w:bCs/>
                <w:sz w:val="20"/>
                <w:szCs w:val="20"/>
              </w:rPr>
            </w:pPr>
          </w:p>
        </w:tc>
      </w:tr>
      <w:tr>
        <w:tblPrEx>
          <w:tblLayout w:type="fixed"/>
          <w:tblCellMar>
            <w:top w:w="0" w:type="dxa"/>
            <w:left w:w="108" w:type="dxa"/>
            <w:bottom w:w="0" w:type="dxa"/>
            <w:right w:w="108" w:type="dxa"/>
          </w:tblCellMar>
        </w:tblPrEx>
        <w:trPr>
          <w:trHeight w:val="20" w:hRule="exact"/>
          <w:tblHeader/>
          <w:jc w:val="center"/>
        </w:trPr>
        <w:tc>
          <w:tcPr>
            <w:tcW w:w="3295" w:type="dxa"/>
            <w:tcBorders>
              <w:left w:val="nil"/>
              <w:right w:val="nil"/>
            </w:tcBorders>
            <w:shd w:val="clear" w:color="FFFFFF" w:fill="FFFFFF"/>
            <w:vAlign w:val="center"/>
          </w:tcPr>
          <w:p>
            <w:pPr>
              <w:jc w:val="center"/>
              <w:rPr>
                <w:b/>
                <w:bCs/>
                <w:sz w:val="20"/>
                <w:szCs w:val="20"/>
              </w:rPr>
            </w:pPr>
          </w:p>
        </w:tc>
        <w:tc>
          <w:tcPr>
            <w:tcW w:w="2625" w:type="dxa"/>
            <w:tcBorders>
              <w:left w:val="nil"/>
              <w:right w:val="nil"/>
            </w:tcBorders>
            <w:shd w:val="clear" w:color="FFFFFF" w:fill="FFFFFF"/>
            <w:vAlign w:val="center"/>
          </w:tcPr>
          <w:p>
            <w:pPr>
              <w:jc w:val="center"/>
              <w:rPr>
                <w:b/>
                <w:bCs/>
                <w:sz w:val="20"/>
                <w:szCs w:val="20"/>
              </w:rPr>
            </w:pPr>
          </w:p>
        </w:tc>
        <w:tc>
          <w:tcPr>
            <w:tcW w:w="2608" w:type="dxa"/>
            <w:tcBorders>
              <w:left w:val="nil"/>
              <w:right w:val="nil"/>
            </w:tcBorders>
            <w:shd w:val="clear" w:color="FFFFFF" w:fill="FFFFFF"/>
            <w:vAlign w:val="center"/>
          </w:tcPr>
          <w:p>
            <w:pPr>
              <w:jc w:val="center"/>
              <w:rPr>
                <w:b/>
                <w:bCs/>
                <w:sz w:val="20"/>
                <w:szCs w:val="20"/>
              </w:rPr>
            </w:pPr>
          </w:p>
        </w:tc>
      </w:tr>
      <w:tr>
        <w:tblPrEx>
          <w:tblLayout w:type="fixed"/>
          <w:tblCellMar>
            <w:top w:w="0" w:type="dxa"/>
            <w:left w:w="108" w:type="dxa"/>
            <w:bottom w:w="0" w:type="dxa"/>
            <w:right w:w="108" w:type="dxa"/>
          </w:tblCellMar>
        </w:tblPrEx>
        <w:trPr>
          <w:trHeight w:val="397" w:hRule="atLeast"/>
          <w:jc w:val="center"/>
        </w:trPr>
        <w:tc>
          <w:tcPr>
            <w:tcW w:w="3295" w:type="dxa"/>
            <w:tcBorders>
              <w:left w:val="nil"/>
              <w:bottom w:val="nil"/>
              <w:right w:val="nil"/>
            </w:tcBorders>
            <w:shd w:val="clear" w:color="FFFFFF" w:fill="FFFFFF"/>
            <w:vAlign w:val="center"/>
          </w:tcPr>
          <w:p>
            <w:pPr>
              <w:pageBreakBefore w:val="0"/>
              <w:ind w:firstLine="100" w:firstLineChars="50"/>
              <w:jc w:val="left"/>
              <w:textAlignment w:val="auto"/>
            </w:pPr>
            <w:r>
              <w:rPr>
                <w:b w:val="0"/>
                <w:i w:val="0"/>
                <w:color w:val="000000"/>
                <w:position w:val="-1"/>
                <w:sz w:val="20"/>
                <w:u w:val="none"/>
              </w:rPr>
              <w:t xml:space="preserve">  库存现金</w:t>
            </w:r>
          </w:p>
        </w:tc>
        <w:tc>
          <w:tcPr>
            <w:tcW w:w="2625" w:type="dxa"/>
            <w:tcBorders>
              <w:left w:val="nil"/>
              <w:bottom w:val="nil"/>
              <w:right w:val="nil"/>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0.04</w:t>
            </w:r>
          </w:p>
        </w:tc>
        <w:tc>
          <w:tcPr>
            <w:tcW w:w="2608" w:type="dxa"/>
            <w:tcBorders>
              <w:left w:val="nil"/>
              <w:bottom w:val="nil"/>
              <w:right w:val="nil"/>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jc w:val="center"/>
        </w:trPr>
        <w:tc>
          <w:tcPr>
            <w:tcW w:w="3295" w:type="dxa"/>
            <w:tcBorders>
              <w:left w:val="nil"/>
              <w:bottom w:val="nil"/>
              <w:right w:val="nil"/>
            </w:tcBorders>
            <w:shd w:val="clear" w:color="FFFFFF" w:fill="FFFFFF"/>
            <w:vAlign w:val="center"/>
          </w:tcPr>
          <w:p>
            <w:pPr>
              <w:pageBreakBefore w:val="0"/>
              <w:ind w:firstLine="100" w:firstLineChars="50"/>
              <w:jc w:val="left"/>
              <w:textAlignment w:val="auto"/>
            </w:pPr>
            <w:r>
              <w:rPr>
                <w:b w:val="0"/>
                <w:i w:val="0"/>
                <w:color w:val="000000"/>
                <w:position w:val="-1"/>
                <w:sz w:val="20"/>
                <w:u w:val="none"/>
              </w:rPr>
              <w:t xml:space="preserve">  银行存款</w:t>
            </w:r>
          </w:p>
        </w:tc>
        <w:tc>
          <w:tcPr>
            <w:tcW w:w="2625" w:type="dxa"/>
            <w:tcBorders>
              <w:left w:val="nil"/>
              <w:bottom w:val="nil"/>
              <w:right w:val="nil"/>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421.14</w:t>
            </w:r>
          </w:p>
        </w:tc>
        <w:tc>
          <w:tcPr>
            <w:tcW w:w="2608" w:type="dxa"/>
            <w:tcBorders>
              <w:left w:val="nil"/>
              <w:bottom w:val="nil"/>
              <w:right w:val="nil"/>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jc w:val="center"/>
        </w:trPr>
        <w:tc>
          <w:tcPr>
            <w:tcW w:w="3295" w:type="dxa"/>
            <w:tcBorders>
              <w:left w:val="nil"/>
              <w:bottom w:val="nil"/>
              <w:right w:val="nil"/>
            </w:tcBorders>
            <w:shd w:val="clear" w:color="FFFFFF" w:fill="FFFFFF"/>
            <w:vAlign w:val="center"/>
          </w:tcPr>
          <w:p>
            <w:pPr>
              <w:pageBreakBefore w:val="0"/>
              <w:ind w:firstLine="100" w:firstLineChars="50"/>
              <w:jc w:val="left"/>
              <w:textAlignment w:val="auto"/>
            </w:pPr>
            <w:r>
              <w:rPr>
                <w:b w:val="0"/>
                <w:i w:val="0"/>
                <w:color w:val="000000"/>
                <w:position w:val="-1"/>
                <w:sz w:val="20"/>
                <w:u w:val="none"/>
              </w:rPr>
              <w:t xml:space="preserve">  其他货币资金</w:t>
            </w:r>
          </w:p>
        </w:tc>
        <w:tc>
          <w:tcPr>
            <w:tcW w:w="2625" w:type="dxa"/>
            <w:tcBorders>
              <w:left w:val="nil"/>
              <w:bottom w:val="nil"/>
              <w:right w:val="nil"/>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2608" w:type="dxa"/>
            <w:tcBorders>
              <w:left w:val="nil"/>
              <w:bottom w:val="nil"/>
              <w:right w:val="nil"/>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455" w:hRule="atLeast"/>
          <w:jc w:val="center"/>
        </w:trPr>
        <w:tc>
          <w:tcPr>
            <w:tcW w:w="3295" w:type="dxa"/>
            <w:tcBorders>
              <w:top w:val="single" w:color="auto" w:sz="4" w:space="0"/>
              <w:left w:val="nil"/>
              <w:bottom w:val="single" w:color="auto" w:sz="4" w:space="0"/>
              <w:right w:val="nil"/>
            </w:tcBorders>
            <w:shd w:val="clear" w:color="FFFFFF" w:fill="FFFFFF"/>
            <w:vAlign w:val="center"/>
          </w:tcPr>
          <w:p>
            <w:pPr>
              <w:pageBreakBefore w:val="0"/>
              <w:ind w:firstLine="100" w:firstLineChars="50"/>
              <w:jc w:val="center"/>
              <w:textAlignment w:val="auto"/>
            </w:pPr>
            <w:r>
              <w:rPr>
                <w:b/>
                <w:i w:val="0"/>
                <w:color w:val="000000"/>
                <w:position w:val="-1"/>
                <w:sz w:val="20"/>
                <w:u w:val="none"/>
              </w:rPr>
              <w:t>合计</w:t>
            </w:r>
          </w:p>
        </w:tc>
        <w:tc>
          <w:tcPr>
            <w:tcW w:w="2625" w:type="dxa"/>
            <w:tcBorders>
              <w:top w:val="single" w:color="auto" w:sz="4" w:space="0"/>
              <w:left w:val="nil"/>
              <w:bottom w:val="single" w:color="auto" w:sz="4" w:space="0"/>
              <w:right w:val="nil"/>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421.18</w:t>
            </w:r>
          </w:p>
        </w:tc>
        <w:tc>
          <w:tcPr>
            <w:tcW w:w="2608" w:type="dxa"/>
            <w:tcBorders>
              <w:top w:val="single" w:color="auto" w:sz="4" w:space="0"/>
              <w:left w:val="nil"/>
              <w:bottom w:val="single" w:color="auto" w:sz="4" w:space="0"/>
              <w:right w:val="nil"/>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r>
    </w:tbl>
    <w:p/>
    <w:p>
      <w:pPr>
        <w:pStyle w:val="110"/>
        <w:ind w:firstLine="600"/>
        <w:outlineLvl w:val="3"/>
        <w:rPr>
          <w:rFonts w:ascii="宋体" w:hAnsi="宋体" w:eastAsia="宋体"/>
        </w:rPr>
      </w:pPr>
      <w:r>
        <w:rPr>
          <w:rFonts w:hint="eastAsia" w:ascii="宋体" w:hAnsi="宋体" w:eastAsia="宋体"/>
        </w:rPr>
        <w:t>（</w:t>
      </w:r>
      <w:r>
        <w:rPr>
          <w:rFonts w:ascii="宋体" w:hAnsi="宋体" w:eastAsia="宋体"/>
        </w:rPr>
        <w:t>6</w:t>
      </w:r>
      <w:r>
        <w:rPr>
          <w:rFonts w:hint="eastAsia" w:ascii="宋体" w:hAnsi="宋体" w:eastAsia="宋体"/>
        </w:rPr>
        <w:t>）固定资产明细信息如下：</w:t>
      </w:r>
    </w:p>
    <w:tbl>
      <w:tblPr>
        <w:tblStyle w:val="41"/>
        <w:tblW w:w="8528" w:type="dxa"/>
        <w:jc w:val="center"/>
        <w:tblInd w:w="0" w:type="dxa"/>
        <w:tblLayout w:type="fixed"/>
        <w:tblCellMar>
          <w:top w:w="0" w:type="dxa"/>
          <w:left w:w="108" w:type="dxa"/>
          <w:bottom w:w="0" w:type="dxa"/>
          <w:right w:w="108" w:type="dxa"/>
        </w:tblCellMar>
      </w:tblPr>
      <w:tblGrid>
        <w:gridCol w:w="8528"/>
      </w:tblGrid>
      <w:tr>
        <w:tblPrEx>
          <w:tblLayout w:type="fixed"/>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rPr>
                <w:sz w:val="22"/>
                <w:szCs w:val="22"/>
              </w:rPr>
            </w:pPr>
            <w:r>
              <w:rPr>
                <w:rFonts w:hint="eastAsia"/>
                <w:sz w:val="22"/>
                <w:szCs w:val="22"/>
              </w:rPr>
              <w:t>附表6</w:t>
            </w:r>
          </w:p>
          <w:p>
            <w:pPr>
              <w:rPr>
                <w:sz w:val="22"/>
                <w:szCs w:val="22"/>
              </w:rPr>
            </w:pPr>
          </w:p>
        </w:tc>
      </w:tr>
      <w:tr>
        <w:tblPrEx>
          <w:tblLayout w:type="fixed"/>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center"/>
              <w:rPr>
                <w:b/>
                <w:bCs/>
                <w:sz w:val="22"/>
                <w:szCs w:val="22"/>
              </w:rPr>
            </w:pPr>
            <w:r>
              <w:rPr>
                <w:rFonts w:hint="eastAsia"/>
                <w:b/>
                <w:bCs/>
                <w:sz w:val="22"/>
                <w:szCs w:val="22"/>
              </w:rPr>
              <w:t>固定资产明细表</w:t>
            </w:r>
          </w:p>
        </w:tc>
      </w:tr>
      <w:tr>
        <w:tblPrEx>
          <w:tblLayout w:type="fixed"/>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right"/>
              <w:rPr>
                <w:b/>
                <w:bCs/>
                <w:sz w:val="20"/>
                <w:szCs w:val="20"/>
              </w:rPr>
            </w:pPr>
            <w:r>
              <w:rPr>
                <w:rFonts w:hint="eastAsia"/>
                <w:sz w:val="20"/>
                <w:szCs w:val="20"/>
              </w:rPr>
              <w:t>单位：万元</w:t>
            </w:r>
          </w:p>
        </w:tc>
      </w:tr>
    </w:tbl>
    <w:p>
      <w:pPr>
        <w:spacing w:line="20" w:lineRule="exact"/>
        <w:jc w:val="right"/>
        <w:rPr>
          <w:sz w:val="20"/>
          <w:szCs w:val="20"/>
        </w:rPr>
      </w:pPr>
    </w:p>
    <w:tbl>
      <w:tblPr>
        <w:tblStyle w:val="41"/>
        <w:tblW w:w="9607" w:type="dxa"/>
        <w:jc w:val="center"/>
        <w:tblInd w:w="0" w:type="dxa"/>
        <w:tblLayout w:type="fixed"/>
        <w:tblCellMar>
          <w:top w:w="0" w:type="dxa"/>
          <w:left w:w="108" w:type="dxa"/>
          <w:bottom w:w="0" w:type="dxa"/>
          <w:right w:w="108" w:type="dxa"/>
        </w:tblCellMar>
      </w:tblPr>
      <w:tblGrid>
        <w:gridCol w:w="3545"/>
        <w:gridCol w:w="1908"/>
        <w:gridCol w:w="1166"/>
        <w:gridCol w:w="1222"/>
        <w:gridCol w:w="1766"/>
      </w:tblGrid>
      <w:tr>
        <w:tblPrEx>
          <w:tblLayout w:type="fixed"/>
          <w:tblCellMar>
            <w:top w:w="0" w:type="dxa"/>
            <w:left w:w="108" w:type="dxa"/>
            <w:bottom w:w="0" w:type="dxa"/>
            <w:right w:w="108" w:type="dxa"/>
          </w:tblCellMar>
        </w:tblPrEx>
        <w:trPr>
          <w:trHeight w:val="397" w:hRule="atLeast"/>
          <w:tblHeader/>
          <w:jc w:val="center"/>
        </w:trPr>
        <w:tc>
          <w:tcPr>
            <w:tcW w:w="3545" w:type="dxa"/>
            <w:tcBorders>
              <w:top w:val="single" w:color="auto" w:sz="4" w:space="0"/>
              <w:bottom w:val="single" w:color="auto" w:sz="4" w:space="0"/>
            </w:tcBorders>
            <w:shd w:val="clear" w:color="FFFFFF" w:fill="FFFFFF"/>
            <w:vAlign w:val="center"/>
          </w:tcPr>
          <w:p>
            <w:pPr>
              <w:jc w:val="center"/>
              <w:rPr>
                <w:b/>
                <w:bCs/>
                <w:sz w:val="20"/>
                <w:szCs w:val="20"/>
              </w:rPr>
            </w:pPr>
            <w:r>
              <w:rPr>
                <w:rFonts w:hint="eastAsia"/>
                <w:b/>
                <w:bCs/>
                <w:sz w:val="20"/>
                <w:szCs w:val="20"/>
              </w:rPr>
              <w:t>项目</w:t>
            </w:r>
          </w:p>
        </w:tc>
        <w:tc>
          <w:tcPr>
            <w:tcW w:w="1908" w:type="dxa"/>
            <w:tcBorders>
              <w:top w:val="single" w:color="auto" w:sz="4" w:space="0"/>
              <w:bottom w:val="single" w:color="auto" w:sz="4" w:space="0"/>
            </w:tcBorders>
            <w:shd w:val="clear" w:color="FFFFFF" w:fill="FFFFFF"/>
            <w:vAlign w:val="center"/>
          </w:tcPr>
          <w:p>
            <w:pPr>
              <w:jc w:val="center"/>
              <w:rPr>
                <w:b/>
                <w:bCs/>
                <w:sz w:val="20"/>
                <w:szCs w:val="20"/>
              </w:rPr>
            </w:pPr>
            <w:r>
              <w:rPr>
                <w:rFonts w:hint="eastAsia"/>
                <w:b/>
                <w:bCs/>
                <w:sz w:val="20"/>
                <w:szCs w:val="20"/>
              </w:rPr>
              <w:t>年初数</w:t>
            </w:r>
          </w:p>
        </w:tc>
        <w:tc>
          <w:tcPr>
            <w:tcW w:w="1166" w:type="dxa"/>
            <w:tcBorders>
              <w:top w:val="single" w:color="auto" w:sz="4" w:space="0"/>
              <w:bottom w:val="single" w:color="auto" w:sz="4" w:space="0"/>
            </w:tcBorders>
            <w:shd w:val="clear" w:color="FFFFFF" w:fill="FFFFFF"/>
            <w:vAlign w:val="center"/>
          </w:tcPr>
          <w:p>
            <w:pPr>
              <w:jc w:val="center"/>
              <w:rPr>
                <w:b/>
                <w:bCs/>
                <w:sz w:val="20"/>
                <w:szCs w:val="20"/>
              </w:rPr>
            </w:pPr>
            <w:r>
              <w:rPr>
                <w:rFonts w:hint="eastAsia"/>
                <w:b/>
                <w:bCs/>
                <w:sz w:val="20"/>
                <w:szCs w:val="20"/>
              </w:rPr>
              <w:t>本年增加</w:t>
            </w:r>
          </w:p>
        </w:tc>
        <w:tc>
          <w:tcPr>
            <w:tcW w:w="1222" w:type="dxa"/>
            <w:tcBorders>
              <w:top w:val="single" w:color="auto" w:sz="4" w:space="0"/>
              <w:bottom w:val="single" w:color="auto" w:sz="4" w:space="0"/>
            </w:tcBorders>
            <w:shd w:val="clear" w:color="FFFFFF" w:fill="FFFFFF"/>
            <w:vAlign w:val="center"/>
          </w:tcPr>
          <w:p>
            <w:pPr>
              <w:jc w:val="center"/>
              <w:rPr>
                <w:b/>
                <w:bCs/>
                <w:sz w:val="20"/>
                <w:szCs w:val="20"/>
              </w:rPr>
            </w:pPr>
            <w:r>
              <w:rPr>
                <w:rFonts w:hint="eastAsia"/>
                <w:b/>
                <w:bCs/>
                <w:sz w:val="20"/>
                <w:szCs w:val="20"/>
              </w:rPr>
              <w:t>本年减少</w:t>
            </w:r>
          </w:p>
        </w:tc>
        <w:tc>
          <w:tcPr>
            <w:tcW w:w="1766" w:type="dxa"/>
            <w:tcBorders>
              <w:top w:val="single" w:color="auto" w:sz="4" w:space="0"/>
              <w:bottom w:val="single" w:color="auto" w:sz="4" w:space="0"/>
            </w:tcBorders>
            <w:shd w:val="clear" w:color="FFFFFF" w:fill="FFFFFF"/>
            <w:vAlign w:val="center"/>
          </w:tcPr>
          <w:p>
            <w:pPr>
              <w:jc w:val="center"/>
              <w:rPr>
                <w:b/>
                <w:bCs/>
                <w:sz w:val="20"/>
                <w:szCs w:val="20"/>
              </w:rPr>
            </w:pPr>
            <w:r>
              <w:rPr>
                <w:rFonts w:hint="eastAsia"/>
                <w:b/>
                <w:bCs/>
                <w:sz w:val="20"/>
                <w:szCs w:val="20"/>
              </w:rPr>
              <w:t>年末数</w:t>
            </w:r>
          </w:p>
        </w:tc>
      </w:tr>
      <w:tr>
        <w:tblPrEx>
          <w:tblLayout w:type="fixed"/>
          <w:tblCellMar>
            <w:top w:w="0" w:type="dxa"/>
            <w:left w:w="108" w:type="dxa"/>
            <w:bottom w:w="0" w:type="dxa"/>
            <w:right w:w="108" w:type="dxa"/>
          </w:tblCellMar>
        </w:tblPrEx>
        <w:trPr>
          <w:trHeight w:val="20" w:hRule="exact"/>
          <w:tblHeader/>
          <w:jc w:val="center"/>
        </w:trPr>
        <w:tc>
          <w:tcPr>
            <w:tcW w:w="3545" w:type="dxa"/>
            <w:tcBorders>
              <w:top w:val="single" w:color="auto" w:sz="4" w:space="0"/>
            </w:tcBorders>
            <w:shd w:val="clear" w:color="FFFFFF" w:fill="FFFFFF"/>
            <w:vAlign w:val="center"/>
          </w:tcPr>
          <w:p>
            <w:pPr>
              <w:jc w:val="center"/>
              <w:rPr>
                <w:b/>
                <w:bCs/>
                <w:sz w:val="20"/>
                <w:szCs w:val="20"/>
              </w:rPr>
            </w:pPr>
          </w:p>
        </w:tc>
        <w:tc>
          <w:tcPr>
            <w:tcW w:w="1908" w:type="dxa"/>
            <w:tcBorders>
              <w:top w:val="single" w:color="auto" w:sz="4" w:space="0"/>
            </w:tcBorders>
            <w:shd w:val="clear" w:color="FFFFFF" w:fill="FFFFFF"/>
            <w:vAlign w:val="center"/>
          </w:tcPr>
          <w:p>
            <w:pPr>
              <w:jc w:val="center"/>
              <w:rPr>
                <w:b/>
                <w:bCs/>
                <w:sz w:val="20"/>
                <w:szCs w:val="20"/>
              </w:rPr>
            </w:pPr>
          </w:p>
        </w:tc>
        <w:tc>
          <w:tcPr>
            <w:tcW w:w="1166" w:type="dxa"/>
            <w:tcBorders>
              <w:top w:val="single" w:color="auto" w:sz="4" w:space="0"/>
            </w:tcBorders>
            <w:shd w:val="clear" w:color="FFFFFF" w:fill="FFFFFF"/>
            <w:vAlign w:val="center"/>
          </w:tcPr>
          <w:p>
            <w:pPr>
              <w:jc w:val="center"/>
              <w:rPr>
                <w:b/>
                <w:bCs/>
                <w:sz w:val="20"/>
                <w:szCs w:val="20"/>
              </w:rPr>
            </w:pPr>
          </w:p>
        </w:tc>
        <w:tc>
          <w:tcPr>
            <w:tcW w:w="1222" w:type="dxa"/>
            <w:tcBorders>
              <w:top w:val="single" w:color="auto" w:sz="4" w:space="0"/>
            </w:tcBorders>
            <w:shd w:val="clear" w:color="FFFFFF" w:fill="FFFFFF"/>
            <w:vAlign w:val="center"/>
          </w:tcPr>
          <w:p>
            <w:pPr>
              <w:jc w:val="center"/>
              <w:rPr>
                <w:b/>
                <w:bCs/>
                <w:sz w:val="20"/>
                <w:szCs w:val="20"/>
              </w:rPr>
            </w:pPr>
          </w:p>
        </w:tc>
        <w:tc>
          <w:tcPr>
            <w:tcW w:w="1766" w:type="dxa"/>
            <w:tcBorders>
              <w:top w:val="single" w:color="auto" w:sz="4" w:space="0"/>
            </w:tcBorders>
            <w:shd w:val="clear" w:color="FFFFFF" w:fill="FFFFFF"/>
            <w:vAlign w:val="center"/>
          </w:tcPr>
          <w:p>
            <w:pPr>
              <w:jc w:val="center"/>
              <w:rPr>
                <w:b/>
                <w:bCs/>
                <w:sz w:val="20"/>
                <w:szCs w:val="20"/>
              </w:rPr>
            </w:pP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i w:val="0"/>
                <w:color w:val="000000"/>
                <w:position w:val="-1"/>
                <w:sz w:val="20"/>
                <w:u w:val="none"/>
              </w:rPr>
              <w:t>原值合计</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12.53</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12.53</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房屋及构筑物</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通用设备</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12.18</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12.18</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专用设备</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文物和陈列品</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图书、档案</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家具、用具、装具及动植物</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0.35</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0.35</w:t>
            </w:r>
          </w:p>
        </w:tc>
      </w:tr>
      <w:tr>
        <w:tblPrEx>
          <w:tblLayout w:type="fixed"/>
          <w:tblCellMar>
            <w:top w:w="0" w:type="dxa"/>
            <w:left w:w="108" w:type="dxa"/>
            <w:bottom w:w="0" w:type="dxa"/>
            <w:right w:w="108" w:type="dxa"/>
          </w:tblCellMar>
        </w:tblPrEx>
        <w:trPr>
          <w:trHeight w:val="455" w:hRule="atLeast"/>
          <w:jc w:val="center"/>
        </w:trPr>
        <w:tc>
          <w:tcPr>
            <w:tcW w:w="3545" w:type="dxa"/>
            <w:tcBorders>
              <w:top w:val="single" w:color="auto" w:sz="4" w:space="0"/>
            </w:tcBorders>
            <w:shd w:val="clear" w:color="FFFFFF" w:fill="FFFFFF"/>
            <w:vAlign w:val="center"/>
          </w:tcPr>
          <w:p>
            <w:pPr>
              <w:pageBreakBefore w:val="0"/>
              <w:jc w:val="left"/>
              <w:textAlignment w:val="auto"/>
            </w:pPr>
            <w:r>
              <w:rPr>
                <w:b/>
                <w:i w:val="0"/>
                <w:color w:val="000000"/>
                <w:position w:val="-1"/>
                <w:sz w:val="20"/>
                <w:u w:val="none"/>
              </w:rPr>
              <w:t>累计折旧合计</w:t>
            </w:r>
          </w:p>
        </w:tc>
        <w:tc>
          <w:tcPr>
            <w:tcW w:w="1908" w:type="dxa"/>
            <w:tcBorders>
              <w:top w:val="single" w:color="auto" w:sz="4" w:space="0"/>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tcBorders>
              <w:top w:val="single" w:color="auto" w:sz="4" w:space="0"/>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1.00</w:t>
            </w:r>
          </w:p>
        </w:tc>
        <w:tc>
          <w:tcPr>
            <w:tcW w:w="1222" w:type="dxa"/>
            <w:tcBorders>
              <w:top w:val="single" w:color="auto" w:sz="4" w:space="0"/>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tcBorders>
              <w:top w:val="single" w:color="auto" w:sz="4" w:space="0"/>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1.00</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房屋及构筑物</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通用设备</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0.99</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0.99</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专用设备</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文物和陈列品</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图书、档案</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家具、用具、装具及动植物</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0.01</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0.01</w:t>
            </w:r>
          </w:p>
        </w:tc>
      </w:tr>
      <w:tr>
        <w:tblPrEx>
          <w:tblLayout w:type="fixed"/>
          <w:tblCellMar>
            <w:top w:w="0" w:type="dxa"/>
            <w:left w:w="108" w:type="dxa"/>
            <w:bottom w:w="0" w:type="dxa"/>
            <w:right w:w="108" w:type="dxa"/>
          </w:tblCellMar>
        </w:tblPrEx>
        <w:trPr>
          <w:trHeight w:val="455" w:hRule="atLeast"/>
          <w:jc w:val="center"/>
        </w:trPr>
        <w:tc>
          <w:tcPr>
            <w:tcW w:w="3545" w:type="dxa"/>
            <w:tcBorders>
              <w:top w:val="single" w:color="auto" w:sz="4" w:space="0"/>
            </w:tcBorders>
            <w:shd w:val="clear" w:color="FFFFFF" w:fill="FFFFFF"/>
            <w:vAlign w:val="center"/>
          </w:tcPr>
          <w:p>
            <w:pPr>
              <w:pageBreakBefore w:val="0"/>
              <w:jc w:val="left"/>
              <w:textAlignment w:val="auto"/>
            </w:pPr>
            <w:r>
              <w:rPr>
                <w:b/>
                <w:i w:val="0"/>
                <w:color w:val="000000"/>
                <w:position w:val="-1"/>
                <w:sz w:val="20"/>
                <w:u w:val="none"/>
              </w:rPr>
              <w:t>净值合计</w:t>
            </w:r>
          </w:p>
        </w:tc>
        <w:tc>
          <w:tcPr>
            <w:tcW w:w="1908" w:type="dxa"/>
            <w:tcBorders>
              <w:top w:val="single" w:color="auto" w:sz="4" w:space="0"/>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tcBorders>
              <w:top w:val="single" w:color="auto" w:sz="4" w:space="0"/>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12.53</w:t>
            </w:r>
          </w:p>
        </w:tc>
        <w:tc>
          <w:tcPr>
            <w:tcW w:w="1222" w:type="dxa"/>
            <w:tcBorders>
              <w:top w:val="single" w:color="auto" w:sz="4" w:space="0"/>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1.00</w:t>
            </w:r>
          </w:p>
        </w:tc>
        <w:tc>
          <w:tcPr>
            <w:tcW w:w="1766" w:type="dxa"/>
            <w:tcBorders>
              <w:top w:val="single" w:color="auto" w:sz="4" w:space="0"/>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11.53</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房屋及构筑物</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通用设备</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12.18</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0.99</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11.19</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专用设备</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文物和陈列品</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pageBreakBefore w:val="0"/>
              <w:jc w:val="left"/>
              <w:textAlignment w:val="auto"/>
            </w:pPr>
            <w:r>
              <w:rPr>
                <w:b w:val="0"/>
                <w:i w:val="0"/>
                <w:color w:val="000000"/>
                <w:position w:val="-1"/>
                <w:sz w:val="20"/>
                <w:u w:val="none"/>
              </w:rPr>
              <w:t xml:space="preserve">  图书、档案</w:t>
            </w:r>
          </w:p>
        </w:tc>
        <w:tc>
          <w:tcPr>
            <w:tcW w:w="1908"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222"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766" w:type="dxa"/>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r>
      <w:tr>
        <w:tblPrEx>
          <w:tblLayout w:type="fixed"/>
          <w:tblCellMar>
            <w:top w:w="0" w:type="dxa"/>
            <w:left w:w="108" w:type="dxa"/>
            <w:bottom w:w="0" w:type="dxa"/>
            <w:right w:w="108" w:type="dxa"/>
          </w:tblCellMar>
        </w:tblPrEx>
        <w:trPr>
          <w:trHeight w:val="455" w:hRule="atLeast"/>
          <w:jc w:val="center"/>
        </w:trPr>
        <w:tc>
          <w:tcPr>
            <w:tcW w:w="3545" w:type="dxa"/>
            <w:tcBorders>
              <w:bottom w:val="single" w:color="auto" w:sz="4" w:space="0"/>
            </w:tcBorders>
            <w:shd w:val="clear" w:color="FFFFFF" w:fill="FFFFFF"/>
            <w:vAlign w:val="center"/>
          </w:tcPr>
          <w:p>
            <w:pPr>
              <w:pageBreakBefore w:val="0"/>
              <w:jc w:val="left"/>
              <w:textAlignment w:val="auto"/>
            </w:pPr>
            <w:r>
              <w:rPr>
                <w:b w:val="0"/>
                <w:i w:val="0"/>
                <w:color w:val="000000"/>
                <w:position w:val="-1"/>
                <w:sz w:val="20"/>
                <w:u w:val="none"/>
              </w:rPr>
              <w:t xml:space="preserve">  家具、用具、装具及动植物</w:t>
            </w:r>
          </w:p>
        </w:tc>
        <w:tc>
          <w:tcPr>
            <w:tcW w:w="1908" w:type="dxa"/>
            <w:tcBorders>
              <w:bottom w:val="single" w:color="auto" w:sz="4" w:space="0"/>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0.00</w:t>
            </w:r>
          </w:p>
        </w:tc>
        <w:tc>
          <w:tcPr>
            <w:tcW w:w="1166" w:type="dxa"/>
            <w:tcBorders>
              <w:bottom w:val="single" w:color="auto" w:sz="4" w:space="0"/>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0.35</w:t>
            </w:r>
          </w:p>
        </w:tc>
        <w:tc>
          <w:tcPr>
            <w:tcW w:w="1222" w:type="dxa"/>
            <w:tcBorders>
              <w:bottom w:val="single" w:color="auto" w:sz="4" w:space="0"/>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0.01</w:t>
            </w:r>
          </w:p>
        </w:tc>
        <w:tc>
          <w:tcPr>
            <w:tcW w:w="1766" w:type="dxa"/>
            <w:tcBorders>
              <w:bottom w:val="single" w:color="auto" w:sz="4" w:space="0"/>
            </w:tcBorders>
            <w:shd w:val="clear" w:color="FFFFFF" w:fill="FFFFFF"/>
            <w:vAlign w:val="center"/>
          </w:tcPr>
          <w:p>
            <w:pPr>
              <w:pageBreakBefore w:val="0"/>
              <w:jc w:val="right"/>
              <w:textAlignment w:val="auto"/>
            </w:pPr>
            <w:r>
              <w:rPr>
                <w:rFonts w:ascii="Times New Roman" w:hAnsi="Times New Roman" w:eastAsia="Times New Roman" w:cs="Times New Roman"/>
                <w:b w:val="0"/>
                <w:i w:val="0"/>
                <w:color w:val="000000"/>
                <w:position w:val="-1"/>
                <w:sz w:val="20"/>
                <w:u w:val="none"/>
              </w:rPr>
              <w:t>0.34</w:t>
            </w:r>
          </w:p>
        </w:tc>
      </w:tr>
    </w:tbl>
    <w:p/>
    <w:p>
      <w:pPr>
        <w:pStyle w:val="110"/>
        <w:ind w:firstLine="600"/>
        <w:outlineLvl w:val="3"/>
        <w:rPr>
          <w:rFonts w:ascii="宋体" w:hAnsi="宋体" w:eastAsia="宋体"/>
        </w:rPr>
      </w:pPr>
      <w:r>
        <w:rPr>
          <w:rFonts w:hint="eastAsia" w:ascii="宋体" w:hAnsi="宋体" w:eastAsia="宋体"/>
        </w:rPr>
        <w:t>（20）其他收入明细信息如下：</w:t>
      </w:r>
    </w:p>
    <w:tbl>
      <w:tblPr>
        <w:tblStyle w:val="41"/>
        <w:tblW w:w="8528" w:type="dxa"/>
        <w:jc w:val="center"/>
        <w:tblInd w:w="0" w:type="dxa"/>
        <w:tblLayout w:type="fixed"/>
        <w:tblCellMar>
          <w:top w:w="0" w:type="dxa"/>
          <w:left w:w="108" w:type="dxa"/>
          <w:bottom w:w="0" w:type="dxa"/>
          <w:right w:w="108" w:type="dxa"/>
        </w:tblCellMar>
      </w:tblPr>
      <w:tblGrid>
        <w:gridCol w:w="8528"/>
      </w:tblGrid>
      <w:tr>
        <w:tblPrEx>
          <w:tblLayout w:type="fixed"/>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rPr>
                <w:sz w:val="22"/>
                <w:szCs w:val="22"/>
              </w:rPr>
            </w:pPr>
            <w:r>
              <w:rPr>
                <w:rFonts w:hint="eastAsia"/>
                <w:sz w:val="22"/>
                <w:szCs w:val="22"/>
              </w:rPr>
              <w:t>附表20</w:t>
            </w:r>
          </w:p>
          <w:p>
            <w:pPr>
              <w:rPr>
                <w:sz w:val="22"/>
                <w:szCs w:val="22"/>
              </w:rPr>
            </w:pPr>
          </w:p>
        </w:tc>
      </w:tr>
      <w:tr>
        <w:tblPrEx>
          <w:tblLayout w:type="fixed"/>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center"/>
              <w:rPr>
                <w:b/>
                <w:bCs/>
                <w:sz w:val="22"/>
                <w:szCs w:val="22"/>
              </w:rPr>
            </w:pPr>
            <w:r>
              <w:rPr>
                <w:rFonts w:hint="eastAsia"/>
                <w:b/>
                <w:bCs/>
                <w:sz w:val="22"/>
                <w:szCs w:val="22"/>
              </w:rPr>
              <w:t>其他收入明细表</w:t>
            </w:r>
          </w:p>
        </w:tc>
      </w:tr>
      <w:tr>
        <w:tblPrEx>
          <w:tblLayout w:type="fixed"/>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right"/>
              <w:rPr>
                <w:b/>
                <w:bCs/>
                <w:sz w:val="20"/>
                <w:szCs w:val="20"/>
              </w:rPr>
            </w:pPr>
            <w:r>
              <w:rPr>
                <w:rFonts w:hint="eastAsia"/>
                <w:sz w:val="20"/>
                <w:szCs w:val="20"/>
              </w:rPr>
              <w:t>单位：万元</w:t>
            </w:r>
          </w:p>
        </w:tc>
      </w:tr>
    </w:tbl>
    <w:p>
      <w:pPr>
        <w:spacing w:line="20" w:lineRule="exact"/>
        <w:jc w:val="right"/>
        <w:rPr>
          <w:sz w:val="20"/>
          <w:szCs w:val="20"/>
        </w:rPr>
      </w:pPr>
    </w:p>
    <w:tbl>
      <w:tblPr>
        <w:tblStyle w:val="42"/>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4" w:type="dxa"/>
            <w:tcBorders>
              <w:top w:val="single" w:color="auto" w:sz="4" w:space="0"/>
              <w:bottom w:val="single" w:color="auto" w:sz="4" w:space="0"/>
            </w:tcBorders>
            <w:shd w:val="clear" w:color="FFFFFF" w:fill="FFFFFF"/>
          </w:tcPr>
          <w:p>
            <w:pPr>
              <w:widowControl/>
              <w:jc w:val="center"/>
              <w:rPr>
                <w:b/>
                <w:bCs/>
                <w:sz w:val="20"/>
                <w:szCs w:val="20"/>
              </w:rPr>
            </w:pPr>
            <w:r>
              <w:rPr>
                <w:rFonts w:hint="eastAsia"/>
                <w:b/>
                <w:bCs/>
                <w:sz w:val="20"/>
                <w:szCs w:val="20"/>
              </w:rPr>
              <w:t>收入来源</w:t>
            </w:r>
          </w:p>
        </w:tc>
        <w:tc>
          <w:tcPr>
            <w:tcW w:w="4264" w:type="dxa"/>
            <w:tcBorders>
              <w:top w:val="single" w:color="auto" w:sz="4" w:space="0"/>
              <w:bottom w:val="single" w:color="auto" w:sz="4" w:space="0"/>
            </w:tcBorders>
            <w:shd w:val="clear" w:color="FFFFFF" w:fill="FFFFFF"/>
          </w:tcPr>
          <w:p>
            <w:pPr>
              <w:widowControl/>
              <w:jc w:val="center"/>
              <w:rPr>
                <w:b/>
                <w:bCs/>
                <w:sz w:val="20"/>
                <w:szCs w:val="20"/>
              </w:rPr>
            </w:pPr>
            <w:r>
              <w:rPr>
                <w:rFonts w:hint="eastAsia"/>
                <w:b/>
                <w:bCs/>
                <w:sz w:val="20"/>
                <w:szCs w:val="20"/>
              </w:rPr>
              <w:t>本年数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exact"/>
        </w:trPr>
        <w:tc>
          <w:tcPr>
            <w:tcW w:w="4264" w:type="dxa"/>
            <w:tcBorders>
              <w:top w:val="single" w:color="auto" w:sz="4" w:space="0"/>
            </w:tcBorders>
            <w:shd w:val="clear" w:color="FFFFFF" w:fill="FFFFFF"/>
          </w:tcPr>
          <w:p>
            <w:pPr>
              <w:widowControl w:val="0"/>
              <w:jc w:val="both"/>
              <w:rPr>
                <w:sz w:val="22"/>
                <w:szCs w:val="22"/>
              </w:rPr>
            </w:pPr>
          </w:p>
        </w:tc>
        <w:tc>
          <w:tcPr>
            <w:tcW w:w="4264" w:type="dxa"/>
            <w:tcBorders>
              <w:top w:val="single" w:color="auto" w:sz="4" w:space="0"/>
            </w:tcBorders>
            <w:shd w:val="clear" w:color="FFFFFF" w:fill="FFFFFF"/>
          </w:tcPr>
          <w:p>
            <w:pPr>
              <w:widowControl w:val="0"/>
              <w:jc w:val="both"/>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264" w:type="dxa"/>
            <w:shd w:val="clear" w:color="FFFFFF" w:fill="FFFFFF"/>
          </w:tcPr>
          <w:p>
            <w:pPr>
              <w:pageBreakBefore w:val="0"/>
              <w:widowControl w:val="0"/>
              <w:jc w:val="left"/>
              <w:textAlignment w:val="auto"/>
            </w:pPr>
            <w:r>
              <w:rPr>
                <w:b/>
                <w:i w:val="0"/>
                <w:color w:val="000000"/>
                <w:position w:val="-1"/>
                <w:sz w:val="20"/>
                <w:u w:val="none"/>
              </w:rPr>
              <w:t>来自本部门内部单位</w:t>
            </w:r>
          </w:p>
        </w:tc>
        <w:tc>
          <w:tcPr>
            <w:tcW w:w="4264" w:type="dxa"/>
            <w:shd w:val="clear" w:color="FFFFFF" w:fill="FFFFFF"/>
          </w:tcPr>
          <w:p>
            <w:pPr>
              <w:pageBreakBefore w:val="0"/>
              <w:widowControl w:val="0"/>
              <w:jc w:val="right"/>
              <w:textAlignment w:val="auto"/>
            </w:pPr>
            <w:r>
              <w:rPr>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264" w:type="dxa"/>
            <w:shd w:val="clear" w:color="FFFFFF" w:fill="FFFFFF"/>
          </w:tcPr>
          <w:p>
            <w:pPr>
              <w:pageBreakBefore w:val="0"/>
              <w:widowControl w:val="0"/>
              <w:jc w:val="left"/>
              <w:textAlignment w:val="auto"/>
            </w:pPr>
            <w:r>
              <w:rPr>
                <w:b/>
                <w:i w:val="0"/>
                <w:color w:val="000000"/>
                <w:position w:val="-1"/>
                <w:sz w:val="20"/>
                <w:u w:val="none"/>
              </w:rPr>
              <w:t>来自本部门以外的同级政府单位</w:t>
            </w:r>
          </w:p>
        </w:tc>
        <w:tc>
          <w:tcPr>
            <w:tcW w:w="4264" w:type="dxa"/>
            <w:shd w:val="clear" w:color="FFFFFF" w:fill="FFFFFF"/>
          </w:tcPr>
          <w:p>
            <w:pPr>
              <w:pageBreakBefore w:val="0"/>
              <w:widowControl w:val="0"/>
              <w:jc w:val="right"/>
              <w:textAlignment w:val="auto"/>
            </w:pPr>
            <w:r>
              <w:rPr>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264" w:type="dxa"/>
            <w:shd w:val="clear" w:color="FFFFFF" w:fill="FFFFFF"/>
          </w:tcPr>
          <w:p>
            <w:pPr>
              <w:pageBreakBefore w:val="0"/>
              <w:widowControl w:val="0"/>
              <w:jc w:val="left"/>
              <w:textAlignment w:val="auto"/>
            </w:pPr>
            <w:r>
              <w:rPr>
                <w:b/>
                <w:i w:val="0"/>
                <w:color w:val="000000"/>
                <w:position w:val="-1"/>
                <w:sz w:val="20"/>
                <w:u w:val="none"/>
              </w:rPr>
              <w:t>来自本部门以外的非同级政府单位</w:t>
            </w:r>
          </w:p>
        </w:tc>
        <w:tc>
          <w:tcPr>
            <w:tcW w:w="4264" w:type="dxa"/>
            <w:shd w:val="clear" w:color="FFFFFF" w:fill="FFFFFF"/>
          </w:tcPr>
          <w:p>
            <w:pPr>
              <w:pageBreakBefore w:val="0"/>
              <w:widowControl w:val="0"/>
              <w:jc w:val="right"/>
              <w:textAlignment w:val="auto"/>
            </w:pPr>
            <w:r>
              <w:rPr>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264" w:type="dxa"/>
            <w:shd w:val="clear" w:color="FFFFFF" w:fill="FFFFFF"/>
          </w:tcPr>
          <w:p>
            <w:pPr>
              <w:pageBreakBefore w:val="0"/>
              <w:widowControl w:val="0"/>
              <w:jc w:val="left"/>
              <w:textAlignment w:val="auto"/>
            </w:pPr>
            <w:r>
              <w:rPr>
                <w:b/>
                <w:i w:val="0"/>
                <w:color w:val="000000"/>
                <w:position w:val="-1"/>
                <w:sz w:val="20"/>
                <w:u w:val="none"/>
              </w:rPr>
              <w:t>来自其他单位</w:t>
            </w:r>
          </w:p>
        </w:tc>
        <w:tc>
          <w:tcPr>
            <w:tcW w:w="4264" w:type="dxa"/>
            <w:shd w:val="clear" w:color="FFFFFF" w:fill="FFFFFF"/>
          </w:tcPr>
          <w:p>
            <w:pPr>
              <w:pageBreakBefore w:val="0"/>
              <w:widowControl w:val="0"/>
              <w:jc w:val="right"/>
              <w:textAlignment w:val="auto"/>
            </w:pPr>
            <w:r>
              <w:rPr>
                <w:b w:val="0"/>
                <w:i w:val="0"/>
                <w:color w:val="000000"/>
                <w:position w:val="-1"/>
                <w:sz w:val="20"/>
                <w:u w:val="none"/>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4264" w:type="dxa"/>
            <w:tcBorders>
              <w:top w:val="single" w:color="auto" w:sz="4" w:space="0"/>
              <w:bottom w:val="single" w:color="auto" w:sz="4" w:space="0"/>
            </w:tcBorders>
            <w:shd w:val="clear" w:color="FFFFFF" w:fill="FFFFFF"/>
          </w:tcPr>
          <w:p>
            <w:pPr>
              <w:pageBreakBefore w:val="0"/>
              <w:widowControl w:val="0"/>
              <w:jc w:val="center"/>
              <w:textAlignment w:val="auto"/>
            </w:pPr>
            <w:r>
              <w:rPr>
                <w:b/>
                <w:i w:val="0"/>
                <w:color w:val="000000"/>
                <w:position w:val="-1"/>
                <w:sz w:val="20"/>
                <w:u w:val="none"/>
              </w:rPr>
              <w:t>合计</w:t>
            </w:r>
          </w:p>
        </w:tc>
        <w:tc>
          <w:tcPr>
            <w:tcW w:w="4264" w:type="dxa"/>
            <w:tcBorders>
              <w:top w:val="single" w:color="auto" w:sz="4" w:space="0"/>
              <w:bottom w:val="single" w:color="auto" w:sz="4" w:space="0"/>
            </w:tcBorders>
            <w:shd w:val="clear" w:color="FFFFFF" w:fill="FFFFFF"/>
          </w:tcPr>
          <w:p>
            <w:pPr>
              <w:pageBreakBefore w:val="0"/>
              <w:widowControl w:val="0"/>
              <w:jc w:val="right"/>
              <w:textAlignment w:val="auto"/>
            </w:pPr>
            <w:r>
              <w:rPr>
                <w:b w:val="0"/>
                <w:i w:val="0"/>
                <w:color w:val="000000"/>
                <w:position w:val="-1"/>
                <w:sz w:val="20"/>
                <w:u w:val="none"/>
              </w:rPr>
              <w:t>200.00</w:t>
            </w:r>
          </w:p>
        </w:tc>
      </w:tr>
    </w:tbl>
    <w:p>
      <w:pPr>
        <w:rPr>
          <w:sz w:val="22"/>
          <w:szCs w:val="22"/>
        </w:rPr>
      </w:pPr>
    </w:p>
    <w:p>
      <w:pPr>
        <w:pStyle w:val="110"/>
        <w:ind w:firstLine="600"/>
        <w:outlineLvl w:val="3"/>
        <w:rPr>
          <w:rFonts w:ascii="宋体" w:hAnsi="宋体" w:eastAsia="宋体"/>
        </w:rPr>
      </w:pPr>
      <w:r>
        <w:rPr>
          <w:rFonts w:hint="eastAsia" w:ascii="宋体" w:hAnsi="宋体" w:eastAsia="宋体"/>
        </w:rPr>
        <w:t>（21）业务活动费用明细信息如下：</w:t>
      </w:r>
    </w:p>
    <w:tbl>
      <w:tblPr>
        <w:tblStyle w:val="41"/>
        <w:tblW w:w="8528" w:type="dxa"/>
        <w:jc w:val="center"/>
        <w:tblInd w:w="0" w:type="dxa"/>
        <w:tblLayout w:type="fixed"/>
        <w:tblCellMar>
          <w:top w:w="0" w:type="dxa"/>
          <w:left w:w="108" w:type="dxa"/>
          <w:bottom w:w="0" w:type="dxa"/>
          <w:right w:w="108" w:type="dxa"/>
        </w:tblCellMar>
      </w:tblPr>
      <w:tblGrid>
        <w:gridCol w:w="8528"/>
      </w:tblGrid>
      <w:tr>
        <w:tblPrEx>
          <w:tblLayout w:type="fixed"/>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rPr>
                <w:sz w:val="22"/>
                <w:szCs w:val="22"/>
              </w:rPr>
            </w:pPr>
            <w:r>
              <w:rPr>
                <w:rFonts w:hint="eastAsia"/>
                <w:sz w:val="22"/>
                <w:szCs w:val="22"/>
              </w:rPr>
              <w:t>附表</w:t>
            </w:r>
            <w:r>
              <w:rPr>
                <w:sz w:val="22"/>
                <w:szCs w:val="22"/>
              </w:rPr>
              <w:t>2</w:t>
            </w:r>
            <w:r>
              <w:rPr>
                <w:rFonts w:hint="eastAsia"/>
                <w:sz w:val="22"/>
                <w:szCs w:val="22"/>
              </w:rPr>
              <w:t>1</w:t>
            </w:r>
          </w:p>
          <w:p>
            <w:pPr>
              <w:rPr>
                <w:sz w:val="22"/>
                <w:szCs w:val="22"/>
              </w:rPr>
            </w:pPr>
          </w:p>
        </w:tc>
      </w:tr>
      <w:tr>
        <w:tblPrEx>
          <w:tblLayout w:type="fixed"/>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center"/>
              <w:rPr>
                <w:b/>
                <w:bCs/>
                <w:sz w:val="22"/>
                <w:szCs w:val="22"/>
              </w:rPr>
            </w:pPr>
            <w:r>
              <w:rPr>
                <w:rFonts w:hint="eastAsia"/>
                <w:b/>
                <w:bCs/>
                <w:sz w:val="22"/>
                <w:szCs w:val="22"/>
              </w:rPr>
              <w:t>业务活动费用明细表</w:t>
            </w:r>
          </w:p>
        </w:tc>
      </w:tr>
      <w:tr>
        <w:tblPrEx>
          <w:tblLayout w:type="fixed"/>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right"/>
              <w:rPr>
                <w:b/>
                <w:bCs/>
                <w:sz w:val="20"/>
                <w:szCs w:val="20"/>
              </w:rPr>
            </w:pPr>
            <w:r>
              <w:rPr>
                <w:rFonts w:hint="eastAsia"/>
                <w:sz w:val="20"/>
                <w:szCs w:val="20"/>
              </w:rPr>
              <w:t>单位：万元</w:t>
            </w:r>
          </w:p>
        </w:tc>
      </w:tr>
    </w:tbl>
    <w:p>
      <w:pPr>
        <w:tabs>
          <w:tab w:val="left" w:pos="4242"/>
          <w:tab w:val="left" w:pos="6754"/>
        </w:tabs>
        <w:spacing w:line="20" w:lineRule="exact"/>
        <w:rPr>
          <w:b/>
          <w:bCs/>
          <w:sz w:val="20"/>
          <w:szCs w:val="20"/>
        </w:rPr>
      </w:pPr>
    </w:p>
    <w:tbl>
      <w:tblPr>
        <w:tblStyle w:val="42"/>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27"/>
        <w:gridCol w:w="2458"/>
        <w:gridCol w:w="2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27" w:type="dxa"/>
            <w:tcBorders>
              <w:top w:val="single" w:color="auto" w:sz="4" w:space="0"/>
              <w:bottom w:val="single" w:color="auto" w:sz="4" w:space="0"/>
            </w:tcBorders>
            <w:shd w:val="clear" w:color="FFFFFF" w:fill="FFFFFF"/>
          </w:tcPr>
          <w:p>
            <w:pPr>
              <w:widowControl/>
              <w:jc w:val="center"/>
              <w:rPr>
                <w:b/>
                <w:bCs/>
                <w:sz w:val="20"/>
                <w:szCs w:val="20"/>
              </w:rPr>
            </w:pPr>
            <w:r>
              <w:rPr>
                <w:rFonts w:hint="eastAsia"/>
                <w:b/>
                <w:bCs/>
                <w:sz w:val="20"/>
                <w:szCs w:val="20"/>
              </w:rPr>
              <w:t>项目</w:t>
            </w:r>
          </w:p>
        </w:tc>
        <w:tc>
          <w:tcPr>
            <w:tcW w:w="2458" w:type="dxa"/>
            <w:tcBorders>
              <w:top w:val="single" w:color="auto" w:sz="4" w:space="0"/>
              <w:bottom w:val="single" w:color="auto" w:sz="4" w:space="0"/>
            </w:tcBorders>
            <w:shd w:val="clear" w:color="FFFFFF" w:fill="FFFFFF"/>
          </w:tcPr>
          <w:p>
            <w:pPr>
              <w:widowControl w:val="0"/>
              <w:jc w:val="center"/>
              <w:rPr>
                <w:b/>
                <w:bCs/>
                <w:sz w:val="20"/>
                <w:szCs w:val="20"/>
              </w:rPr>
            </w:pPr>
            <w:r>
              <w:rPr>
                <w:rFonts w:hint="eastAsia"/>
                <w:b/>
                <w:bCs/>
                <w:sz w:val="20"/>
                <w:szCs w:val="20"/>
              </w:rPr>
              <w:t>本年数</w:t>
            </w:r>
          </w:p>
        </w:tc>
        <w:tc>
          <w:tcPr>
            <w:tcW w:w="2843" w:type="dxa"/>
            <w:tcBorders>
              <w:top w:val="single" w:color="auto" w:sz="4" w:space="0"/>
              <w:bottom w:val="single" w:color="auto" w:sz="4" w:space="0"/>
            </w:tcBorders>
            <w:shd w:val="clear" w:color="FFFFFF" w:fill="FFFFFF"/>
          </w:tcPr>
          <w:p>
            <w:pPr>
              <w:widowControl w:val="0"/>
              <w:jc w:val="center"/>
              <w:rPr>
                <w:b/>
                <w:bCs/>
                <w:sz w:val="20"/>
                <w:szCs w:val="20"/>
              </w:rPr>
            </w:pPr>
            <w:r>
              <w:rPr>
                <w:rFonts w:hint="eastAsia"/>
                <w:b/>
                <w:bCs/>
                <w:sz w:val="20"/>
                <w:szCs w:val="20"/>
              </w:rPr>
              <w:t>上年数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exact"/>
        </w:trPr>
        <w:tc>
          <w:tcPr>
            <w:tcW w:w="3227" w:type="dxa"/>
            <w:tcBorders>
              <w:top w:val="single" w:color="auto" w:sz="4" w:space="0"/>
            </w:tcBorders>
            <w:shd w:val="clear" w:color="FFFFFF" w:fill="FFFFFF"/>
          </w:tcPr>
          <w:p>
            <w:pPr>
              <w:widowControl w:val="0"/>
              <w:jc w:val="both"/>
            </w:pPr>
          </w:p>
        </w:tc>
        <w:tc>
          <w:tcPr>
            <w:tcW w:w="2458" w:type="dxa"/>
            <w:tcBorders>
              <w:top w:val="single" w:color="auto" w:sz="4" w:space="0"/>
            </w:tcBorders>
            <w:shd w:val="clear" w:color="FFFFFF" w:fill="FFFFFF"/>
          </w:tcPr>
          <w:p>
            <w:pPr>
              <w:widowControl w:val="0"/>
              <w:jc w:val="both"/>
            </w:pPr>
          </w:p>
        </w:tc>
        <w:tc>
          <w:tcPr>
            <w:tcW w:w="2843" w:type="dxa"/>
            <w:tcBorders>
              <w:top w:val="single" w:color="auto" w:sz="4" w:space="0"/>
            </w:tcBorders>
            <w:shd w:val="clear" w:color="FFFFFF" w:fill="FFFFFF"/>
          </w:tcPr>
          <w:p>
            <w:pPr>
              <w:widowControl w:val="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227" w:type="dxa"/>
            <w:shd w:val="clear" w:color="FFFFFF" w:fill="FFFFFF"/>
          </w:tcPr>
          <w:p>
            <w:pPr>
              <w:pageBreakBefore w:val="0"/>
              <w:widowControl w:val="0"/>
              <w:jc w:val="left"/>
              <w:textAlignment w:val="auto"/>
            </w:pPr>
            <w:r>
              <w:rPr>
                <w:b w:val="0"/>
                <w:i w:val="0"/>
                <w:color w:val="000000"/>
                <w:position w:val="-1"/>
                <w:sz w:val="20"/>
                <w:u w:val="none"/>
              </w:rPr>
              <w:t xml:space="preserve">  工资和福利费用</w:t>
            </w:r>
          </w:p>
        </w:tc>
        <w:tc>
          <w:tcPr>
            <w:tcW w:w="2458" w:type="dxa"/>
            <w:shd w:val="clear" w:color="FFFFFF" w:fill="FFFFFF"/>
          </w:tcPr>
          <w:p>
            <w:pPr>
              <w:pageBreakBefore w:val="0"/>
              <w:widowControl w:val="0"/>
              <w:jc w:val="right"/>
              <w:textAlignment w:val="auto"/>
            </w:pPr>
            <w:r>
              <w:rPr>
                <w:b w:val="0"/>
                <w:i w:val="0"/>
                <w:color w:val="000000"/>
                <w:position w:val="-1"/>
                <w:sz w:val="20"/>
                <w:u w:val="none"/>
              </w:rPr>
              <w:t>37.52</w:t>
            </w:r>
          </w:p>
        </w:tc>
        <w:tc>
          <w:tcPr>
            <w:tcW w:w="2843" w:type="dxa"/>
            <w:shd w:val="clear" w:color="FFFFFF" w:fill="FFFFFF"/>
          </w:tcPr>
          <w:p>
            <w:pPr>
              <w:pageBreakBefore w:val="0"/>
              <w:widowControl w:val="0"/>
              <w:jc w:val="right"/>
              <w:textAlignment w:val="auto"/>
            </w:pPr>
            <w:r>
              <w:rPr>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227" w:type="dxa"/>
            <w:shd w:val="clear" w:color="FFFFFF" w:fill="FFFFFF"/>
          </w:tcPr>
          <w:p>
            <w:pPr>
              <w:pageBreakBefore w:val="0"/>
              <w:widowControl w:val="0"/>
              <w:jc w:val="left"/>
              <w:textAlignment w:val="auto"/>
            </w:pPr>
            <w:r>
              <w:rPr>
                <w:b w:val="0"/>
                <w:i w:val="0"/>
                <w:color w:val="000000"/>
                <w:position w:val="-1"/>
                <w:sz w:val="20"/>
                <w:u w:val="none"/>
              </w:rPr>
              <w:t xml:space="preserve">  商品和服务费用</w:t>
            </w:r>
          </w:p>
        </w:tc>
        <w:tc>
          <w:tcPr>
            <w:tcW w:w="2458" w:type="dxa"/>
            <w:shd w:val="clear" w:color="FFFFFF" w:fill="FFFFFF"/>
          </w:tcPr>
          <w:p>
            <w:pPr>
              <w:pageBreakBefore w:val="0"/>
              <w:widowControl w:val="0"/>
              <w:jc w:val="right"/>
              <w:textAlignment w:val="auto"/>
            </w:pPr>
            <w:r>
              <w:rPr>
                <w:b w:val="0"/>
                <w:i w:val="0"/>
                <w:color w:val="000000"/>
                <w:position w:val="-1"/>
                <w:sz w:val="20"/>
                <w:u w:val="none"/>
              </w:rPr>
              <w:t>92.64</w:t>
            </w:r>
          </w:p>
        </w:tc>
        <w:tc>
          <w:tcPr>
            <w:tcW w:w="2843" w:type="dxa"/>
            <w:shd w:val="clear" w:color="FFFFFF" w:fill="FFFFFF"/>
          </w:tcPr>
          <w:p>
            <w:pPr>
              <w:pageBreakBefore w:val="0"/>
              <w:widowControl w:val="0"/>
              <w:jc w:val="right"/>
              <w:textAlignment w:val="auto"/>
            </w:pPr>
            <w:r>
              <w:rPr>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227" w:type="dxa"/>
            <w:shd w:val="clear" w:color="FFFFFF" w:fill="FFFFFF"/>
          </w:tcPr>
          <w:p>
            <w:pPr>
              <w:pageBreakBefore w:val="0"/>
              <w:widowControl w:val="0"/>
              <w:jc w:val="left"/>
              <w:textAlignment w:val="auto"/>
            </w:pPr>
            <w:r>
              <w:rPr>
                <w:b w:val="0"/>
                <w:i w:val="0"/>
                <w:color w:val="000000"/>
                <w:position w:val="-1"/>
                <w:sz w:val="20"/>
                <w:u w:val="none"/>
              </w:rPr>
              <w:t xml:space="preserve">  对个人和家庭的补助费用</w:t>
            </w:r>
          </w:p>
        </w:tc>
        <w:tc>
          <w:tcPr>
            <w:tcW w:w="2458" w:type="dxa"/>
            <w:shd w:val="clear" w:color="FFFFFF" w:fill="FFFFFF"/>
          </w:tcPr>
          <w:p>
            <w:pPr>
              <w:pageBreakBefore w:val="0"/>
              <w:widowControl w:val="0"/>
              <w:jc w:val="right"/>
              <w:textAlignment w:val="auto"/>
            </w:pPr>
            <w:r>
              <w:rPr>
                <w:b w:val="0"/>
                <w:i w:val="0"/>
                <w:color w:val="000000"/>
                <w:position w:val="-1"/>
                <w:sz w:val="20"/>
                <w:u w:val="none"/>
              </w:rPr>
              <w:t>2,278.33</w:t>
            </w:r>
          </w:p>
        </w:tc>
        <w:tc>
          <w:tcPr>
            <w:tcW w:w="2843" w:type="dxa"/>
            <w:shd w:val="clear" w:color="FFFFFF" w:fill="FFFFFF"/>
          </w:tcPr>
          <w:p>
            <w:pPr>
              <w:pageBreakBefore w:val="0"/>
              <w:widowControl w:val="0"/>
              <w:jc w:val="right"/>
              <w:textAlignment w:val="auto"/>
            </w:pPr>
            <w:r>
              <w:rPr>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227" w:type="dxa"/>
            <w:shd w:val="clear" w:color="FFFFFF" w:fill="FFFFFF"/>
          </w:tcPr>
          <w:p>
            <w:pPr>
              <w:pageBreakBefore w:val="0"/>
              <w:widowControl w:val="0"/>
              <w:jc w:val="left"/>
              <w:textAlignment w:val="auto"/>
            </w:pPr>
            <w:r>
              <w:rPr>
                <w:b w:val="0"/>
                <w:i w:val="0"/>
                <w:color w:val="000000"/>
                <w:position w:val="-1"/>
                <w:sz w:val="20"/>
                <w:u w:val="none"/>
              </w:rPr>
              <w:t xml:space="preserve">  对企业补助费用</w:t>
            </w:r>
          </w:p>
        </w:tc>
        <w:tc>
          <w:tcPr>
            <w:tcW w:w="2458" w:type="dxa"/>
            <w:shd w:val="clear" w:color="FFFFFF" w:fill="FFFFFF"/>
          </w:tcPr>
          <w:p>
            <w:pPr>
              <w:pageBreakBefore w:val="0"/>
              <w:widowControl w:val="0"/>
              <w:jc w:val="right"/>
              <w:textAlignment w:val="auto"/>
            </w:pPr>
            <w:r>
              <w:rPr>
                <w:b w:val="0"/>
                <w:i w:val="0"/>
                <w:color w:val="000000"/>
                <w:position w:val="-1"/>
                <w:sz w:val="20"/>
                <w:u w:val="none"/>
              </w:rPr>
              <w:t>0.00</w:t>
            </w:r>
          </w:p>
        </w:tc>
        <w:tc>
          <w:tcPr>
            <w:tcW w:w="2843" w:type="dxa"/>
            <w:shd w:val="clear" w:color="FFFFFF" w:fill="FFFFFF"/>
          </w:tcPr>
          <w:p>
            <w:pPr>
              <w:pageBreakBefore w:val="0"/>
              <w:widowControl w:val="0"/>
              <w:jc w:val="right"/>
              <w:textAlignment w:val="auto"/>
            </w:pPr>
            <w:r>
              <w:rPr>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227" w:type="dxa"/>
            <w:shd w:val="clear" w:color="FFFFFF" w:fill="FFFFFF"/>
          </w:tcPr>
          <w:p>
            <w:pPr>
              <w:pageBreakBefore w:val="0"/>
              <w:widowControl w:val="0"/>
              <w:jc w:val="left"/>
              <w:textAlignment w:val="auto"/>
            </w:pPr>
            <w:r>
              <w:rPr>
                <w:b w:val="0"/>
                <w:i w:val="0"/>
                <w:color w:val="000000"/>
                <w:position w:val="-1"/>
                <w:sz w:val="20"/>
                <w:u w:val="none"/>
              </w:rPr>
              <w:t xml:space="preserve">  固定资产折旧费用</w:t>
            </w:r>
          </w:p>
        </w:tc>
        <w:tc>
          <w:tcPr>
            <w:tcW w:w="2458" w:type="dxa"/>
            <w:shd w:val="clear" w:color="FFFFFF" w:fill="FFFFFF"/>
          </w:tcPr>
          <w:p>
            <w:pPr>
              <w:pageBreakBefore w:val="0"/>
              <w:widowControl w:val="0"/>
              <w:jc w:val="right"/>
              <w:textAlignment w:val="auto"/>
            </w:pPr>
            <w:r>
              <w:rPr>
                <w:b w:val="0"/>
                <w:i w:val="0"/>
                <w:color w:val="000000"/>
                <w:position w:val="-1"/>
                <w:sz w:val="20"/>
                <w:u w:val="none"/>
              </w:rPr>
              <w:t>0.28</w:t>
            </w:r>
          </w:p>
        </w:tc>
        <w:tc>
          <w:tcPr>
            <w:tcW w:w="2843" w:type="dxa"/>
            <w:shd w:val="clear" w:color="FFFFFF" w:fill="FFFFFF"/>
          </w:tcPr>
          <w:p>
            <w:pPr>
              <w:pageBreakBefore w:val="0"/>
              <w:widowControl w:val="0"/>
              <w:jc w:val="right"/>
              <w:textAlignment w:val="auto"/>
            </w:pPr>
            <w:r>
              <w:rPr>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227" w:type="dxa"/>
            <w:shd w:val="clear" w:color="FFFFFF" w:fill="FFFFFF"/>
          </w:tcPr>
          <w:p>
            <w:pPr>
              <w:pageBreakBefore w:val="0"/>
              <w:widowControl w:val="0"/>
              <w:jc w:val="left"/>
              <w:textAlignment w:val="auto"/>
            </w:pPr>
            <w:r>
              <w:rPr>
                <w:b w:val="0"/>
                <w:i w:val="0"/>
                <w:color w:val="000000"/>
                <w:position w:val="-1"/>
                <w:sz w:val="20"/>
                <w:u w:val="none"/>
              </w:rPr>
              <w:t xml:space="preserve">  无形资产摊销费用</w:t>
            </w:r>
          </w:p>
        </w:tc>
        <w:tc>
          <w:tcPr>
            <w:tcW w:w="2458" w:type="dxa"/>
            <w:shd w:val="clear" w:color="FFFFFF" w:fill="FFFFFF"/>
          </w:tcPr>
          <w:p>
            <w:pPr>
              <w:pageBreakBefore w:val="0"/>
              <w:widowControl w:val="0"/>
              <w:jc w:val="right"/>
              <w:textAlignment w:val="auto"/>
            </w:pPr>
            <w:r>
              <w:rPr>
                <w:b w:val="0"/>
                <w:i w:val="0"/>
                <w:color w:val="000000"/>
                <w:position w:val="-1"/>
                <w:sz w:val="20"/>
                <w:u w:val="none"/>
              </w:rPr>
              <w:t>0.00</w:t>
            </w:r>
          </w:p>
        </w:tc>
        <w:tc>
          <w:tcPr>
            <w:tcW w:w="2843" w:type="dxa"/>
            <w:shd w:val="clear" w:color="FFFFFF" w:fill="FFFFFF"/>
          </w:tcPr>
          <w:p>
            <w:pPr>
              <w:pageBreakBefore w:val="0"/>
              <w:widowControl w:val="0"/>
              <w:jc w:val="right"/>
              <w:textAlignment w:val="auto"/>
            </w:pPr>
            <w:r>
              <w:rPr>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227" w:type="dxa"/>
            <w:shd w:val="clear" w:color="FFFFFF" w:fill="FFFFFF"/>
          </w:tcPr>
          <w:p>
            <w:pPr>
              <w:pageBreakBefore w:val="0"/>
              <w:widowControl w:val="0"/>
              <w:jc w:val="left"/>
              <w:textAlignment w:val="auto"/>
            </w:pPr>
            <w:r>
              <w:rPr>
                <w:b w:val="0"/>
                <w:i w:val="0"/>
                <w:color w:val="000000"/>
                <w:position w:val="-1"/>
                <w:sz w:val="20"/>
                <w:u w:val="none"/>
              </w:rPr>
              <w:t xml:space="preserve">  公共基础设施折旧（摊销）费用</w:t>
            </w:r>
          </w:p>
        </w:tc>
        <w:tc>
          <w:tcPr>
            <w:tcW w:w="2458" w:type="dxa"/>
            <w:shd w:val="clear" w:color="FFFFFF" w:fill="FFFFFF"/>
          </w:tcPr>
          <w:p>
            <w:pPr>
              <w:pageBreakBefore w:val="0"/>
              <w:widowControl w:val="0"/>
              <w:jc w:val="right"/>
              <w:textAlignment w:val="auto"/>
            </w:pPr>
            <w:r>
              <w:rPr>
                <w:b w:val="0"/>
                <w:i w:val="0"/>
                <w:color w:val="000000"/>
                <w:position w:val="-1"/>
                <w:sz w:val="20"/>
                <w:u w:val="none"/>
              </w:rPr>
              <w:t>0.00</w:t>
            </w:r>
          </w:p>
        </w:tc>
        <w:tc>
          <w:tcPr>
            <w:tcW w:w="2843" w:type="dxa"/>
            <w:shd w:val="clear" w:color="FFFFFF" w:fill="FFFFFF"/>
          </w:tcPr>
          <w:p>
            <w:pPr>
              <w:pageBreakBefore w:val="0"/>
              <w:widowControl w:val="0"/>
              <w:jc w:val="right"/>
              <w:textAlignment w:val="auto"/>
            </w:pPr>
            <w:r>
              <w:rPr>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227" w:type="dxa"/>
            <w:shd w:val="clear" w:color="FFFFFF" w:fill="FFFFFF"/>
          </w:tcPr>
          <w:p>
            <w:pPr>
              <w:pageBreakBefore w:val="0"/>
              <w:widowControl w:val="0"/>
              <w:jc w:val="left"/>
              <w:textAlignment w:val="auto"/>
            </w:pPr>
            <w:r>
              <w:rPr>
                <w:b w:val="0"/>
                <w:i w:val="0"/>
                <w:color w:val="000000"/>
                <w:position w:val="-1"/>
                <w:sz w:val="20"/>
                <w:u w:val="none"/>
              </w:rPr>
              <w:t xml:space="preserve">  保障性住房折旧费用</w:t>
            </w:r>
          </w:p>
        </w:tc>
        <w:tc>
          <w:tcPr>
            <w:tcW w:w="2458" w:type="dxa"/>
            <w:shd w:val="clear" w:color="FFFFFF" w:fill="FFFFFF"/>
          </w:tcPr>
          <w:p>
            <w:pPr>
              <w:pageBreakBefore w:val="0"/>
              <w:widowControl w:val="0"/>
              <w:jc w:val="right"/>
              <w:textAlignment w:val="auto"/>
            </w:pPr>
            <w:r>
              <w:rPr>
                <w:b w:val="0"/>
                <w:i w:val="0"/>
                <w:color w:val="000000"/>
                <w:position w:val="-1"/>
                <w:sz w:val="20"/>
                <w:u w:val="none"/>
              </w:rPr>
              <w:t>0.00</w:t>
            </w:r>
          </w:p>
        </w:tc>
        <w:tc>
          <w:tcPr>
            <w:tcW w:w="2843" w:type="dxa"/>
            <w:shd w:val="clear" w:color="FFFFFF" w:fill="FFFFFF"/>
          </w:tcPr>
          <w:p>
            <w:pPr>
              <w:pageBreakBefore w:val="0"/>
              <w:widowControl w:val="0"/>
              <w:jc w:val="right"/>
              <w:textAlignment w:val="auto"/>
            </w:pPr>
            <w:r>
              <w:rPr>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227" w:type="dxa"/>
            <w:shd w:val="clear" w:color="FFFFFF" w:fill="FFFFFF"/>
          </w:tcPr>
          <w:p>
            <w:pPr>
              <w:pageBreakBefore w:val="0"/>
              <w:widowControl w:val="0"/>
              <w:jc w:val="left"/>
              <w:textAlignment w:val="auto"/>
            </w:pPr>
            <w:r>
              <w:rPr>
                <w:b w:val="0"/>
                <w:i w:val="0"/>
                <w:color w:val="000000"/>
                <w:position w:val="-1"/>
                <w:sz w:val="20"/>
                <w:u w:val="none"/>
              </w:rPr>
              <w:t xml:space="preserve">  计提专用基金</w:t>
            </w:r>
          </w:p>
        </w:tc>
        <w:tc>
          <w:tcPr>
            <w:tcW w:w="2458" w:type="dxa"/>
            <w:shd w:val="clear" w:color="FFFFFF" w:fill="FFFFFF"/>
          </w:tcPr>
          <w:p>
            <w:pPr>
              <w:pageBreakBefore w:val="0"/>
              <w:widowControl w:val="0"/>
              <w:jc w:val="right"/>
              <w:textAlignment w:val="auto"/>
            </w:pPr>
            <w:r>
              <w:rPr>
                <w:b w:val="0"/>
                <w:i w:val="0"/>
                <w:color w:val="000000"/>
                <w:position w:val="-1"/>
                <w:sz w:val="20"/>
                <w:u w:val="none"/>
              </w:rPr>
              <w:t>0.00</w:t>
            </w:r>
          </w:p>
        </w:tc>
        <w:tc>
          <w:tcPr>
            <w:tcW w:w="2843" w:type="dxa"/>
            <w:shd w:val="clear" w:color="FFFFFF" w:fill="FFFFFF"/>
          </w:tcPr>
          <w:p>
            <w:pPr>
              <w:pageBreakBefore w:val="0"/>
              <w:widowControl w:val="0"/>
              <w:jc w:val="right"/>
              <w:textAlignment w:val="auto"/>
            </w:pPr>
            <w:r>
              <w:rPr>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227" w:type="dxa"/>
            <w:shd w:val="clear" w:color="FFFFFF" w:fill="FFFFFF"/>
          </w:tcPr>
          <w:p>
            <w:pPr>
              <w:pageBreakBefore w:val="0"/>
              <w:widowControl w:val="0"/>
              <w:jc w:val="left"/>
              <w:textAlignment w:val="auto"/>
            </w:pPr>
            <w:r>
              <w:rPr>
                <w:b w:val="0"/>
                <w:i w:val="0"/>
                <w:color w:val="000000"/>
                <w:position w:val="-1"/>
                <w:sz w:val="20"/>
                <w:u w:val="none"/>
              </w:rPr>
              <w:t xml:space="preserve">  其他业务活动费用</w:t>
            </w:r>
          </w:p>
        </w:tc>
        <w:tc>
          <w:tcPr>
            <w:tcW w:w="2458" w:type="dxa"/>
            <w:shd w:val="clear" w:color="FFFFFF" w:fill="FFFFFF"/>
          </w:tcPr>
          <w:p>
            <w:pPr>
              <w:pageBreakBefore w:val="0"/>
              <w:widowControl w:val="0"/>
              <w:jc w:val="right"/>
              <w:textAlignment w:val="auto"/>
            </w:pPr>
            <w:r>
              <w:rPr>
                <w:b w:val="0"/>
                <w:i w:val="0"/>
                <w:color w:val="000000"/>
                <w:position w:val="-1"/>
                <w:sz w:val="20"/>
                <w:u w:val="none"/>
              </w:rPr>
              <w:t>0.00</w:t>
            </w:r>
          </w:p>
        </w:tc>
        <w:tc>
          <w:tcPr>
            <w:tcW w:w="2843" w:type="dxa"/>
            <w:shd w:val="clear" w:color="FFFFFF" w:fill="FFFFFF"/>
          </w:tcPr>
          <w:p>
            <w:pPr>
              <w:pageBreakBefore w:val="0"/>
              <w:widowControl w:val="0"/>
              <w:jc w:val="right"/>
              <w:textAlignment w:val="auto"/>
            </w:pPr>
            <w:r>
              <w:rPr>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3227" w:type="dxa"/>
            <w:tcBorders>
              <w:top w:val="single" w:color="auto" w:sz="4" w:space="0"/>
              <w:bottom w:val="single" w:color="auto" w:sz="4" w:space="0"/>
            </w:tcBorders>
            <w:shd w:val="clear" w:color="FFFFFF" w:fill="FFFFFF"/>
          </w:tcPr>
          <w:p>
            <w:pPr>
              <w:pageBreakBefore w:val="0"/>
              <w:widowControl w:val="0"/>
              <w:jc w:val="center"/>
              <w:textAlignment w:val="auto"/>
            </w:pPr>
            <w:r>
              <w:rPr>
                <w:b/>
                <w:i w:val="0"/>
                <w:color w:val="000000"/>
                <w:position w:val="-1"/>
                <w:sz w:val="20"/>
                <w:u w:val="none"/>
              </w:rPr>
              <w:t>合计</w:t>
            </w:r>
          </w:p>
        </w:tc>
        <w:tc>
          <w:tcPr>
            <w:tcW w:w="2458" w:type="dxa"/>
            <w:tcBorders>
              <w:top w:val="single" w:color="auto" w:sz="4" w:space="0"/>
              <w:bottom w:val="single" w:color="auto" w:sz="4" w:space="0"/>
            </w:tcBorders>
            <w:shd w:val="clear" w:color="FFFFFF" w:fill="FFFFFF"/>
          </w:tcPr>
          <w:p>
            <w:pPr>
              <w:pageBreakBefore w:val="0"/>
              <w:widowControl w:val="0"/>
              <w:jc w:val="right"/>
              <w:textAlignment w:val="auto"/>
            </w:pPr>
            <w:r>
              <w:rPr>
                <w:b w:val="0"/>
                <w:i w:val="0"/>
                <w:color w:val="000000"/>
                <w:position w:val="-1"/>
                <w:sz w:val="20"/>
                <w:u w:val="none"/>
              </w:rPr>
              <w:t>2,408.77</w:t>
            </w:r>
          </w:p>
        </w:tc>
        <w:tc>
          <w:tcPr>
            <w:tcW w:w="2843" w:type="dxa"/>
            <w:tcBorders>
              <w:top w:val="single" w:color="auto" w:sz="4" w:space="0"/>
              <w:bottom w:val="single" w:color="auto" w:sz="4" w:space="0"/>
            </w:tcBorders>
            <w:shd w:val="clear" w:color="FFFFFF" w:fill="FFFFFF"/>
          </w:tcPr>
          <w:p>
            <w:pPr>
              <w:pageBreakBefore w:val="0"/>
              <w:widowControl w:val="0"/>
              <w:jc w:val="right"/>
              <w:textAlignment w:val="auto"/>
            </w:pPr>
            <w:r>
              <w:rPr>
                <w:b w:val="0"/>
                <w:i w:val="0"/>
                <w:color w:val="000000"/>
                <w:position w:val="-1"/>
                <w:sz w:val="20"/>
                <w:u w:val="none"/>
              </w:rPr>
              <w:t>0.00</w:t>
            </w:r>
          </w:p>
        </w:tc>
      </w:tr>
    </w:tbl>
    <w:p/>
    <w:p>
      <w:pPr>
        <w:pStyle w:val="110"/>
        <w:ind w:firstLine="600"/>
        <w:outlineLvl w:val="3"/>
        <w:rPr>
          <w:rFonts w:ascii="宋体" w:hAnsi="宋体" w:eastAsia="宋体"/>
        </w:rPr>
      </w:pPr>
      <w:r>
        <w:rPr>
          <w:rFonts w:hint="eastAsia" w:ascii="宋体" w:hAnsi="宋体" w:eastAsia="宋体"/>
        </w:rPr>
        <w:t>（24）商品和服务费用明细信息如下：</w:t>
      </w:r>
    </w:p>
    <w:tbl>
      <w:tblPr>
        <w:tblStyle w:val="41"/>
        <w:tblW w:w="8528" w:type="dxa"/>
        <w:jc w:val="center"/>
        <w:tblInd w:w="0" w:type="dxa"/>
        <w:tblLayout w:type="fixed"/>
        <w:tblCellMar>
          <w:top w:w="0" w:type="dxa"/>
          <w:left w:w="108" w:type="dxa"/>
          <w:bottom w:w="0" w:type="dxa"/>
          <w:right w:w="108" w:type="dxa"/>
        </w:tblCellMar>
      </w:tblPr>
      <w:tblGrid>
        <w:gridCol w:w="8528"/>
      </w:tblGrid>
      <w:tr>
        <w:tblPrEx>
          <w:tblLayout w:type="fixed"/>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rPr>
                <w:sz w:val="22"/>
                <w:szCs w:val="22"/>
              </w:rPr>
            </w:pPr>
            <w:r>
              <w:rPr>
                <w:rFonts w:hint="eastAsia"/>
                <w:sz w:val="22"/>
                <w:szCs w:val="22"/>
              </w:rPr>
              <w:t>附表</w:t>
            </w:r>
            <w:r>
              <w:rPr>
                <w:sz w:val="22"/>
                <w:szCs w:val="22"/>
              </w:rPr>
              <w:t>2</w:t>
            </w:r>
            <w:r>
              <w:rPr>
                <w:rFonts w:hint="eastAsia"/>
                <w:sz w:val="22"/>
                <w:szCs w:val="22"/>
              </w:rPr>
              <w:t>4</w:t>
            </w:r>
          </w:p>
          <w:p>
            <w:pPr>
              <w:rPr>
                <w:sz w:val="22"/>
                <w:szCs w:val="22"/>
              </w:rPr>
            </w:pPr>
          </w:p>
        </w:tc>
      </w:tr>
      <w:tr>
        <w:tblPrEx>
          <w:tblLayout w:type="fixed"/>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center"/>
              <w:rPr>
                <w:b/>
                <w:bCs/>
                <w:sz w:val="22"/>
                <w:szCs w:val="22"/>
              </w:rPr>
            </w:pPr>
            <w:r>
              <w:rPr>
                <w:rFonts w:hint="eastAsia"/>
                <w:b/>
                <w:bCs/>
                <w:sz w:val="22"/>
                <w:szCs w:val="22"/>
              </w:rPr>
              <w:t>商品和服务费用明细表</w:t>
            </w:r>
          </w:p>
        </w:tc>
      </w:tr>
      <w:tr>
        <w:tblPrEx>
          <w:tblLayout w:type="fixed"/>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right"/>
              <w:rPr>
                <w:b/>
                <w:bCs/>
                <w:sz w:val="20"/>
                <w:szCs w:val="20"/>
              </w:rPr>
            </w:pPr>
            <w:r>
              <w:rPr>
                <w:rFonts w:hint="eastAsia"/>
                <w:sz w:val="20"/>
                <w:szCs w:val="20"/>
              </w:rPr>
              <w:t>单位：万元</w:t>
            </w:r>
          </w:p>
        </w:tc>
      </w:tr>
    </w:tbl>
    <w:p>
      <w:pPr>
        <w:spacing w:line="20" w:lineRule="exact"/>
        <w:jc w:val="right"/>
        <w:rPr>
          <w:sz w:val="20"/>
          <w:szCs w:val="20"/>
        </w:rPr>
      </w:pPr>
    </w:p>
    <w:tbl>
      <w:tblPr>
        <w:tblStyle w:val="42"/>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77"/>
        <w:gridCol w:w="993"/>
        <w:gridCol w:w="1275"/>
        <w:gridCol w:w="1276"/>
        <w:gridCol w:w="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77" w:type="dxa"/>
            <w:vMerge w:val="restart"/>
            <w:tcBorders>
              <w:top w:val="single" w:color="auto" w:sz="4" w:space="0"/>
            </w:tcBorders>
            <w:shd w:val="clear" w:color="FFFFFF" w:fill="FFFFFF"/>
          </w:tcPr>
          <w:p>
            <w:pPr>
              <w:widowControl w:val="0"/>
              <w:spacing w:line="480" w:lineRule="auto"/>
              <w:jc w:val="center"/>
              <w:rPr>
                <w:sz w:val="22"/>
                <w:szCs w:val="22"/>
              </w:rPr>
            </w:pPr>
            <w:r>
              <w:rPr>
                <w:rFonts w:hint="eastAsia"/>
                <w:sz w:val="22"/>
                <w:szCs w:val="22"/>
              </w:rPr>
              <w:t>项目</w:t>
            </w:r>
          </w:p>
        </w:tc>
        <w:tc>
          <w:tcPr>
            <w:tcW w:w="4451" w:type="dxa"/>
            <w:gridSpan w:val="4"/>
            <w:tcBorders>
              <w:top w:val="single" w:color="auto" w:sz="4" w:space="0"/>
              <w:bottom w:val="single" w:color="auto" w:sz="4" w:space="0"/>
            </w:tcBorders>
            <w:shd w:val="clear" w:color="FFFFFF" w:fill="FFFFFF"/>
          </w:tcPr>
          <w:p>
            <w:pPr>
              <w:widowControl w:val="0"/>
              <w:jc w:val="center"/>
              <w:rPr>
                <w:sz w:val="22"/>
                <w:szCs w:val="22"/>
              </w:rPr>
            </w:pPr>
            <w:r>
              <w:rPr>
                <w:rFonts w:hint="eastAsia"/>
                <w:sz w:val="22"/>
                <w:szCs w:val="22"/>
              </w:rPr>
              <w:t>本年数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77" w:type="dxa"/>
            <w:vMerge w:val="continue"/>
            <w:tcBorders>
              <w:bottom w:val="single" w:color="auto" w:sz="4" w:space="0"/>
            </w:tcBorders>
            <w:shd w:val="clear" w:color="FFFFFF" w:fill="FFFFFF"/>
          </w:tcPr>
          <w:p>
            <w:pPr>
              <w:widowControl w:val="0"/>
              <w:jc w:val="center"/>
              <w:rPr>
                <w:sz w:val="22"/>
                <w:szCs w:val="22"/>
              </w:rPr>
            </w:pPr>
          </w:p>
        </w:tc>
        <w:tc>
          <w:tcPr>
            <w:tcW w:w="993" w:type="dxa"/>
            <w:tcBorders>
              <w:top w:val="single" w:color="auto" w:sz="4" w:space="0"/>
              <w:bottom w:val="single" w:color="auto" w:sz="4" w:space="0"/>
            </w:tcBorders>
            <w:shd w:val="clear" w:color="FFFFFF" w:fill="FFFFFF"/>
          </w:tcPr>
          <w:p>
            <w:pPr>
              <w:widowControl w:val="0"/>
              <w:spacing w:line="480" w:lineRule="auto"/>
              <w:jc w:val="center"/>
              <w:rPr>
                <w:sz w:val="22"/>
                <w:szCs w:val="22"/>
              </w:rPr>
            </w:pPr>
            <w:r>
              <w:rPr>
                <w:rFonts w:hint="eastAsia"/>
                <w:sz w:val="22"/>
                <w:szCs w:val="22"/>
              </w:rPr>
              <w:t>合计</w:t>
            </w:r>
          </w:p>
        </w:tc>
        <w:tc>
          <w:tcPr>
            <w:tcW w:w="1275" w:type="dxa"/>
            <w:tcBorders>
              <w:top w:val="single" w:color="auto" w:sz="4" w:space="0"/>
              <w:bottom w:val="single" w:color="auto" w:sz="4" w:space="0"/>
            </w:tcBorders>
            <w:shd w:val="clear" w:color="FFFFFF" w:fill="FFFFFF"/>
          </w:tcPr>
          <w:p>
            <w:pPr>
              <w:widowControl w:val="0"/>
              <w:jc w:val="center"/>
              <w:rPr>
                <w:sz w:val="22"/>
                <w:szCs w:val="22"/>
              </w:rPr>
            </w:pPr>
            <w:r>
              <w:rPr>
                <w:rFonts w:hint="eastAsia"/>
                <w:sz w:val="22"/>
                <w:szCs w:val="22"/>
              </w:rPr>
              <w:t>业务活动费用</w:t>
            </w:r>
          </w:p>
        </w:tc>
        <w:tc>
          <w:tcPr>
            <w:tcW w:w="1276" w:type="dxa"/>
            <w:tcBorders>
              <w:top w:val="single" w:color="auto" w:sz="4" w:space="0"/>
              <w:bottom w:val="single" w:color="auto" w:sz="4" w:space="0"/>
            </w:tcBorders>
            <w:shd w:val="clear" w:color="FFFFFF" w:fill="FFFFFF"/>
          </w:tcPr>
          <w:p>
            <w:pPr>
              <w:widowControl w:val="0"/>
              <w:jc w:val="center"/>
              <w:rPr>
                <w:sz w:val="22"/>
                <w:szCs w:val="22"/>
              </w:rPr>
            </w:pPr>
            <w:r>
              <w:rPr>
                <w:rFonts w:hint="eastAsia"/>
                <w:sz w:val="22"/>
                <w:szCs w:val="22"/>
              </w:rPr>
              <w:t>单位管理费用</w:t>
            </w:r>
          </w:p>
        </w:tc>
        <w:tc>
          <w:tcPr>
            <w:tcW w:w="907" w:type="dxa"/>
            <w:tcBorders>
              <w:top w:val="single" w:color="auto" w:sz="4" w:space="0"/>
              <w:bottom w:val="single" w:color="auto" w:sz="4" w:space="0"/>
            </w:tcBorders>
            <w:shd w:val="clear" w:color="FFFFFF" w:fill="FFFFFF"/>
          </w:tcPr>
          <w:p>
            <w:pPr>
              <w:widowControl w:val="0"/>
              <w:jc w:val="center"/>
              <w:rPr>
                <w:sz w:val="22"/>
                <w:szCs w:val="22"/>
              </w:rPr>
            </w:pPr>
            <w:r>
              <w:rPr>
                <w:rFonts w:hint="eastAsia"/>
                <w:sz w:val="22"/>
                <w:szCs w:val="22"/>
              </w:rPr>
              <w:t>经营</w:t>
            </w:r>
          </w:p>
          <w:p>
            <w:pPr>
              <w:widowControl w:val="0"/>
              <w:jc w:val="center"/>
              <w:rPr>
                <w:sz w:val="22"/>
                <w:szCs w:val="22"/>
              </w:rPr>
            </w:pPr>
            <w:r>
              <w:rPr>
                <w:rFonts w:hint="eastAsia"/>
                <w:sz w:val="22"/>
                <w:szCs w:val="22"/>
              </w:rPr>
              <w:t>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exact"/>
        </w:trPr>
        <w:tc>
          <w:tcPr>
            <w:tcW w:w="4077" w:type="dxa"/>
            <w:tcBorders>
              <w:top w:val="single" w:color="auto" w:sz="4" w:space="0"/>
            </w:tcBorders>
            <w:shd w:val="clear" w:color="FFFFFF" w:fill="FFFFFF"/>
          </w:tcPr>
          <w:p>
            <w:pPr>
              <w:widowControl w:val="0"/>
              <w:jc w:val="both"/>
              <w:rPr>
                <w:sz w:val="22"/>
                <w:szCs w:val="22"/>
              </w:rPr>
            </w:pPr>
          </w:p>
        </w:tc>
        <w:tc>
          <w:tcPr>
            <w:tcW w:w="993" w:type="dxa"/>
            <w:tcBorders>
              <w:top w:val="single" w:color="auto" w:sz="4" w:space="0"/>
            </w:tcBorders>
            <w:shd w:val="clear" w:color="FFFFFF" w:fill="FFFFFF"/>
          </w:tcPr>
          <w:p>
            <w:pPr>
              <w:widowControl w:val="0"/>
              <w:jc w:val="both"/>
              <w:rPr>
                <w:sz w:val="22"/>
                <w:szCs w:val="22"/>
              </w:rPr>
            </w:pPr>
          </w:p>
        </w:tc>
        <w:tc>
          <w:tcPr>
            <w:tcW w:w="1275" w:type="dxa"/>
            <w:tcBorders>
              <w:top w:val="single" w:color="auto" w:sz="4" w:space="0"/>
            </w:tcBorders>
            <w:shd w:val="clear" w:color="FFFFFF" w:fill="FFFFFF"/>
          </w:tcPr>
          <w:p>
            <w:pPr>
              <w:widowControl w:val="0"/>
              <w:jc w:val="both"/>
              <w:rPr>
                <w:sz w:val="22"/>
                <w:szCs w:val="22"/>
              </w:rPr>
            </w:pPr>
          </w:p>
        </w:tc>
        <w:tc>
          <w:tcPr>
            <w:tcW w:w="1276" w:type="dxa"/>
            <w:tcBorders>
              <w:top w:val="single" w:color="auto" w:sz="4" w:space="0"/>
            </w:tcBorders>
            <w:shd w:val="clear" w:color="FFFFFF" w:fill="FFFFFF"/>
          </w:tcPr>
          <w:p>
            <w:pPr>
              <w:widowControl w:val="0"/>
              <w:jc w:val="both"/>
              <w:rPr>
                <w:sz w:val="22"/>
                <w:szCs w:val="22"/>
              </w:rPr>
            </w:pPr>
          </w:p>
        </w:tc>
        <w:tc>
          <w:tcPr>
            <w:tcW w:w="907" w:type="dxa"/>
            <w:tcBorders>
              <w:top w:val="single" w:color="auto" w:sz="4" w:space="0"/>
            </w:tcBorders>
            <w:shd w:val="clear" w:color="FFFFFF" w:fill="FFFFFF"/>
          </w:tcPr>
          <w:p>
            <w:pPr>
              <w:widowControl w:val="0"/>
              <w:jc w:val="both"/>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077" w:type="dxa"/>
            <w:shd w:val="clear" w:color="FFFFFF" w:fill="FFFFFF"/>
          </w:tcPr>
          <w:p>
            <w:pPr>
              <w:pageBreakBefore w:val="0"/>
              <w:widowControl w:val="0"/>
              <w:jc w:val="left"/>
              <w:textAlignment w:val="auto"/>
            </w:pPr>
            <w:r>
              <w:rPr>
                <w:rFonts w:ascii="Times New Roman" w:hAnsi="Times New Roman" w:eastAsia="Times New Roman" w:cs="Times New Roman"/>
                <w:b/>
                <w:i w:val="0"/>
                <w:color w:val="000000"/>
                <w:position w:val="-1"/>
                <w:sz w:val="20"/>
                <w:u w:val="none"/>
              </w:rPr>
              <w:t>支付给部门内部单位</w:t>
            </w:r>
          </w:p>
        </w:tc>
        <w:tc>
          <w:tcPr>
            <w:tcW w:w="993"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0.00</w:t>
            </w:r>
          </w:p>
        </w:tc>
        <w:tc>
          <w:tcPr>
            <w:tcW w:w="1275"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0.00</w:t>
            </w:r>
          </w:p>
        </w:tc>
        <w:tc>
          <w:tcPr>
            <w:tcW w:w="1276"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0.00</w:t>
            </w:r>
          </w:p>
        </w:tc>
        <w:tc>
          <w:tcPr>
            <w:tcW w:w="907"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077" w:type="dxa"/>
            <w:shd w:val="clear" w:color="FFFFFF" w:fill="FFFFFF"/>
          </w:tcPr>
          <w:p>
            <w:pPr>
              <w:pageBreakBefore w:val="0"/>
              <w:widowControl w:val="0"/>
              <w:jc w:val="left"/>
              <w:textAlignment w:val="auto"/>
            </w:pPr>
            <w:r>
              <w:rPr>
                <w:rFonts w:ascii="Times New Roman" w:hAnsi="Times New Roman" w:eastAsia="Times New Roman" w:cs="Times New Roman"/>
                <w:b/>
                <w:i w:val="0"/>
                <w:color w:val="000000"/>
                <w:position w:val="-1"/>
                <w:sz w:val="20"/>
                <w:u w:val="none"/>
              </w:rPr>
              <w:t>支付给本部门以外的同级政府单位</w:t>
            </w:r>
          </w:p>
        </w:tc>
        <w:tc>
          <w:tcPr>
            <w:tcW w:w="993"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0.00</w:t>
            </w:r>
          </w:p>
        </w:tc>
        <w:tc>
          <w:tcPr>
            <w:tcW w:w="1275"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0.00</w:t>
            </w:r>
          </w:p>
        </w:tc>
        <w:tc>
          <w:tcPr>
            <w:tcW w:w="1276"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0.00</w:t>
            </w:r>
          </w:p>
        </w:tc>
        <w:tc>
          <w:tcPr>
            <w:tcW w:w="907"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077" w:type="dxa"/>
            <w:shd w:val="clear" w:color="FFFFFF" w:fill="FFFFFF"/>
          </w:tcPr>
          <w:p>
            <w:pPr>
              <w:pageBreakBefore w:val="0"/>
              <w:widowControl w:val="0"/>
              <w:jc w:val="left"/>
              <w:textAlignment w:val="auto"/>
            </w:pPr>
            <w:r>
              <w:rPr>
                <w:rFonts w:ascii="Times New Roman" w:hAnsi="Times New Roman" w:eastAsia="Times New Roman" w:cs="Times New Roman"/>
                <w:b w:val="0"/>
                <w:i w:val="0"/>
                <w:color w:val="000000"/>
                <w:position w:val="-1"/>
                <w:sz w:val="20"/>
                <w:u w:val="none"/>
              </w:rPr>
              <w:t>支付给本部门以外的非同级政府单位</w:t>
            </w:r>
          </w:p>
        </w:tc>
        <w:tc>
          <w:tcPr>
            <w:tcW w:w="993"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10.00</w:t>
            </w:r>
          </w:p>
        </w:tc>
        <w:tc>
          <w:tcPr>
            <w:tcW w:w="1275"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10.00</w:t>
            </w:r>
          </w:p>
        </w:tc>
        <w:tc>
          <w:tcPr>
            <w:tcW w:w="1276"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0.00</w:t>
            </w:r>
          </w:p>
        </w:tc>
        <w:tc>
          <w:tcPr>
            <w:tcW w:w="907"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077" w:type="dxa"/>
            <w:shd w:val="clear" w:color="FFFFFF" w:fill="FFFFFF"/>
          </w:tcPr>
          <w:p>
            <w:pPr>
              <w:pageBreakBefore w:val="0"/>
              <w:widowControl w:val="0"/>
              <w:jc w:val="left"/>
              <w:textAlignment w:val="auto"/>
            </w:pPr>
            <w:r>
              <w:rPr>
                <w:rFonts w:ascii="Times New Roman" w:hAnsi="Times New Roman" w:eastAsia="Times New Roman" w:cs="Times New Roman"/>
                <w:b w:val="0"/>
                <w:i w:val="0"/>
                <w:color w:val="000000"/>
                <w:position w:val="-1"/>
                <w:sz w:val="20"/>
                <w:u w:val="none"/>
              </w:rPr>
              <w:t xml:space="preserve">  重庆市秀山土家族苗族自治县海洋乡部门</w:t>
            </w:r>
          </w:p>
        </w:tc>
        <w:tc>
          <w:tcPr>
            <w:tcW w:w="993"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10.00</w:t>
            </w:r>
          </w:p>
        </w:tc>
        <w:tc>
          <w:tcPr>
            <w:tcW w:w="1275"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10.00</w:t>
            </w:r>
          </w:p>
        </w:tc>
        <w:tc>
          <w:tcPr>
            <w:tcW w:w="1276"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0.00</w:t>
            </w:r>
          </w:p>
        </w:tc>
        <w:tc>
          <w:tcPr>
            <w:tcW w:w="907"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077" w:type="dxa"/>
            <w:shd w:val="clear" w:color="FFFFFF" w:fill="FFFFFF"/>
          </w:tcPr>
          <w:p>
            <w:pPr>
              <w:pageBreakBefore w:val="0"/>
              <w:widowControl w:val="0"/>
              <w:jc w:val="left"/>
              <w:textAlignment w:val="auto"/>
            </w:pPr>
            <w:r>
              <w:rPr>
                <w:rFonts w:ascii="Times New Roman" w:hAnsi="Times New Roman" w:eastAsia="Times New Roman" w:cs="Times New Roman"/>
                <w:b/>
                <w:i w:val="0"/>
                <w:color w:val="000000"/>
                <w:position w:val="-1"/>
                <w:sz w:val="20"/>
                <w:u w:val="none"/>
              </w:rPr>
              <w:t>支付给其他单位</w:t>
            </w:r>
          </w:p>
        </w:tc>
        <w:tc>
          <w:tcPr>
            <w:tcW w:w="993"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82.64</w:t>
            </w:r>
          </w:p>
        </w:tc>
        <w:tc>
          <w:tcPr>
            <w:tcW w:w="1275"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82.64</w:t>
            </w:r>
          </w:p>
        </w:tc>
        <w:tc>
          <w:tcPr>
            <w:tcW w:w="1276"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0.00</w:t>
            </w:r>
          </w:p>
        </w:tc>
        <w:tc>
          <w:tcPr>
            <w:tcW w:w="907" w:type="dxa"/>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4077" w:type="dxa"/>
            <w:tcBorders>
              <w:top w:val="single" w:color="auto" w:sz="4" w:space="0"/>
              <w:bottom w:val="single" w:color="auto" w:sz="4" w:space="0"/>
            </w:tcBorders>
            <w:shd w:val="clear" w:color="FFFFFF" w:fill="FFFFFF"/>
          </w:tcPr>
          <w:p>
            <w:pPr>
              <w:pageBreakBefore w:val="0"/>
              <w:widowControl w:val="0"/>
              <w:jc w:val="center"/>
              <w:textAlignment w:val="auto"/>
            </w:pPr>
            <w:r>
              <w:rPr>
                <w:rFonts w:ascii="Times New Roman" w:hAnsi="Times New Roman" w:eastAsia="Times New Roman" w:cs="Times New Roman"/>
                <w:b/>
                <w:i w:val="0"/>
                <w:color w:val="000000"/>
                <w:position w:val="-1"/>
                <w:sz w:val="20"/>
                <w:u w:val="none"/>
              </w:rPr>
              <w:t>合计</w:t>
            </w:r>
          </w:p>
        </w:tc>
        <w:tc>
          <w:tcPr>
            <w:tcW w:w="993" w:type="dxa"/>
            <w:tcBorders>
              <w:top w:val="single" w:color="auto" w:sz="4" w:space="0"/>
              <w:bottom w:val="single" w:color="auto" w:sz="4" w:space="0"/>
            </w:tcBorders>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92.64</w:t>
            </w:r>
          </w:p>
        </w:tc>
        <w:tc>
          <w:tcPr>
            <w:tcW w:w="1275" w:type="dxa"/>
            <w:tcBorders>
              <w:top w:val="single" w:color="auto" w:sz="4" w:space="0"/>
              <w:bottom w:val="single" w:color="auto" w:sz="4" w:space="0"/>
            </w:tcBorders>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92.64</w:t>
            </w:r>
          </w:p>
        </w:tc>
        <w:tc>
          <w:tcPr>
            <w:tcW w:w="1276" w:type="dxa"/>
            <w:tcBorders>
              <w:top w:val="single" w:color="auto" w:sz="4" w:space="0"/>
              <w:bottom w:val="single" w:color="auto" w:sz="4" w:space="0"/>
            </w:tcBorders>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0.00</w:t>
            </w:r>
          </w:p>
        </w:tc>
        <w:tc>
          <w:tcPr>
            <w:tcW w:w="907" w:type="dxa"/>
            <w:tcBorders>
              <w:top w:val="single" w:color="auto" w:sz="4" w:space="0"/>
              <w:bottom w:val="single" w:color="auto" w:sz="4" w:space="0"/>
            </w:tcBorders>
            <w:shd w:val="clear" w:color="FFFFFF" w:fill="FFFFFF"/>
          </w:tcPr>
          <w:p>
            <w:pPr>
              <w:pageBreakBefore w:val="0"/>
              <w:widowControl w:val="0"/>
              <w:jc w:val="right"/>
              <w:textAlignment w:val="auto"/>
            </w:pPr>
            <w:r>
              <w:rPr>
                <w:rFonts w:ascii="Times New Roman" w:hAnsi="Times New Roman" w:eastAsia="Times New Roman" w:cs="Times New Roman"/>
                <w:b w:val="0"/>
                <w:i w:val="0"/>
                <w:color w:val="000000"/>
                <w:position w:val="-1"/>
                <w:sz w:val="20"/>
                <w:u w:val="none"/>
              </w:rPr>
              <w:t>0.00</w:t>
            </w:r>
          </w:p>
        </w:tc>
      </w:tr>
    </w:tbl>
    <w:p>
      <w:pPr>
        <w:rPr>
          <w:sz w:val="22"/>
          <w:szCs w:val="22"/>
        </w:rPr>
      </w:pPr>
    </w:p>
    <w:p>
      <w:pPr>
        <w:pStyle w:val="4"/>
        <w:numPr>
          <w:ilvl w:val="0"/>
          <w:numId w:val="2"/>
        </w:numPr>
        <w:spacing w:before="0" w:after="0" w:line="360" w:lineRule="auto"/>
        <w:ind w:firstLine="602"/>
        <w:jc w:val="left"/>
        <w:rPr>
          <w:rFonts w:hint="eastAsia" w:ascii="仿宋" w:hAnsi="仿宋" w:eastAsia="仿宋"/>
          <w:b/>
        </w:rPr>
      </w:pPr>
      <w:bookmarkStart w:id="67" w:name="_Toc35452586"/>
      <w:bookmarkStart w:id="68" w:name="_Toc35500812"/>
      <w:r>
        <w:rPr>
          <w:rFonts w:hint="eastAsia" w:ascii="仿宋" w:hAnsi="仿宋" w:eastAsia="仿宋"/>
          <w:b/>
        </w:rPr>
        <w:t>需要说明的其他事项。</w:t>
      </w:r>
      <w:bookmarkEnd w:id="67"/>
      <w:bookmarkEnd w:id="68"/>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我单位无在会计报表中列示的重大事项。无其他需要说明的事项。</w:t>
      </w:r>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outlineLvl w:val="9"/>
        <w:rPr>
          <w:rFonts w:hint="eastAsia" w:ascii="仿宋" w:hAnsi="仿宋" w:eastAsia="仿宋" w:cs="仿宋"/>
          <w:sz w:val="30"/>
          <w:szCs w:val="30"/>
        </w:rPr>
      </w:pPr>
    </w:p>
    <w:p>
      <w:pPr>
        <w:pStyle w:val="2"/>
        <w:spacing w:before="0" w:after="0" w:line="360" w:lineRule="auto"/>
        <w:rPr>
          <w:rFonts w:ascii="宋体" w:eastAsia="宋体"/>
          <w:sz w:val="32"/>
          <w:szCs w:val="32"/>
        </w:rPr>
      </w:pPr>
      <w:bookmarkStart w:id="69" w:name="_Toc503548887"/>
      <w:bookmarkStart w:id="70" w:name="_Toc436083530"/>
      <w:bookmarkStart w:id="71" w:name="_Toc35500813"/>
      <w:bookmarkStart w:id="72" w:name="_Toc35452587"/>
      <w:r>
        <w:rPr>
          <w:rFonts w:hint="eastAsia" w:ascii="宋体" w:eastAsia="宋体"/>
          <w:sz w:val="32"/>
          <w:szCs w:val="32"/>
        </w:rPr>
        <w:t>二、政府部门财务分析</w:t>
      </w:r>
      <w:bookmarkEnd w:id="69"/>
      <w:bookmarkEnd w:id="70"/>
      <w:bookmarkEnd w:id="71"/>
      <w:bookmarkEnd w:id="72"/>
    </w:p>
    <w:p>
      <w:pPr>
        <w:pStyle w:val="4"/>
        <w:spacing w:before="0" w:after="0" w:line="360" w:lineRule="auto"/>
        <w:ind w:firstLine="602"/>
        <w:jc w:val="left"/>
        <w:rPr>
          <w:rFonts w:ascii="仿宋" w:hAnsi="仿宋" w:eastAsia="仿宋" w:cs="黑体"/>
          <w:b/>
          <w:spacing w:val="-8"/>
          <w:highlight w:val="none"/>
        </w:rPr>
      </w:pPr>
      <w:bookmarkStart w:id="73" w:name="_Toc503548888"/>
      <w:bookmarkStart w:id="74" w:name="_Toc436083531"/>
      <w:bookmarkStart w:id="75" w:name="_Toc35452588"/>
      <w:bookmarkStart w:id="76" w:name="_Toc35500814"/>
      <w:r>
        <w:rPr>
          <w:rFonts w:hint="eastAsia" w:ascii="仿宋" w:hAnsi="仿宋" w:eastAsia="仿宋"/>
          <w:b/>
          <w:highlight w:val="none"/>
        </w:rPr>
        <w:t>（一）</w:t>
      </w:r>
      <w:bookmarkEnd w:id="73"/>
      <w:bookmarkEnd w:id="74"/>
      <w:bookmarkStart w:id="77" w:name="_Toc436083532"/>
      <w:bookmarkStart w:id="78" w:name="_Toc503548889"/>
      <w:r>
        <w:rPr>
          <w:rFonts w:ascii="仿宋" w:hAnsi="仿宋" w:eastAsia="仿宋" w:cs="黑体"/>
          <w:b/>
          <w:spacing w:val="-8"/>
          <w:highlight w:val="none"/>
        </w:rPr>
        <w:t>政府部门工作目标完成情况。</w:t>
      </w:r>
      <w:bookmarkEnd w:id="75"/>
      <w:bookmarkEnd w:id="76"/>
    </w:p>
    <w:p>
      <w:pPr>
        <w:spacing w:line="600" w:lineRule="exact"/>
        <w:ind w:firstLine="560" w:firstLineChars="200"/>
        <w:rPr>
          <w:rFonts w:ascii="仿宋_GB2312" w:hAnsi="仿宋_GB2312" w:cs="仿宋_GB2312"/>
          <w:sz w:val="28"/>
          <w:szCs w:val="28"/>
        </w:rPr>
      </w:pPr>
      <w:bookmarkStart w:id="79" w:name="_Toc35500815"/>
      <w:r>
        <w:rPr>
          <w:rFonts w:hint="eastAsia" w:ascii="仿宋_GB2312" w:hAnsi="仿宋_GB2312" w:cs="仿宋_GB2312"/>
          <w:sz w:val="28"/>
          <w:szCs w:val="28"/>
        </w:rPr>
        <w:t>截至2019年12月31日,我单位拥有资产</w:t>
      </w:r>
      <w:r>
        <w:rPr>
          <w:rFonts w:hint="eastAsia" w:ascii="仿宋_GB2312" w:hAnsi="仿宋_GB2312" w:cs="仿宋_GB2312"/>
          <w:sz w:val="28"/>
          <w:szCs w:val="28"/>
          <w:lang w:val="en-US" w:eastAsia="zh-CN"/>
        </w:rPr>
        <w:t>4326990.96</w:t>
      </w:r>
      <w:r>
        <w:rPr>
          <w:rFonts w:hint="eastAsia" w:ascii="仿宋_GB2312" w:hAnsi="仿宋_GB2312" w:cs="仿宋_GB2312"/>
          <w:sz w:val="28"/>
          <w:szCs w:val="28"/>
        </w:rPr>
        <w:t>元，负债</w:t>
      </w:r>
      <w:r>
        <w:rPr>
          <w:rFonts w:hint="eastAsia" w:ascii="仿宋_GB2312" w:hAnsi="仿宋_GB2312" w:cs="仿宋_GB2312"/>
          <w:sz w:val="28"/>
          <w:szCs w:val="28"/>
          <w:lang w:val="en-US" w:eastAsia="zh-CN"/>
        </w:rPr>
        <w:t>0</w:t>
      </w:r>
      <w:r>
        <w:rPr>
          <w:rFonts w:hint="eastAsia" w:ascii="仿宋_GB2312" w:hAnsi="仿宋_GB2312" w:cs="仿宋_GB2312"/>
          <w:sz w:val="28"/>
          <w:szCs w:val="28"/>
        </w:rPr>
        <w:t>元，净资产</w:t>
      </w:r>
      <w:r>
        <w:rPr>
          <w:rFonts w:hint="eastAsia" w:ascii="仿宋_GB2312" w:hAnsi="仿宋_GB2312" w:cs="仿宋_GB2312"/>
          <w:sz w:val="28"/>
          <w:szCs w:val="28"/>
          <w:lang w:val="en-US" w:eastAsia="zh-CN"/>
        </w:rPr>
        <w:t>4326990.96</w:t>
      </w:r>
      <w:r>
        <w:rPr>
          <w:rFonts w:hint="eastAsia" w:ascii="仿宋_GB2312" w:hAnsi="仿宋_GB2312" w:cs="仿宋_GB2312"/>
          <w:sz w:val="28"/>
          <w:szCs w:val="28"/>
        </w:rPr>
        <w:t>元。</w:t>
      </w:r>
    </w:p>
    <w:p>
      <w:pPr>
        <w:pStyle w:val="110"/>
        <w:spacing w:line="360" w:lineRule="auto"/>
        <w:ind w:firstLine="560"/>
        <w:jc w:val="both"/>
        <w:rPr>
          <w:rFonts w:ascii="仿宋_GB2312" w:hAnsi="仿宋_GB2312" w:eastAsia="宋体" w:cs="仿宋_GB2312"/>
          <w:sz w:val="28"/>
          <w:szCs w:val="28"/>
        </w:rPr>
      </w:pPr>
      <w:r>
        <w:rPr>
          <w:rFonts w:hint="eastAsia" w:ascii="仿宋_GB2312" w:hAnsi="仿宋_GB2312" w:eastAsia="宋体" w:cs="仿宋_GB2312"/>
          <w:sz w:val="28"/>
          <w:szCs w:val="28"/>
        </w:rPr>
        <w:t>1.按照资产结构分析，流动资产占总资产的</w:t>
      </w:r>
      <w:r>
        <w:rPr>
          <w:rFonts w:hint="eastAsia" w:ascii="仿宋_GB2312" w:hAnsi="仿宋_GB2312" w:eastAsia="宋体" w:cs="仿宋_GB2312"/>
          <w:sz w:val="28"/>
          <w:szCs w:val="28"/>
          <w:lang w:val="en-US" w:eastAsia="zh-CN"/>
        </w:rPr>
        <w:t>97.34</w:t>
      </w:r>
      <w:r>
        <w:rPr>
          <w:rFonts w:hint="eastAsia" w:ascii="仿宋_GB2312" w:hAnsi="仿宋_GB2312" w:eastAsia="宋体" w:cs="仿宋_GB2312"/>
          <w:sz w:val="28"/>
          <w:szCs w:val="28"/>
        </w:rPr>
        <w:t>%，非流动资产占总资产的</w:t>
      </w:r>
      <w:r>
        <w:rPr>
          <w:rFonts w:hint="eastAsia" w:ascii="仿宋_GB2312" w:hAnsi="仿宋_GB2312" w:eastAsia="宋体" w:cs="仿宋_GB2312"/>
          <w:sz w:val="28"/>
          <w:szCs w:val="28"/>
          <w:lang w:val="en-US" w:eastAsia="zh-CN"/>
        </w:rPr>
        <w:t>2.66</w:t>
      </w:r>
      <w:r>
        <w:rPr>
          <w:rFonts w:hint="eastAsia" w:ascii="仿宋_GB2312" w:hAnsi="仿宋_GB2312" w:eastAsia="宋体" w:cs="仿宋_GB2312"/>
          <w:sz w:val="28"/>
          <w:szCs w:val="28"/>
        </w:rPr>
        <w:t>%，年初固定资产净值</w:t>
      </w:r>
      <w:r>
        <w:rPr>
          <w:rFonts w:hint="eastAsia" w:ascii="仿宋_GB2312" w:hAnsi="仿宋_GB2312" w:eastAsia="宋体" w:cs="仿宋_GB2312"/>
          <w:sz w:val="28"/>
          <w:szCs w:val="28"/>
          <w:lang w:val="en-US" w:eastAsia="zh-CN"/>
        </w:rPr>
        <w:t>0</w:t>
      </w:r>
      <w:r>
        <w:rPr>
          <w:rFonts w:hint="eastAsia" w:ascii="仿宋_GB2312" w:hAnsi="仿宋_GB2312" w:eastAsia="宋体" w:cs="仿宋_GB2312"/>
          <w:sz w:val="28"/>
          <w:szCs w:val="28"/>
        </w:rPr>
        <w:t>元，年末固定资产净值</w:t>
      </w:r>
      <w:r>
        <w:rPr>
          <w:rFonts w:hint="eastAsia" w:ascii="仿宋_GB2312" w:hAnsi="仿宋_GB2312" w:eastAsia="宋体" w:cs="仿宋_GB2312"/>
          <w:sz w:val="28"/>
          <w:szCs w:val="28"/>
          <w:lang w:val="en-US" w:eastAsia="zh-CN"/>
        </w:rPr>
        <w:t>115236.2</w:t>
      </w:r>
      <w:r>
        <w:rPr>
          <w:rFonts w:hint="eastAsia" w:ascii="仿宋_GB2312" w:hAnsi="仿宋_GB2312" w:eastAsia="宋体" w:cs="仿宋_GB2312"/>
          <w:sz w:val="28"/>
          <w:szCs w:val="28"/>
        </w:rPr>
        <w:t>元，差异原因</w:t>
      </w:r>
      <w:r>
        <w:rPr>
          <w:rFonts w:hint="eastAsia" w:ascii="仿宋_GB2312" w:hAnsi="仿宋_GB2312" w:eastAsia="宋体" w:cs="仿宋_GB2312"/>
          <w:sz w:val="28"/>
          <w:szCs w:val="28"/>
          <w:lang w:eastAsia="zh-CN"/>
        </w:rPr>
        <w:t>为我单位是国家机构改革于</w:t>
      </w:r>
      <w:r>
        <w:rPr>
          <w:rFonts w:hint="eastAsia" w:ascii="仿宋_GB2312" w:hAnsi="仿宋_GB2312" w:eastAsia="宋体" w:cs="仿宋_GB2312"/>
          <w:sz w:val="28"/>
          <w:szCs w:val="28"/>
          <w:lang w:val="en-US" w:eastAsia="zh-CN"/>
        </w:rPr>
        <w:t>2019年3月新成立单位，固定资产为2019年内购置</w:t>
      </w:r>
      <w:r>
        <w:rPr>
          <w:rFonts w:hint="eastAsia" w:ascii="仿宋_GB2312" w:hAnsi="仿宋_GB2312" w:eastAsia="宋体" w:cs="仿宋_GB2312"/>
          <w:sz w:val="28"/>
          <w:szCs w:val="28"/>
        </w:rPr>
        <w:t>。</w:t>
      </w:r>
    </w:p>
    <w:p>
      <w:pPr>
        <w:ind w:firstLine="560" w:firstLineChars="200"/>
        <w:jc w:val="both"/>
        <w:rPr>
          <w:rFonts w:ascii="仿宋_GB2312" w:hAnsi="仿宋_GB2312" w:cs="仿宋_GB2312"/>
          <w:sz w:val="28"/>
          <w:szCs w:val="28"/>
        </w:rPr>
      </w:pPr>
      <w:r>
        <w:rPr>
          <w:rFonts w:hint="eastAsia" w:ascii="仿宋_GB2312" w:hAnsi="仿宋_GB2312" w:cs="仿宋_GB2312"/>
          <w:sz w:val="28"/>
          <w:szCs w:val="28"/>
        </w:rPr>
        <w:t>2019年，我单位严格按照市上及县上相关要求完成了本年度工作任务，全年</w:t>
      </w:r>
      <w:r>
        <w:rPr>
          <w:rFonts w:hint="eastAsia" w:ascii="仿宋_GB2312" w:hAnsi="仿宋_GB2312" w:cs="仿宋_GB2312"/>
          <w:sz w:val="28"/>
          <w:szCs w:val="28"/>
          <w:lang w:eastAsia="zh-CN"/>
        </w:rPr>
        <w:t>收入</w:t>
      </w:r>
      <w:r>
        <w:rPr>
          <w:rFonts w:hint="eastAsia" w:ascii="仿宋_GB2312" w:hAnsi="仿宋_GB2312" w:cs="仿宋_GB2312"/>
          <w:sz w:val="28"/>
          <w:szCs w:val="28"/>
          <w:lang w:val="en-US" w:eastAsia="zh-CN"/>
        </w:rPr>
        <w:t>28421879.43元，其中：</w:t>
      </w:r>
      <w:r>
        <w:rPr>
          <w:rFonts w:hint="eastAsia" w:ascii="仿宋_GB2312" w:hAnsi="仿宋_GB2312" w:cs="仿宋_GB2312"/>
          <w:sz w:val="28"/>
          <w:szCs w:val="28"/>
        </w:rPr>
        <w:t>一般公共预算财政拨款收入</w:t>
      </w:r>
      <w:r>
        <w:rPr>
          <w:rFonts w:hint="eastAsia" w:ascii="仿宋_GB2312" w:hAnsi="仿宋_GB2312" w:cs="仿宋_GB2312"/>
          <w:sz w:val="28"/>
          <w:szCs w:val="28"/>
          <w:lang w:val="en-US" w:eastAsia="zh-CN"/>
        </w:rPr>
        <w:t>17349582.83</w:t>
      </w:r>
      <w:r>
        <w:rPr>
          <w:rFonts w:hint="eastAsia" w:ascii="仿宋_GB2312" w:hAnsi="仿宋_GB2312" w:cs="仿宋_GB2312"/>
          <w:sz w:val="28"/>
          <w:szCs w:val="28"/>
        </w:rPr>
        <w:t>元，</w:t>
      </w:r>
      <w:r>
        <w:rPr>
          <w:rFonts w:hint="eastAsia" w:ascii="仿宋_GB2312" w:hAnsi="仿宋_GB2312" w:cs="仿宋_GB2312"/>
          <w:sz w:val="28"/>
          <w:szCs w:val="28"/>
          <w:lang w:eastAsia="zh-CN"/>
        </w:rPr>
        <w:t>政府性基金预算财政拨款收入</w:t>
      </w:r>
      <w:r>
        <w:rPr>
          <w:rFonts w:hint="eastAsia" w:ascii="仿宋_GB2312" w:hAnsi="仿宋_GB2312" w:cs="仿宋_GB2312"/>
          <w:sz w:val="28"/>
          <w:szCs w:val="28"/>
          <w:lang w:val="en-US" w:eastAsia="zh-CN"/>
        </w:rPr>
        <w:t>7211904.67元，其他预算收入3860391.93元，</w:t>
      </w:r>
      <w:r>
        <w:rPr>
          <w:rFonts w:hint="eastAsia" w:ascii="仿宋_GB2312" w:hAnsi="仿宋_GB2312" w:cs="仿宋_GB2312"/>
          <w:sz w:val="28"/>
          <w:szCs w:val="28"/>
        </w:rPr>
        <w:t>年初结转和结余</w:t>
      </w:r>
      <w:r>
        <w:rPr>
          <w:rFonts w:hint="eastAsia" w:ascii="仿宋_GB2312" w:hAnsi="仿宋_GB2312" w:cs="仿宋_GB2312"/>
          <w:sz w:val="28"/>
          <w:szCs w:val="28"/>
          <w:lang w:val="en-US" w:eastAsia="zh-CN"/>
        </w:rPr>
        <w:t>0</w:t>
      </w:r>
      <w:r>
        <w:rPr>
          <w:rFonts w:hint="eastAsia" w:ascii="仿宋_GB2312" w:hAnsi="仿宋_GB2312" w:cs="仿宋_GB2312"/>
          <w:sz w:val="28"/>
          <w:szCs w:val="28"/>
        </w:rPr>
        <w:t>元</w:t>
      </w:r>
      <w:r>
        <w:rPr>
          <w:rFonts w:hint="eastAsia" w:ascii="仿宋_GB2312" w:hAnsi="仿宋_GB2312" w:cs="仿宋_GB2312"/>
          <w:sz w:val="28"/>
          <w:szCs w:val="28"/>
          <w:lang w:eastAsia="zh-CN"/>
        </w:rPr>
        <w:t>；</w:t>
      </w:r>
      <w:r>
        <w:rPr>
          <w:rFonts w:hint="eastAsia" w:ascii="仿宋_GB2312" w:hAnsi="仿宋_GB2312" w:cs="仿宋_GB2312"/>
          <w:sz w:val="28"/>
          <w:szCs w:val="28"/>
        </w:rPr>
        <w:t>支出</w:t>
      </w:r>
      <w:r>
        <w:rPr>
          <w:rFonts w:hint="eastAsia" w:ascii="仿宋_GB2312" w:hAnsi="仿宋_GB2312" w:cs="仿宋_GB2312"/>
          <w:sz w:val="28"/>
          <w:szCs w:val="28"/>
          <w:lang w:val="en-US" w:eastAsia="zh-CN"/>
        </w:rPr>
        <w:t>24211067.57</w:t>
      </w:r>
      <w:r>
        <w:rPr>
          <w:rFonts w:hint="eastAsia" w:ascii="仿宋_GB2312" w:hAnsi="仿宋_GB2312" w:cs="仿宋_GB2312"/>
          <w:sz w:val="28"/>
          <w:szCs w:val="28"/>
        </w:rPr>
        <w:t>元</w:t>
      </w:r>
      <w:r>
        <w:rPr>
          <w:rFonts w:hint="eastAsia" w:ascii="仿宋_GB2312" w:hAnsi="仿宋_GB2312" w:cs="仿宋_GB2312"/>
          <w:sz w:val="28"/>
          <w:szCs w:val="28"/>
          <w:lang w:eastAsia="zh-CN"/>
        </w:rPr>
        <w:t>；年末结转和结余</w:t>
      </w:r>
      <w:r>
        <w:rPr>
          <w:rFonts w:hint="eastAsia" w:ascii="仿宋_GB2312" w:hAnsi="仿宋_GB2312" w:cs="仿宋_GB2312"/>
          <w:sz w:val="28"/>
          <w:szCs w:val="28"/>
          <w:lang w:val="en-US" w:eastAsia="zh-CN"/>
        </w:rPr>
        <w:t>4210811.86元</w:t>
      </w:r>
      <w:r>
        <w:rPr>
          <w:rFonts w:hint="eastAsia" w:ascii="仿宋_GB2312" w:hAnsi="仿宋_GB2312" w:cs="仿宋_GB2312"/>
          <w:sz w:val="28"/>
          <w:szCs w:val="28"/>
        </w:rPr>
        <w:t>。全年支出主要用于</w:t>
      </w:r>
      <w:r>
        <w:rPr>
          <w:rFonts w:hint="eastAsia" w:ascii="仿宋_GB2312" w:hAnsi="仿宋_GB2312" w:cs="仿宋_GB2312"/>
          <w:sz w:val="28"/>
          <w:szCs w:val="28"/>
          <w:lang w:eastAsia="zh-CN"/>
        </w:rPr>
        <w:t>医疗</w:t>
      </w:r>
      <w:r>
        <w:rPr>
          <w:rFonts w:hint="eastAsia" w:ascii="仿宋_GB2312" w:hAnsi="仿宋_GB2312" w:cs="仿宋_GB2312"/>
          <w:sz w:val="28"/>
          <w:szCs w:val="28"/>
        </w:rPr>
        <w:t>保险事业支出，有效发挥了服务职能。</w:t>
      </w:r>
    </w:p>
    <w:p>
      <w:pPr>
        <w:pStyle w:val="4"/>
        <w:spacing w:before="0" w:after="0" w:line="360" w:lineRule="auto"/>
        <w:ind w:firstLine="602"/>
        <w:jc w:val="left"/>
        <w:rPr>
          <w:rFonts w:ascii="仿宋" w:hAnsi="仿宋" w:eastAsia="仿宋"/>
          <w:b/>
          <w:highlight w:val="none"/>
        </w:rPr>
      </w:pPr>
      <w:r>
        <w:rPr>
          <w:rFonts w:hint="eastAsia" w:ascii="仿宋" w:hAnsi="仿宋" w:eastAsia="仿宋"/>
          <w:b/>
          <w:highlight w:val="none"/>
        </w:rPr>
        <w:t>（二）</w:t>
      </w:r>
      <w:bookmarkEnd w:id="77"/>
      <w:bookmarkEnd w:id="78"/>
      <w:r>
        <w:rPr>
          <w:rFonts w:ascii="仿宋" w:hAnsi="仿宋" w:eastAsia="仿宋"/>
          <w:b/>
          <w:highlight w:val="none"/>
        </w:rPr>
        <w:t>政府部门财务状况分析。</w:t>
      </w:r>
      <w:bookmarkEnd w:id="79"/>
    </w:p>
    <w:p>
      <w:pPr>
        <w:spacing w:line="360" w:lineRule="auto"/>
        <w:ind w:firstLine="600" w:firstLineChars="200"/>
        <w:rPr>
          <w:rFonts w:hint="eastAsia" w:ascii="仿宋" w:hAnsi="仿宋" w:eastAsia="仿宋"/>
          <w:color w:val="auto"/>
          <w:sz w:val="30"/>
          <w:szCs w:val="30"/>
          <w:highlight w:val="none"/>
          <w:lang w:eastAsia="zh-CN"/>
        </w:rPr>
      </w:pPr>
      <w:r>
        <w:rPr>
          <w:rFonts w:hint="eastAsia" w:ascii="仿宋" w:hAnsi="仿宋" w:eastAsia="仿宋"/>
          <w:color w:val="auto"/>
          <w:sz w:val="30"/>
          <w:szCs w:val="30"/>
          <w:highlight w:val="none"/>
          <w:lang w:eastAsia="zh-CN"/>
        </w:rPr>
        <w:t>无</w:t>
      </w:r>
    </w:p>
    <w:p>
      <w:pPr>
        <w:spacing w:line="360" w:lineRule="auto"/>
        <w:jc w:val="center"/>
      </w:pPr>
      <w:r>
        <w:t>资产结构分析</w:t>
      </w:r>
      <w:r>
        <w:rPr>
          <w:rFonts w:hint="eastAsia"/>
        </w:rPr>
        <w:t>图：</w:t>
      </w:r>
    </w:p>
    <w:p>
      <w:pPr>
        <w:keepNext w:val="0"/>
        <w:keepLines w:val="0"/>
        <w:pageBreakBefore w:val="0"/>
        <w:widowControl/>
        <w:kinsoku/>
        <w:wordWrap/>
        <w:overflowPunct/>
        <w:topLinePunct w:val="0"/>
        <w:autoSpaceDE/>
        <w:autoSpaceDN/>
        <w:bidi w:val="0"/>
        <w:adjustRightInd/>
        <w:snapToGrid/>
        <w:spacing w:line="360" w:lineRule="auto"/>
        <w:ind w:left="-720" w:leftChars="-300"/>
        <w:jc w:val="center"/>
        <w:textAlignment w:val="auto"/>
      </w:pPr>
      <w:r>
        <w:drawing>
          <wp:inline distT="0" distB="0" distL="0" distR="0">
            <wp:extent cx="6350000" cy="3721100"/>
            <wp:effectExtent l="0" t="0" r="12700" b="12700"/>
            <wp:docPr id="1" name="Drawing 0" descr="资产结构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0" descr="资产结构分析"/>
                    <pic:cNvPicPr>
                      <a:picLocks noChangeAspect="1"/>
                    </pic:cNvPicPr>
                  </pic:nvPicPr>
                  <pic:blipFill>
                    <a:blip r:embed="rId10"/>
                    <a:stretch>
                      <a:fillRect/>
                    </a:stretch>
                  </pic:blipFill>
                  <pic:spPr>
                    <a:xfrm>
                      <a:off x="0" y="0"/>
                      <a:ext cx="6350000" cy="3721100"/>
                    </a:xfrm>
                    <a:prstGeom prst="rect">
                      <a:avLst/>
                    </a:prstGeom>
                  </pic:spPr>
                </pic:pic>
              </a:graphicData>
            </a:graphic>
          </wp:inline>
        </w:drawing>
      </w:r>
    </w:p>
    <w:p>
      <w:pPr>
        <w:pStyle w:val="110"/>
        <w:spacing w:line="360" w:lineRule="auto"/>
        <w:ind w:firstLine="480"/>
        <w:jc w:val="center"/>
        <w:rPr>
          <w:rFonts w:asciiTheme="minorEastAsia" w:hAnsiTheme="minorEastAsia" w:eastAsiaTheme="minorEastAsia"/>
          <w:color w:val="0070C0"/>
          <w:sz w:val="24"/>
          <w:szCs w:val="24"/>
        </w:rPr>
      </w:pPr>
    </w:p>
    <w:p>
      <w:pPr>
        <w:spacing w:line="360" w:lineRule="auto"/>
        <w:jc w:val="center"/>
      </w:pPr>
      <w:r>
        <w:t>重要资产项目年度情况分析</w:t>
      </w:r>
      <w:r>
        <w:rPr>
          <w:rFonts w:hint="eastAsia"/>
        </w:rPr>
        <w:t>图:</w:t>
      </w:r>
    </w:p>
    <w:p>
      <w:pPr>
        <w:keepNext w:val="0"/>
        <w:keepLines w:val="0"/>
        <w:pageBreakBefore w:val="0"/>
        <w:widowControl/>
        <w:kinsoku/>
        <w:wordWrap/>
        <w:overflowPunct/>
        <w:topLinePunct w:val="0"/>
        <w:autoSpaceDE/>
        <w:autoSpaceDN/>
        <w:bidi w:val="0"/>
        <w:adjustRightInd/>
        <w:snapToGrid/>
        <w:spacing w:line="360" w:lineRule="auto"/>
        <w:ind w:left="-720" w:leftChars="-300"/>
        <w:jc w:val="center"/>
        <w:textAlignment w:val="auto"/>
      </w:pPr>
      <w:r>
        <w:drawing>
          <wp:inline distT="0" distB="0" distL="0" distR="0">
            <wp:extent cx="6350000" cy="3721100"/>
            <wp:effectExtent l="0" t="0" r="12700" b="12700"/>
            <wp:docPr id="2" name="Drawing 1" descr="重要资产项目年度情况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1" descr="重要资产项目年度情况分析"/>
                    <pic:cNvPicPr>
                      <a:picLocks noChangeAspect="1"/>
                    </pic:cNvPicPr>
                  </pic:nvPicPr>
                  <pic:blipFill>
                    <a:blip r:embed="rId11"/>
                    <a:stretch>
                      <a:fillRect/>
                    </a:stretch>
                  </pic:blipFill>
                  <pic:spPr>
                    <a:xfrm>
                      <a:off x="0" y="0"/>
                      <a:ext cx="6350000" cy="3721100"/>
                    </a:xfrm>
                    <a:prstGeom prst="rect">
                      <a:avLst/>
                    </a:prstGeom>
                  </pic:spPr>
                </pic:pic>
              </a:graphicData>
            </a:graphic>
          </wp:inline>
        </w:drawing>
      </w:r>
    </w:p>
    <w:p>
      <w:pPr>
        <w:spacing w:line="360" w:lineRule="auto"/>
        <w:ind w:firstLine="480" w:firstLineChars="200"/>
        <w:rPr>
          <w:color w:val="0070C0"/>
        </w:rPr>
      </w:pPr>
    </w:p>
    <w:p>
      <w:pPr>
        <w:pStyle w:val="110"/>
        <w:spacing w:line="360" w:lineRule="auto"/>
        <w:ind w:firstLine="600"/>
        <w:jc w:val="both"/>
        <w:rPr>
          <w:rFonts w:ascii="仿宋_GB2312" w:hAnsi="仿宋_GB2312" w:cs="仿宋_GB2312"/>
          <w:color w:val="0070C0"/>
          <w:szCs w:val="30"/>
        </w:rPr>
      </w:pPr>
      <w:r>
        <w:rPr>
          <w:rFonts w:ascii="仿宋" w:hAnsi="仿宋" w:eastAsia="仿宋"/>
          <w:color w:val="auto"/>
          <w:sz w:val="30"/>
          <w:szCs w:val="30"/>
        </w:rPr>
        <w:t>2.</w:t>
      </w:r>
      <w:r>
        <w:rPr>
          <w:rFonts w:hint="eastAsia" w:ascii="仿宋_GB2312" w:hAnsi="仿宋_GB2312" w:cs="仿宋_GB2312"/>
          <w:color w:val="auto"/>
          <w:szCs w:val="30"/>
        </w:rPr>
        <w:t xml:space="preserve"> 我单位</w:t>
      </w:r>
      <w:r>
        <w:rPr>
          <w:rFonts w:hint="eastAsia" w:ascii="仿宋_GB2312" w:hAnsi="仿宋_GB2312" w:cs="仿宋_GB2312"/>
          <w:color w:val="auto"/>
          <w:szCs w:val="30"/>
          <w:lang w:eastAsia="zh-CN"/>
        </w:rPr>
        <w:t>无</w:t>
      </w:r>
      <w:r>
        <w:rPr>
          <w:rFonts w:hint="eastAsia" w:ascii="仿宋_GB2312" w:hAnsi="仿宋_GB2312" w:cs="仿宋_GB2312"/>
          <w:szCs w:val="30"/>
        </w:rPr>
        <w:t>负债，没有短期借款、长期借款等重大部门债务。</w:t>
      </w:r>
    </w:p>
    <w:p>
      <w:pPr>
        <w:spacing w:line="360" w:lineRule="auto"/>
        <w:ind w:firstLine="600" w:firstLineChars="200"/>
        <w:rPr>
          <w:rFonts w:ascii="仿宋" w:hAnsi="仿宋" w:eastAsia="仿宋"/>
          <w:color w:val="0070C0"/>
          <w:sz w:val="30"/>
          <w:szCs w:val="30"/>
        </w:rPr>
      </w:pPr>
    </w:p>
    <w:p>
      <w:pPr>
        <w:spacing w:line="360" w:lineRule="auto"/>
        <w:jc w:val="center"/>
        <w:rPr>
          <w:rFonts w:ascii="新宋体" w:hAnsi="新宋体" w:eastAsia="新宋体"/>
          <w:sz w:val="24"/>
          <w:szCs w:val="24"/>
          <w:highlight w:val="none"/>
        </w:rPr>
      </w:pPr>
      <w:r>
        <w:rPr>
          <w:rFonts w:hint="eastAsia"/>
        </w:rPr>
        <w:t>部门债务分析图：</w:t>
      </w:r>
    </w:p>
    <w:p>
      <w:pPr>
        <w:spacing w:line="360" w:lineRule="auto"/>
        <w:jc w:val="center"/>
        <w:rPr>
          <w:rFonts w:hint="eastAsia"/>
          <w:highlight w:val="none"/>
          <w:lang w:eastAsia="zh-CN"/>
        </w:rPr>
      </w:pPr>
      <w:r>
        <w:rPr>
          <w:rFonts w:hint="eastAsia"/>
          <w:highlight w:val="none"/>
          <w:lang w:eastAsia="zh-CN"/>
        </w:rPr>
        <w:t>无数据</w:t>
      </w:r>
    </w:p>
    <w:p>
      <w:pPr>
        <w:spacing w:line="360" w:lineRule="auto"/>
        <w:jc w:val="both"/>
        <w:rPr>
          <w:rFonts w:hint="eastAsia"/>
          <w:highlight w:val="none"/>
          <w:lang w:eastAsia="zh-CN"/>
        </w:rPr>
      </w:pPr>
    </w:p>
    <w:p>
      <w:pPr>
        <w:spacing w:line="360" w:lineRule="auto"/>
        <w:jc w:val="center"/>
        <w:rPr>
          <w:rFonts w:hint="eastAsia"/>
        </w:rPr>
      </w:pPr>
      <w:r>
        <w:t>重要</w:t>
      </w:r>
      <w:r>
        <w:rPr>
          <w:rFonts w:hint="eastAsia"/>
        </w:rPr>
        <w:t>负债变化</w:t>
      </w:r>
      <w:r>
        <w:t>分析</w:t>
      </w:r>
      <w:r>
        <w:rPr>
          <w:rFonts w:hint="eastAsia"/>
        </w:rPr>
        <w:t>图:</w:t>
      </w:r>
    </w:p>
    <w:p>
      <w:pPr>
        <w:keepNext w:val="0"/>
        <w:keepLines w:val="0"/>
        <w:pageBreakBefore w:val="0"/>
        <w:widowControl/>
        <w:kinsoku/>
        <w:wordWrap/>
        <w:overflowPunct/>
        <w:topLinePunct w:val="0"/>
        <w:autoSpaceDE/>
        <w:autoSpaceDN/>
        <w:bidi w:val="0"/>
        <w:adjustRightInd/>
        <w:snapToGrid/>
        <w:spacing w:line="360" w:lineRule="auto"/>
        <w:ind w:left="-720" w:leftChars="-300"/>
        <w:jc w:val="center"/>
        <w:textAlignment w:val="auto"/>
        <w:rPr>
          <w:rFonts w:hint="eastAsia"/>
        </w:rPr>
      </w:pPr>
      <w:r>
        <w:rPr>
          <w:rFonts w:hint="eastAsia"/>
        </w:rPr>
        <w:drawing>
          <wp:inline distT="0" distB="0" distL="0" distR="0">
            <wp:extent cx="6350000" cy="3721100"/>
            <wp:effectExtent l="0" t="0" r="12700" b="12700"/>
            <wp:docPr id="3" name="Drawing 2" descr="重要负债变化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 2" descr="重要负债变化分析"/>
                    <pic:cNvPicPr>
                      <a:picLocks noChangeAspect="1"/>
                    </pic:cNvPicPr>
                  </pic:nvPicPr>
                  <pic:blipFill>
                    <a:blip r:embed="rId12"/>
                    <a:stretch>
                      <a:fillRect/>
                    </a:stretch>
                  </pic:blipFill>
                  <pic:spPr>
                    <a:xfrm>
                      <a:off x="0" y="0"/>
                      <a:ext cx="6350000" cy="3721100"/>
                    </a:xfrm>
                    <a:prstGeom prst="rect">
                      <a:avLst/>
                    </a:prstGeom>
                  </pic:spPr>
                </pic:pic>
              </a:graphicData>
            </a:graphic>
          </wp:inline>
        </w:drawing>
      </w:r>
    </w:p>
    <w:p>
      <w:pPr>
        <w:spacing w:line="360" w:lineRule="auto"/>
        <w:ind w:firstLine="600" w:firstLineChars="200"/>
        <w:rPr>
          <w:rFonts w:hint="eastAsia" w:ascii="仿宋" w:hAnsi="仿宋" w:eastAsia="仿宋" w:cs="仿宋"/>
          <w:color w:val="auto"/>
          <w:sz w:val="30"/>
          <w:szCs w:val="30"/>
        </w:rPr>
      </w:pPr>
      <w:r>
        <w:rPr>
          <w:rFonts w:ascii="仿宋" w:hAnsi="仿宋" w:eastAsia="仿宋"/>
          <w:color w:val="auto"/>
          <w:sz w:val="30"/>
          <w:szCs w:val="30"/>
        </w:rPr>
        <w:t>3</w:t>
      </w:r>
      <w:r>
        <w:rPr>
          <w:rFonts w:hint="eastAsia" w:ascii="仿宋" w:hAnsi="仿宋" w:eastAsia="仿宋" w:cs="仿宋"/>
          <w:color w:val="auto"/>
          <w:sz w:val="30"/>
          <w:szCs w:val="30"/>
        </w:rPr>
        <w:t>.我单位固定资产成新率</w:t>
      </w:r>
      <w:r>
        <w:rPr>
          <w:rFonts w:hint="eastAsia" w:ascii="仿宋" w:hAnsi="仿宋" w:eastAsia="仿宋" w:cs="仿宋"/>
          <w:color w:val="auto"/>
          <w:sz w:val="30"/>
          <w:szCs w:val="30"/>
          <w:lang w:val="en-US" w:eastAsia="zh-CN"/>
        </w:rPr>
        <w:t>92.02</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收入费用率</w:t>
      </w:r>
      <w:r>
        <w:rPr>
          <w:rFonts w:hint="eastAsia" w:ascii="仿宋" w:hAnsi="仿宋" w:eastAsia="仿宋" w:cs="仿宋"/>
          <w:color w:val="auto"/>
          <w:sz w:val="30"/>
          <w:szCs w:val="30"/>
          <w:lang w:val="en-US" w:eastAsia="zh-CN"/>
        </w:rPr>
        <w:t>90.69%，</w:t>
      </w:r>
      <w:r>
        <w:rPr>
          <w:rFonts w:hint="eastAsia" w:ascii="仿宋" w:hAnsi="仿宋" w:eastAsia="仿宋" w:cs="仿宋"/>
          <w:color w:val="auto"/>
          <w:sz w:val="30"/>
          <w:szCs w:val="30"/>
        </w:rPr>
        <w:t>反映我单位债务风险较小</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抗风险实力较强。</w:t>
      </w:r>
    </w:p>
    <w:p>
      <w:pPr>
        <w:spacing w:line="360" w:lineRule="auto"/>
        <w:jc w:val="center"/>
      </w:pPr>
      <w:r>
        <w:rPr>
          <w:rFonts w:hint="eastAsia"/>
        </w:rPr>
        <w:t>部门财务状况分析图:</w:t>
      </w:r>
    </w:p>
    <w:p>
      <w:pPr>
        <w:keepNext w:val="0"/>
        <w:keepLines w:val="0"/>
        <w:pageBreakBefore w:val="0"/>
        <w:widowControl/>
        <w:kinsoku/>
        <w:wordWrap/>
        <w:overflowPunct/>
        <w:topLinePunct w:val="0"/>
        <w:autoSpaceDE/>
        <w:autoSpaceDN/>
        <w:bidi w:val="0"/>
        <w:adjustRightInd/>
        <w:snapToGrid/>
        <w:spacing w:line="360" w:lineRule="auto"/>
        <w:ind w:left="-720" w:leftChars="-300"/>
        <w:jc w:val="center"/>
        <w:textAlignment w:val="auto"/>
      </w:pPr>
      <w:r>
        <w:drawing>
          <wp:inline distT="0" distB="0" distL="0" distR="0">
            <wp:extent cx="6350000" cy="3721100"/>
            <wp:effectExtent l="0" t="0" r="12700" b="12700"/>
            <wp:docPr id="4" name="Drawing 3" descr="部门财务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 3" descr="部门财务分析"/>
                    <pic:cNvPicPr>
                      <a:picLocks noChangeAspect="1"/>
                    </pic:cNvPicPr>
                  </pic:nvPicPr>
                  <pic:blipFill>
                    <a:blip r:embed="rId13"/>
                    <a:stretch>
                      <a:fillRect/>
                    </a:stretch>
                  </pic:blipFill>
                  <pic:spPr>
                    <a:xfrm>
                      <a:off x="0" y="0"/>
                      <a:ext cx="6350000" cy="3721100"/>
                    </a:xfrm>
                    <a:prstGeom prst="rect">
                      <a:avLst/>
                    </a:prstGeom>
                  </pic:spPr>
                </pic:pic>
              </a:graphicData>
            </a:graphic>
          </wp:inline>
        </w:drawing>
      </w:r>
    </w:p>
    <w:p>
      <w:pPr>
        <w:spacing w:line="360" w:lineRule="auto"/>
        <w:jc w:val="center"/>
      </w:pPr>
    </w:p>
    <w:p>
      <w:pPr>
        <w:pStyle w:val="4"/>
        <w:spacing w:before="0" w:after="0" w:line="360" w:lineRule="auto"/>
        <w:ind w:firstLine="602"/>
        <w:jc w:val="left"/>
        <w:rPr>
          <w:rFonts w:hint="eastAsia" w:ascii="仿宋" w:hAnsi="仿宋" w:eastAsia="仿宋"/>
          <w:color w:val="0070C0"/>
          <w:sz w:val="30"/>
          <w:szCs w:val="30"/>
        </w:rPr>
      </w:pPr>
      <w:bookmarkStart w:id="80" w:name="_Toc503548890"/>
      <w:bookmarkStart w:id="81" w:name="_Toc436083533"/>
      <w:bookmarkStart w:id="82" w:name="_Toc35500816"/>
      <w:r>
        <w:rPr>
          <w:rFonts w:hint="eastAsia" w:ascii="仿宋" w:hAnsi="仿宋" w:eastAsia="仿宋"/>
          <w:b/>
        </w:rPr>
        <w:t>（三）</w:t>
      </w:r>
      <w:bookmarkEnd w:id="80"/>
      <w:bookmarkEnd w:id="81"/>
      <w:r>
        <w:rPr>
          <w:rFonts w:ascii="仿宋" w:hAnsi="仿宋" w:eastAsia="仿宋"/>
          <w:b/>
        </w:rPr>
        <w:t>政府部门运行情况分析。</w:t>
      </w:r>
      <w:bookmarkEnd w:id="82"/>
    </w:p>
    <w:p>
      <w:pPr>
        <w:pStyle w:val="110"/>
        <w:spacing w:line="360" w:lineRule="auto"/>
        <w:ind w:firstLine="600"/>
        <w:jc w:val="both"/>
        <w:rPr>
          <w:rFonts w:hint="eastAsia" w:ascii="仿宋_GB2312" w:hAnsi="仿宋_GB2312" w:cs="仿宋_GB2312"/>
          <w:color w:val="auto"/>
          <w:szCs w:val="30"/>
          <w:lang w:eastAsia="zh-CN"/>
        </w:rPr>
      </w:pPr>
      <w:r>
        <w:rPr>
          <w:rFonts w:hint="eastAsia" w:ascii="仿宋_GB2312" w:hAnsi="仿宋_GB2312" w:cs="仿宋_GB2312"/>
          <w:color w:val="auto"/>
          <w:szCs w:val="30"/>
        </w:rPr>
        <w:t>1.本单位的收入2019年</w:t>
      </w:r>
      <w:r>
        <w:rPr>
          <w:rFonts w:hint="eastAsia" w:ascii="仿宋_GB2312" w:hAnsi="仿宋_GB2312" w:cs="仿宋_GB2312"/>
          <w:color w:val="auto"/>
          <w:szCs w:val="30"/>
          <w:lang w:eastAsia="zh-CN"/>
        </w:rPr>
        <w:t>度</w:t>
      </w:r>
      <w:r>
        <w:rPr>
          <w:rFonts w:hint="eastAsia" w:ascii="仿宋_GB2312" w:hAnsi="仿宋_GB2312" w:cs="仿宋_GB2312"/>
          <w:color w:val="auto"/>
          <w:szCs w:val="30"/>
        </w:rPr>
        <w:t>收入为</w:t>
      </w:r>
      <w:r>
        <w:rPr>
          <w:rFonts w:hint="eastAsia" w:ascii="仿宋_GB2312" w:hAnsi="仿宋_GB2312" w:cs="仿宋_GB2312"/>
          <w:color w:val="auto"/>
          <w:sz w:val="28"/>
          <w:szCs w:val="28"/>
          <w:lang w:val="en-US" w:eastAsia="zh-CN"/>
        </w:rPr>
        <w:t>28421879.43</w:t>
      </w:r>
      <w:r>
        <w:rPr>
          <w:rFonts w:hint="eastAsia" w:ascii="仿宋_GB2312" w:hAnsi="仿宋_GB2312" w:cs="仿宋_GB2312"/>
          <w:color w:val="auto"/>
          <w:szCs w:val="30"/>
        </w:rPr>
        <w:t>元，</w:t>
      </w:r>
      <w:r>
        <w:rPr>
          <w:rFonts w:hint="eastAsia" w:ascii="仿宋_GB2312" w:hAnsi="仿宋_GB2312" w:cs="仿宋_GB2312"/>
          <w:color w:val="auto"/>
          <w:sz w:val="28"/>
          <w:szCs w:val="28"/>
          <w:lang w:val="en-US" w:eastAsia="zh-CN"/>
        </w:rPr>
        <w:t>其中：</w:t>
      </w:r>
      <w:r>
        <w:rPr>
          <w:rFonts w:hint="eastAsia" w:ascii="仿宋_GB2312" w:hAnsi="仿宋_GB2312" w:cs="仿宋_GB2312"/>
          <w:color w:val="auto"/>
          <w:sz w:val="28"/>
          <w:szCs w:val="28"/>
        </w:rPr>
        <w:t>一般公共预算财政拨款收入</w:t>
      </w:r>
      <w:r>
        <w:rPr>
          <w:rFonts w:hint="eastAsia" w:ascii="仿宋_GB2312" w:hAnsi="仿宋_GB2312" w:cs="仿宋_GB2312"/>
          <w:color w:val="auto"/>
          <w:sz w:val="28"/>
          <w:szCs w:val="28"/>
          <w:lang w:val="en-US" w:eastAsia="zh-CN"/>
        </w:rPr>
        <w:t>17349582.83</w:t>
      </w:r>
      <w:r>
        <w:rPr>
          <w:rFonts w:hint="eastAsia" w:ascii="仿宋_GB2312" w:hAnsi="仿宋_GB2312" w:cs="仿宋_GB2312"/>
          <w:color w:val="auto"/>
          <w:sz w:val="28"/>
          <w:szCs w:val="28"/>
        </w:rPr>
        <w:t>元，</w:t>
      </w:r>
      <w:r>
        <w:rPr>
          <w:rFonts w:hint="eastAsia" w:ascii="仿宋_GB2312" w:hAnsi="仿宋_GB2312" w:cs="仿宋_GB2312"/>
          <w:color w:val="auto"/>
          <w:sz w:val="28"/>
          <w:szCs w:val="28"/>
          <w:lang w:eastAsia="zh-CN"/>
        </w:rPr>
        <w:t>政府性基金预算财政拨款收入</w:t>
      </w:r>
      <w:r>
        <w:rPr>
          <w:rFonts w:hint="eastAsia" w:ascii="仿宋_GB2312" w:hAnsi="仿宋_GB2312" w:cs="仿宋_GB2312"/>
          <w:color w:val="auto"/>
          <w:sz w:val="28"/>
          <w:szCs w:val="28"/>
          <w:lang w:val="en-US" w:eastAsia="zh-CN"/>
        </w:rPr>
        <w:t>7211904.67元，共占92.47%；其他预算收入3860391.93元，占7.53%；</w:t>
      </w:r>
      <w:bookmarkStart w:id="83" w:name="_GoBack"/>
      <w:bookmarkEnd w:id="83"/>
      <w:r>
        <w:rPr>
          <w:rFonts w:hint="eastAsia" w:ascii="仿宋_GB2312" w:hAnsi="仿宋_GB2312" w:cs="仿宋_GB2312"/>
          <w:color w:val="auto"/>
          <w:szCs w:val="30"/>
        </w:rPr>
        <w:t>上年结转结余</w:t>
      </w:r>
      <w:r>
        <w:rPr>
          <w:rFonts w:hint="eastAsia" w:ascii="仿宋_GB2312" w:hAnsi="仿宋_GB2312" w:cs="仿宋_GB2312"/>
          <w:color w:val="auto"/>
          <w:szCs w:val="30"/>
          <w:lang w:val="en-US" w:eastAsia="zh-CN"/>
        </w:rPr>
        <w:t>0</w:t>
      </w:r>
      <w:r>
        <w:rPr>
          <w:rFonts w:hint="eastAsia" w:ascii="仿宋_GB2312" w:hAnsi="仿宋_GB2312" w:cs="仿宋_GB2312"/>
          <w:color w:val="auto"/>
          <w:szCs w:val="30"/>
        </w:rPr>
        <w:t>元</w:t>
      </w:r>
      <w:r>
        <w:rPr>
          <w:rFonts w:hint="eastAsia" w:ascii="仿宋_GB2312" w:hAnsi="仿宋_GB2312" w:cs="仿宋_GB2312"/>
          <w:color w:val="auto"/>
          <w:szCs w:val="30"/>
          <w:lang w:eastAsia="zh-CN"/>
        </w:rPr>
        <w:t>。</w:t>
      </w:r>
    </w:p>
    <w:p>
      <w:pPr>
        <w:pStyle w:val="110"/>
        <w:spacing w:line="360" w:lineRule="auto"/>
        <w:ind w:firstLine="600"/>
        <w:jc w:val="both"/>
        <w:rPr>
          <w:rFonts w:ascii="仿宋_GB2312" w:hAnsi="仿宋_GB2312" w:cs="仿宋_GB2312"/>
          <w:color w:val="auto"/>
          <w:szCs w:val="30"/>
        </w:rPr>
      </w:pPr>
      <w:r>
        <w:rPr>
          <w:rFonts w:hint="eastAsia" w:ascii="仿宋_GB2312" w:hAnsi="仿宋_GB2312" w:cs="仿宋_GB2312"/>
          <w:color w:val="auto"/>
          <w:szCs w:val="30"/>
          <w:lang w:val="en-US" w:eastAsia="zh-CN"/>
        </w:rPr>
        <w:t>2.</w:t>
      </w:r>
      <w:r>
        <w:rPr>
          <w:rFonts w:hint="eastAsia" w:ascii="仿宋_GB2312" w:hAnsi="仿宋_GB2312" w:cs="仿宋_GB2312"/>
          <w:color w:val="auto"/>
          <w:szCs w:val="30"/>
        </w:rPr>
        <w:t>全年完成支出</w:t>
      </w:r>
      <w:r>
        <w:rPr>
          <w:rFonts w:hint="eastAsia" w:ascii="仿宋_GB2312" w:hAnsi="仿宋_GB2312" w:cs="仿宋_GB2312"/>
          <w:color w:val="auto"/>
          <w:sz w:val="28"/>
          <w:szCs w:val="28"/>
          <w:lang w:val="en-US" w:eastAsia="zh-CN"/>
        </w:rPr>
        <w:t>24211067.57</w:t>
      </w:r>
      <w:r>
        <w:rPr>
          <w:rFonts w:hint="eastAsia" w:ascii="仿宋_GB2312" w:hAnsi="仿宋_GB2312" w:cs="仿宋_GB2312"/>
          <w:color w:val="auto"/>
          <w:szCs w:val="30"/>
        </w:rPr>
        <w:t>元</w:t>
      </w:r>
      <w:r>
        <w:rPr>
          <w:rFonts w:hint="eastAsia" w:ascii="仿宋_GB2312" w:hAnsi="仿宋_GB2312" w:cs="仿宋_GB2312"/>
          <w:color w:val="auto"/>
          <w:szCs w:val="30"/>
          <w:lang w:eastAsia="zh-CN"/>
        </w:rPr>
        <w:t>，</w:t>
      </w:r>
      <w:r>
        <w:rPr>
          <w:rFonts w:hint="eastAsia" w:ascii="仿宋_GB2312" w:hAnsi="仿宋_GB2312" w:cs="仿宋_GB2312"/>
          <w:color w:val="auto"/>
          <w:szCs w:val="30"/>
        </w:rPr>
        <w:t>其中社会保障和就业支出</w:t>
      </w:r>
      <w:r>
        <w:rPr>
          <w:rFonts w:hint="eastAsia" w:ascii="仿宋_GB2312" w:hAnsi="仿宋_GB2312" w:cs="仿宋_GB2312"/>
          <w:color w:val="auto"/>
          <w:szCs w:val="30"/>
          <w:lang w:val="en-US" w:eastAsia="zh-CN"/>
        </w:rPr>
        <w:t>309362.2</w:t>
      </w:r>
      <w:r>
        <w:rPr>
          <w:rFonts w:hint="eastAsia" w:ascii="仿宋_GB2312" w:hAnsi="仿宋_GB2312" w:cs="仿宋_GB2312"/>
          <w:color w:val="auto"/>
          <w:szCs w:val="30"/>
        </w:rPr>
        <w:t>元</w:t>
      </w:r>
      <w:r>
        <w:rPr>
          <w:rFonts w:hint="eastAsia" w:ascii="仿宋_GB2312" w:hAnsi="仿宋_GB2312" w:cs="仿宋_GB2312"/>
          <w:color w:val="auto"/>
          <w:szCs w:val="30"/>
          <w:lang w:eastAsia="zh-CN"/>
        </w:rPr>
        <w:t>，卫生健康</w:t>
      </w:r>
      <w:r>
        <w:rPr>
          <w:rFonts w:hint="eastAsia" w:ascii="仿宋_GB2312" w:hAnsi="仿宋_GB2312" w:cs="仿宋_GB2312"/>
          <w:color w:val="auto"/>
          <w:szCs w:val="30"/>
        </w:rPr>
        <w:t>支出</w:t>
      </w:r>
      <w:r>
        <w:rPr>
          <w:rFonts w:hint="eastAsia" w:ascii="仿宋_GB2312" w:hAnsi="仿宋_GB2312" w:cs="仿宋_GB2312"/>
          <w:color w:val="auto"/>
          <w:szCs w:val="30"/>
          <w:lang w:val="en-US" w:eastAsia="zh-CN"/>
        </w:rPr>
        <w:t>14442669.66</w:t>
      </w:r>
      <w:r>
        <w:rPr>
          <w:rFonts w:hint="eastAsia" w:ascii="仿宋_GB2312" w:hAnsi="仿宋_GB2312" w:cs="仿宋_GB2312"/>
          <w:color w:val="auto"/>
          <w:szCs w:val="30"/>
        </w:rPr>
        <w:t>元，</w:t>
      </w:r>
      <w:r>
        <w:rPr>
          <w:rFonts w:hint="eastAsia" w:ascii="仿宋_GB2312" w:hAnsi="仿宋_GB2312" w:cs="仿宋_GB2312"/>
          <w:color w:val="auto"/>
          <w:szCs w:val="30"/>
          <w:lang w:eastAsia="zh-CN"/>
        </w:rPr>
        <w:t>农林水支出</w:t>
      </w:r>
      <w:r>
        <w:rPr>
          <w:rFonts w:hint="eastAsia" w:ascii="仿宋_GB2312" w:hAnsi="仿宋_GB2312" w:cs="仿宋_GB2312"/>
          <w:color w:val="auto"/>
          <w:szCs w:val="30"/>
          <w:lang w:val="en-US" w:eastAsia="zh-CN"/>
        </w:rPr>
        <w:t>2221589.04元，</w:t>
      </w:r>
      <w:r>
        <w:rPr>
          <w:rFonts w:hint="eastAsia" w:ascii="仿宋_GB2312" w:hAnsi="仿宋_GB2312" w:cs="仿宋_GB2312"/>
          <w:color w:val="auto"/>
          <w:szCs w:val="30"/>
        </w:rPr>
        <w:t>住房保障支出</w:t>
      </w:r>
      <w:r>
        <w:rPr>
          <w:rFonts w:hint="eastAsia" w:ascii="仿宋_GB2312" w:hAnsi="仿宋_GB2312" w:cs="仿宋_GB2312"/>
          <w:color w:val="auto"/>
          <w:szCs w:val="30"/>
          <w:lang w:val="en-US" w:eastAsia="zh-CN"/>
        </w:rPr>
        <w:t>25542</w:t>
      </w:r>
      <w:r>
        <w:rPr>
          <w:rFonts w:hint="eastAsia" w:ascii="仿宋_GB2312" w:hAnsi="仿宋_GB2312" w:cs="仿宋_GB2312"/>
          <w:color w:val="auto"/>
          <w:szCs w:val="30"/>
        </w:rPr>
        <w:t>元</w:t>
      </w:r>
      <w:r>
        <w:rPr>
          <w:rFonts w:hint="eastAsia" w:ascii="仿宋_GB2312" w:hAnsi="仿宋_GB2312" w:cs="仿宋_GB2312"/>
          <w:color w:val="auto"/>
          <w:szCs w:val="30"/>
          <w:lang w:eastAsia="zh-CN"/>
        </w:rPr>
        <w:t>，其他支出</w:t>
      </w:r>
      <w:r>
        <w:rPr>
          <w:rFonts w:hint="eastAsia" w:ascii="仿宋_GB2312" w:hAnsi="仿宋_GB2312" w:cs="仿宋_GB2312"/>
          <w:color w:val="auto"/>
          <w:szCs w:val="30"/>
          <w:lang w:val="en-US" w:eastAsia="zh-CN"/>
        </w:rPr>
        <w:t>7211904.67元</w:t>
      </w:r>
      <w:r>
        <w:rPr>
          <w:rFonts w:hint="eastAsia" w:ascii="仿宋_GB2312" w:hAnsi="仿宋_GB2312" w:cs="仿宋_GB2312"/>
          <w:color w:val="auto"/>
          <w:szCs w:val="30"/>
        </w:rPr>
        <w:t>。</w:t>
      </w:r>
    </w:p>
    <w:p>
      <w:pPr>
        <w:spacing w:line="360" w:lineRule="auto"/>
        <w:ind w:firstLine="600" w:firstLineChars="200"/>
        <w:rPr>
          <w:rFonts w:hint="eastAsia" w:ascii="仿宋" w:hAnsi="仿宋" w:eastAsia="仿宋"/>
          <w:color w:val="FF0000"/>
          <w:sz w:val="30"/>
          <w:szCs w:val="30"/>
        </w:rPr>
      </w:pPr>
    </w:p>
    <w:p>
      <w:pPr>
        <w:spacing w:line="360" w:lineRule="auto"/>
        <w:ind w:firstLine="240"/>
        <w:jc w:val="center"/>
      </w:pPr>
      <w:r>
        <w:rPr>
          <w:rFonts w:hint="eastAsia"/>
        </w:rPr>
        <w:t>收入类结构分析图:</w:t>
      </w:r>
    </w:p>
    <w:p>
      <w:pPr>
        <w:keepNext w:val="0"/>
        <w:keepLines w:val="0"/>
        <w:pageBreakBefore w:val="0"/>
        <w:widowControl/>
        <w:kinsoku/>
        <w:wordWrap/>
        <w:overflowPunct/>
        <w:topLinePunct w:val="0"/>
        <w:autoSpaceDE/>
        <w:autoSpaceDN/>
        <w:bidi w:val="0"/>
        <w:adjustRightInd/>
        <w:snapToGrid/>
        <w:spacing w:line="360" w:lineRule="auto"/>
        <w:ind w:left="-720" w:leftChars="-300"/>
        <w:jc w:val="center"/>
        <w:textAlignment w:val="auto"/>
      </w:pPr>
      <w:r>
        <w:drawing>
          <wp:inline distT="0" distB="0" distL="0" distR="0">
            <wp:extent cx="6350000" cy="3771900"/>
            <wp:effectExtent l="0" t="0" r="12700" b="0"/>
            <wp:docPr id="5" name="Drawing 4" descr="收入结构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wing 4" descr="收入结构分析"/>
                    <pic:cNvPicPr>
                      <a:picLocks noChangeAspect="1"/>
                    </pic:cNvPicPr>
                  </pic:nvPicPr>
                  <pic:blipFill>
                    <a:blip r:embed="rId14"/>
                    <a:stretch>
                      <a:fillRect/>
                    </a:stretch>
                  </pic:blipFill>
                  <pic:spPr>
                    <a:xfrm>
                      <a:off x="0" y="0"/>
                      <a:ext cx="6350000" cy="3771900"/>
                    </a:xfrm>
                    <a:prstGeom prst="rect">
                      <a:avLst/>
                    </a:prstGeom>
                  </pic:spPr>
                </pic:pic>
              </a:graphicData>
            </a:graphic>
          </wp:inline>
        </w:drawing>
      </w:r>
    </w:p>
    <w:p>
      <w:pPr>
        <w:pStyle w:val="110"/>
        <w:spacing w:line="360" w:lineRule="auto"/>
        <w:ind w:firstLine="600"/>
        <w:jc w:val="both"/>
      </w:pPr>
    </w:p>
    <w:p>
      <w:pPr>
        <w:ind w:firstLine="240"/>
        <w:rPr>
          <w:rFonts w:ascii="仿宋_GB2312" w:hAnsi="仿宋_GB2312" w:cs="仿宋_GB2312"/>
          <w:sz w:val="28"/>
          <w:szCs w:val="28"/>
        </w:rPr>
      </w:pPr>
      <w:r>
        <w:rPr>
          <w:rFonts w:hint="eastAsia" w:ascii="仿宋_GB2312" w:hAnsi="仿宋_GB2312" w:cs="仿宋_GB2312"/>
          <w:sz w:val="28"/>
          <w:szCs w:val="28"/>
        </w:rPr>
        <w:t>2.本单位2019年业务活动费用合计为</w:t>
      </w:r>
      <w:r>
        <w:rPr>
          <w:rFonts w:hint="eastAsia" w:ascii="仿宋_GB2312" w:hAnsi="仿宋_GB2312" w:cs="仿宋_GB2312"/>
          <w:sz w:val="28"/>
          <w:szCs w:val="28"/>
          <w:lang w:val="en-US" w:eastAsia="zh-CN"/>
        </w:rPr>
        <w:t>20350675.64</w:t>
      </w:r>
      <w:r>
        <w:rPr>
          <w:rFonts w:hint="eastAsia" w:ascii="仿宋_GB2312" w:hAnsi="仿宋_GB2312" w:cs="仿宋_GB2312"/>
          <w:sz w:val="28"/>
          <w:szCs w:val="28"/>
        </w:rPr>
        <w:t>元，其中</w:t>
      </w:r>
      <w:r>
        <w:rPr>
          <w:rFonts w:hint="eastAsia" w:ascii="仿宋_GB2312" w:hAnsi="仿宋_GB2312" w:cs="仿宋_GB2312"/>
          <w:sz w:val="28"/>
          <w:szCs w:val="28"/>
          <w:lang w:eastAsia="zh-CN"/>
        </w:rPr>
        <w:t>一般公共预算财政拨款</w:t>
      </w:r>
      <w:r>
        <w:rPr>
          <w:rFonts w:hint="eastAsia" w:ascii="仿宋_GB2312" w:hAnsi="仿宋_GB2312" w:cs="仿宋_GB2312"/>
          <w:sz w:val="28"/>
          <w:szCs w:val="28"/>
          <w:lang w:val="en-US" w:eastAsia="zh-CN"/>
        </w:rPr>
        <w:t>13138770.97元；政府性基金预算财政拨款7211904.67元。</w:t>
      </w:r>
      <w:r>
        <w:rPr>
          <w:rFonts w:hint="eastAsia" w:ascii="仿宋_GB2312" w:hAnsi="仿宋_GB2312" w:cs="仿宋_GB2312"/>
          <w:sz w:val="28"/>
          <w:szCs w:val="28"/>
          <w:lang w:eastAsia="zh-CN"/>
        </w:rPr>
        <w:t>一般公共预算财政拨款中：</w:t>
      </w:r>
      <w:r>
        <w:rPr>
          <w:rFonts w:hint="eastAsia" w:ascii="仿宋_GB2312" w:hAnsi="仿宋_GB2312" w:cs="仿宋_GB2312"/>
          <w:sz w:val="28"/>
          <w:szCs w:val="28"/>
        </w:rPr>
        <w:t>工资福利</w:t>
      </w:r>
      <w:r>
        <w:rPr>
          <w:rFonts w:hint="eastAsia" w:ascii="仿宋_GB2312" w:hAnsi="仿宋_GB2312" w:cs="仿宋_GB2312"/>
          <w:sz w:val="28"/>
          <w:szCs w:val="28"/>
          <w:lang w:val="en-US" w:eastAsia="zh-CN"/>
        </w:rPr>
        <w:t>375217.03元</w:t>
      </w:r>
      <w:r>
        <w:rPr>
          <w:rFonts w:hint="eastAsia" w:ascii="仿宋_GB2312" w:hAnsi="仿宋_GB2312" w:cs="仿宋_GB2312"/>
          <w:sz w:val="28"/>
          <w:szCs w:val="28"/>
        </w:rPr>
        <w:t>，占</w:t>
      </w:r>
      <w:r>
        <w:rPr>
          <w:rFonts w:hint="eastAsia" w:ascii="仿宋_GB2312" w:hAnsi="仿宋_GB2312" w:cs="仿宋_GB2312"/>
          <w:sz w:val="28"/>
          <w:szCs w:val="28"/>
          <w:lang w:val="en-US" w:eastAsia="zh-CN"/>
        </w:rPr>
        <w:t>1.56</w:t>
      </w:r>
      <w:r>
        <w:rPr>
          <w:rFonts w:hint="eastAsia" w:ascii="仿宋_GB2312" w:hAnsi="仿宋_GB2312" w:cs="仿宋_GB2312"/>
          <w:sz w:val="28"/>
          <w:szCs w:val="28"/>
        </w:rPr>
        <w:t>%</w:t>
      </w:r>
      <w:r>
        <w:rPr>
          <w:rFonts w:hint="eastAsia" w:ascii="仿宋_GB2312" w:hAnsi="仿宋_GB2312" w:cs="仿宋_GB2312"/>
          <w:sz w:val="28"/>
          <w:szCs w:val="28"/>
          <w:lang w:eastAsia="zh-CN"/>
        </w:rPr>
        <w:t>；</w:t>
      </w:r>
      <w:r>
        <w:rPr>
          <w:rFonts w:hint="eastAsia" w:ascii="仿宋_GB2312" w:hAnsi="仿宋_GB2312" w:cs="仿宋_GB2312"/>
          <w:sz w:val="28"/>
          <w:szCs w:val="28"/>
        </w:rPr>
        <w:t>商品和服务支出</w:t>
      </w:r>
      <w:r>
        <w:rPr>
          <w:rFonts w:hint="eastAsia" w:ascii="仿宋_GB2312" w:hAnsi="仿宋_GB2312" w:cs="仿宋_GB2312"/>
          <w:sz w:val="28"/>
          <w:szCs w:val="28"/>
          <w:lang w:val="en-US" w:eastAsia="zh-CN"/>
        </w:rPr>
        <w:t>968267.30</w:t>
      </w:r>
      <w:r>
        <w:rPr>
          <w:rFonts w:hint="eastAsia" w:ascii="仿宋_GB2312" w:hAnsi="仿宋_GB2312" w:cs="仿宋_GB2312"/>
          <w:sz w:val="28"/>
          <w:szCs w:val="28"/>
        </w:rPr>
        <w:t>元，占</w:t>
      </w:r>
      <w:r>
        <w:rPr>
          <w:rFonts w:hint="eastAsia" w:ascii="仿宋_GB2312" w:hAnsi="仿宋_GB2312" w:cs="仿宋_GB2312"/>
          <w:sz w:val="28"/>
          <w:szCs w:val="28"/>
          <w:lang w:val="en-US" w:eastAsia="zh-CN"/>
        </w:rPr>
        <w:t>3.85</w:t>
      </w:r>
      <w:r>
        <w:rPr>
          <w:rFonts w:hint="eastAsia" w:ascii="仿宋_GB2312" w:hAnsi="仿宋_GB2312" w:cs="仿宋_GB2312"/>
          <w:sz w:val="28"/>
          <w:szCs w:val="28"/>
        </w:rPr>
        <w:t>%</w:t>
      </w:r>
      <w:r>
        <w:rPr>
          <w:rFonts w:hint="eastAsia" w:ascii="仿宋_GB2312" w:hAnsi="仿宋_GB2312" w:cs="仿宋_GB2312"/>
          <w:sz w:val="28"/>
          <w:szCs w:val="28"/>
          <w:lang w:eastAsia="zh-CN"/>
        </w:rPr>
        <w:t>。另</w:t>
      </w:r>
      <w:r>
        <w:rPr>
          <w:rFonts w:hint="eastAsia" w:ascii="仿宋_GB2312" w:hAnsi="仿宋_GB2312" w:cs="仿宋_GB2312"/>
          <w:sz w:val="28"/>
          <w:szCs w:val="28"/>
        </w:rPr>
        <w:t>对个人和家庭的补助</w:t>
      </w:r>
      <w:r>
        <w:rPr>
          <w:rFonts w:hint="eastAsia" w:ascii="仿宋_GB2312" w:hAnsi="仿宋_GB2312" w:cs="仿宋_GB2312"/>
          <w:sz w:val="28"/>
          <w:szCs w:val="28"/>
          <w:lang w:eastAsia="zh-CN"/>
        </w:rPr>
        <w:t>一般公共预算财政拨款</w:t>
      </w:r>
      <w:r>
        <w:rPr>
          <w:rFonts w:hint="eastAsia" w:ascii="仿宋_GB2312" w:hAnsi="仿宋_GB2312" w:cs="仿宋_GB2312"/>
          <w:sz w:val="28"/>
          <w:szCs w:val="28"/>
          <w:lang w:val="en-US" w:eastAsia="zh-CN"/>
        </w:rPr>
        <w:t>为11711036.64元与政府性基金预算财政拨款为7211904.67元，共计18922941.31元，</w:t>
      </w:r>
      <w:r>
        <w:rPr>
          <w:rFonts w:hint="eastAsia" w:ascii="仿宋_GB2312" w:hAnsi="仿宋_GB2312" w:cs="仿宋_GB2312"/>
          <w:sz w:val="28"/>
          <w:szCs w:val="28"/>
        </w:rPr>
        <w:t>占</w:t>
      </w:r>
      <w:r>
        <w:rPr>
          <w:rFonts w:hint="eastAsia" w:ascii="仿宋_GB2312" w:hAnsi="仿宋_GB2312" w:cs="仿宋_GB2312"/>
          <w:sz w:val="28"/>
          <w:szCs w:val="28"/>
          <w:lang w:val="en-US" w:eastAsia="zh-CN"/>
        </w:rPr>
        <w:t>94.58</w:t>
      </w:r>
      <w:r>
        <w:rPr>
          <w:rFonts w:hint="eastAsia" w:ascii="仿宋_GB2312" w:hAnsi="仿宋_GB2312" w:cs="仿宋_GB2312"/>
          <w:sz w:val="28"/>
          <w:szCs w:val="28"/>
        </w:rPr>
        <w:t>%；折旧费用为</w:t>
      </w:r>
      <w:r>
        <w:rPr>
          <w:rFonts w:hint="eastAsia" w:ascii="仿宋_GB2312" w:hAnsi="仿宋_GB2312" w:cs="仿宋_GB2312"/>
          <w:sz w:val="28"/>
          <w:szCs w:val="28"/>
          <w:lang w:val="en-US" w:eastAsia="zh-CN"/>
        </w:rPr>
        <w:t>9973.80</w:t>
      </w:r>
      <w:r>
        <w:rPr>
          <w:rFonts w:hint="eastAsia" w:ascii="仿宋_GB2312" w:hAnsi="仿宋_GB2312" w:cs="仿宋_GB2312"/>
          <w:sz w:val="28"/>
          <w:szCs w:val="28"/>
        </w:rPr>
        <w:t>元，占</w:t>
      </w:r>
      <w:r>
        <w:rPr>
          <w:rFonts w:hint="eastAsia" w:ascii="仿宋_GB2312" w:hAnsi="仿宋_GB2312" w:cs="仿宋_GB2312"/>
          <w:sz w:val="28"/>
          <w:szCs w:val="28"/>
          <w:lang w:val="en-US" w:eastAsia="zh-CN"/>
        </w:rPr>
        <w:t>0.01</w:t>
      </w:r>
      <w:r>
        <w:rPr>
          <w:rFonts w:hint="eastAsia" w:ascii="仿宋_GB2312" w:hAnsi="仿宋_GB2312" w:cs="仿宋_GB2312"/>
          <w:sz w:val="28"/>
          <w:szCs w:val="28"/>
        </w:rPr>
        <w:t>%。</w:t>
      </w:r>
    </w:p>
    <w:p>
      <w:pPr>
        <w:spacing w:line="360" w:lineRule="auto"/>
        <w:ind w:firstLine="560" w:firstLineChars="200"/>
        <w:rPr>
          <w:rFonts w:ascii="仿宋_GB2312" w:hAnsi="仿宋_GB2312" w:cs="仿宋_GB2312"/>
          <w:sz w:val="28"/>
          <w:szCs w:val="28"/>
        </w:rPr>
      </w:pPr>
    </w:p>
    <w:p>
      <w:pPr>
        <w:numPr>
          <w:numId w:val="0"/>
        </w:numPr>
        <w:spacing w:line="360" w:lineRule="auto"/>
        <w:rPr>
          <w:rFonts w:hint="eastAsia" w:ascii="仿宋" w:hAnsi="仿宋" w:eastAsia="仿宋"/>
          <w:color w:val="0070C0"/>
          <w:sz w:val="30"/>
          <w:szCs w:val="30"/>
        </w:rPr>
      </w:pPr>
    </w:p>
    <w:p>
      <w:pPr>
        <w:spacing w:line="360" w:lineRule="auto"/>
        <w:jc w:val="center"/>
      </w:pPr>
      <w:r>
        <w:rPr>
          <w:rFonts w:hint="eastAsia"/>
        </w:rPr>
        <w:t>费用(按科目)分析图：</w:t>
      </w:r>
    </w:p>
    <w:p>
      <w:pPr>
        <w:keepNext w:val="0"/>
        <w:keepLines w:val="0"/>
        <w:pageBreakBefore w:val="0"/>
        <w:widowControl/>
        <w:kinsoku/>
        <w:wordWrap/>
        <w:overflowPunct/>
        <w:topLinePunct w:val="0"/>
        <w:autoSpaceDE/>
        <w:autoSpaceDN/>
        <w:bidi w:val="0"/>
        <w:adjustRightInd/>
        <w:snapToGrid/>
        <w:spacing w:line="360" w:lineRule="auto"/>
        <w:ind w:left="-720" w:leftChars="-300"/>
        <w:jc w:val="center"/>
        <w:textAlignment w:val="auto"/>
      </w:pPr>
      <w:r>
        <w:rPr>
          <w:rFonts w:hint="eastAsia"/>
        </w:rPr>
        <w:drawing>
          <wp:inline distT="0" distB="0" distL="0" distR="0">
            <wp:extent cx="6350000" cy="3771900"/>
            <wp:effectExtent l="0" t="0" r="12700" b="0"/>
            <wp:docPr id="6" name="Drawing 5" descr="费用按科目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wing 5" descr="费用按科目分析"/>
                    <pic:cNvPicPr>
                      <a:picLocks noChangeAspect="1"/>
                    </pic:cNvPicPr>
                  </pic:nvPicPr>
                  <pic:blipFill>
                    <a:blip r:embed="rId15"/>
                    <a:stretch>
                      <a:fillRect/>
                    </a:stretch>
                  </pic:blipFill>
                  <pic:spPr>
                    <a:xfrm>
                      <a:off x="0" y="0"/>
                      <a:ext cx="6350000" cy="3771900"/>
                    </a:xfrm>
                    <a:prstGeom prst="rect">
                      <a:avLst/>
                    </a:prstGeom>
                  </pic:spPr>
                </pic:pic>
              </a:graphicData>
            </a:graphic>
          </wp:inline>
        </w:drawing>
      </w:r>
    </w:p>
    <w:p>
      <w:pPr>
        <w:spacing w:line="360" w:lineRule="auto"/>
        <w:jc w:val="center"/>
      </w:pPr>
      <w:r>
        <w:rPr>
          <w:rFonts w:hint="eastAsia"/>
        </w:rPr>
        <w:t>费用(按经济性质)分析图：</w:t>
      </w:r>
    </w:p>
    <w:p>
      <w:pPr>
        <w:keepNext w:val="0"/>
        <w:keepLines w:val="0"/>
        <w:pageBreakBefore w:val="0"/>
        <w:widowControl/>
        <w:kinsoku/>
        <w:wordWrap/>
        <w:overflowPunct/>
        <w:topLinePunct w:val="0"/>
        <w:autoSpaceDE/>
        <w:autoSpaceDN/>
        <w:bidi w:val="0"/>
        <w:adjustRightInd/>
        <w:snapToGrid/>
        <w:spacing w:line="360" w:lineRule="auto"/>
        <w:ind w:left="-720" w:leftChars="-300"/>
        <w:jc w:val="center"/>
        <w:textAlignment w:val="auto"/>
        <w:rPr>
          <w:rFonts w:hint="eastAsia"/>
        </w:rPr>
      </w:pPr>
      <w:r>
        <w:rPr>
          <w:rFonts w:hint="eastAsia"/>
        </w:rPr>
        <w:drawing>
          <wp:inline distT="0" distB="0" distL="0" distR="0">
            <wp:extent cx="6350000" cy="3771900"/>
            <wp:effectExtent l="0" t="0" r="12700" b="0"/>
            <wp:docPr id="7" name="Drawing 6" descr="费用按经济性质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awing 6" descr="费用按经济性质分析"/>
                    <pic:cNvPicPr>
                      <a:picLocks noChangeAspect="1"/>
                    </pic:cNvPicPr>
                  </pic:nvPicPr>
                  <pic:blipFill>
                    <a:blip r:embed="rId16"/>
                    <a:stretch>
                      <a:fillRect/>
                    </a:stretch>
                  </pic:blipFill>
                  <pic:spPr>
                    <a:xfrm>
                      <a:off x="0" y="0"/>
                      <a:ext cx="6350000" cy="3771900"/>
                    </a:xfrm>
                    <a:prstGeom prst="rect">
                      <a:avLst/>
                    </a:prstGeom>
                  </pic:spPr>
                </pic:pic>
              </a:graphicData>
            </a:graphic>
          </wp:inline>
        </w:drawing>
      </w:r>
    </w:p>
    <w:p>
      <w:pPr>
        <w:spacing w:line="360" w:lineRule="auto"/>
        <w:jc w:val="center"/>
      </w:pPr>
    </w:p>
    <w:p>
      <w:pPr>
        <w:pStyle w:val="110"/>
        <w:numPr>
          <w:ilvl w:val="0"/>
          <w:numId w:val="3"/>
        </w:numPr>
        <w:spacing w:line="360" w:lineRule="auto"/>
        <w:ind w:left="0" w:leftChars="0" w:firstLine="600" w:firstLineChars="200"/>
        <w:jc w:val="both"/>
        <w:rPr>
          <w:rFonts w:ascii="仿宋_GB2312" w:hAnsi="仿宋_GB2312" w:cs="仿宋_GB2312"/>
          <w:color w:val="auto"/>
          <w:szCs w:val="30"/>
        </w:rPr>
      </w:pPr>
      <w:r>
        <w:rPr>
          <w:rFonts w:hint="eastAsia" w:ascii="仿宋" w:hAnsi="仿宋" w:eastAsia="仿宋" w:cs="仿宋"/>
          <w:color w:val="auto"/>
          <w:szCs w:val="30"/>
        </w:rPr>
        <w:t>收入费用率</w:t>
      </w:r>
      <w:r>
        <w:rPr>
          <w:rFonts w:hint="eastAsia" w:ascii="仿宋" w:hAnsi="仿宋" w:eastAsia="仿宋" w:cs="仿宋"/>
          <w:color w:val="auto"/>
          <w:szCs w:val="30"/>
          <w:lang w:val="en-US" w:eastAsia="zh-CN"/>
        </w:rPr>
        <w:t>90.69</w:t>
      </w:r>
      <w:r>
        <w:rPr>
          <w:rFonts w:hint="eastAsia" w:ascii="仿宋" w:hAnsi="仿宋" w:eastAsia="仿宋" w:cs="仿宋"/>
          <w:color w:val="auto"/>
          <w:szCs w:val="30"/>
        </w:rPr>
        <w:t>%，我单位运行比较稳定。</w:t>
      </w:r>
    </w:p>
    <w:p>
      <w:pPr>
        <w:spacing w:line="360" w:lineRule="auto"/>
        <w:ind w:firstLine="600" w:firstLineChars="200"/>
        <w:rPr>
          <w:rFonts w:ascii="仿宋" w:hAnsi="仿宋" w:eastAsia="仿宋"/>
          <w:color w:val="0070C0"/>
          <w:sz w:val="30"/>
          <w:szCs w:val="30"/>
        </w:rPr>
      </w:pPr>
    </w:p>
    <w:p>
      <w:pPr>
        <w:spacing w:line="360" w:lineRule="auto"/>
        <w:jc w:val="center"/>
      </w:pPr>
      <w:r>
        <w:rPr>
          <w:rFonts w:hint="eastAsia"/>
        </w:rPr>
        <w:t>部门财务状况分析图:</w:t>
      </w:r>
    </w:p>
    <w:p>
      <w:pPr>
        <w:keepNext w:val="0"/>
        <w:keepLines w:val="0"/>
        <w:pageBreakBefore w:val="0"/>
        <w:widowControl/>
        <w:kinsoku/>
        <w:wordWrap/>
        <w:overflowPunct/>
        <w:topLinePunct w:val="0"/>
        <w:autoSpaceDE/>
        <w:autoSpaceDN/>
        <w:bidi w:val="0"/>
        <w:adjustRightInd/>
        <w:snapToGrid/>
        <w:spacing w:line="360" w:lineRule="auto"/>
        <w:ind w:left="-720" w:leftChars="-300"/>
        <w:jc w:val="center"/>
        <w:textAlignment w:val="auto"/>
      </w:pPr>
      <w:r>
        <w:drawing>
          <wp:inline distT="0" distB="0" distL="0" distR="0">
            <wp:extent cx="6350000" cy="3721100"/>
            <wp:effectExtent l="0" t="0" r="12700" b="12700"/>
            <wp:docPr id="8" name="Drawing 7" descr="部门财务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awing 7" descr="部门财务分析"/>
                    <pic:cNvPicPr>
                      <a:picLocks noChangeAspect="1"/>
                    </pic:cNvPicPr>
                  </pic:nvPicPr>
                  <pic:blipFill>
                    <a:blip r:embed="rId13"/>
                    <a:stretch>
                      <a:fillRect/>
                    </a:stretch>
                  </pic:blipFill>
                  <pic:spPr>
                    <a:xfrm>
                      <a:off x="0" y="0"/>
                      <a:ext cx="6350000" cy="3721100"/>
                    </a:xfrm>
                    <a:prstGeom prst="rect">
                      <a:avLst/>
                    </a:prstGeom>
                  </pic:spPr>
                </pic:pic>
              </a:graphicData>
            </a:graphic>
          </wp:inline>
        </w:drawing>
      </w:r>
    </w:p>
    <w:p>
      <w:pPr>
        <w:spacing w:line="360" w:lineRule="auto"/>
        <w:jc w:val="center"/>
      </w:pPr>
    </w:p>
    <w:p>
      <w:pPr>
        <w:pStyle w:val="4"/>
        <w:spacing w:before="0" w:after="0" w:line="360" w:lineRule="auto"/>
        <w:ind w:firstLine="602"/>
        <w:jc w:val="left"/>
        <w:rPr>
          <w:rFonts w:ascii="仿宋" w:hAnsi="仿宋" w:eastAsia="仿宋"/>
          <w:b/>
        </w:rPr>
      </w:pPr>
      <w:r>
        <w:rPr>
          <w:rFonts w:hint="eastAsia" w:ascii="仿宋" w:hAnsi="仿宋" w:eastAsia="仿宋"/>
          <w:b/>
        </w:rPr>
        <w:t>（四）</w:t>
      </w:r>
      <w:r>
        <w:rPr>
          <w:rFonts w:ascii="仿宋" w:hAnsi="仿宋" w:eastAsia="仿宋"/>
          <w:b/>
        </w:rPr>
        <w:t>政府部门财务管理情况。</w:t>
      </w:r>
    </w:p>
    <w:p>
      <w:pPr>
        <w:snapToGrid w:val="0"/>
        <w:spacing w:line="520" w:lineRule="exact"/>
        <w:ind w:firstLine="560" w:firstLineChars="200"/>
        <w:rPr>
          <w:sz w:val="28"/>
          <w:szCs w:val="28"/>
        </w:rPr>
      </w:pPr>
      <w:r>
        <w:rPr>
          <w:rFonts w:hint="eastAsia"/>
          <w:sz w:val="28"/>
          <w:szCs w:val="28"/>
        </w:rPr>
        <w:t>（一）本单位财务管理、决算组织、编报、审核情况。本单位对财务管理进行规范化、科学化、精细化，同时积极同财政部门及时沟通学习，认真如实填报决算报表，按时完成本单位决算、编报、审核等方面工作。</w:t>
      </w:r>
    </w:p>
    <w:p>
      <w:pPr>
        <w:snapToGrid w:val="0"/>
        <w:spacing w:line="520" w:lineRule="exact"/>
        <w:ind w:firstLine="560" w:firstLineChars="200"/>
        <w:rPr>
          <w:sz w:val="32"/>
          <w:szCs w:val="32"/>
        </w:rPr>
      </w:pPr>
      <w:r>
        <w:rPr>
          <w:rFonts w:hint="eastAsia"/>
          <w:sz w:val="28"/>
          <w:szCs w:val="28"/>
        </w:rPr>
        <w:t>（二）本单位对预算和决算公开工作及财政部门对本单位的决算批复等各项工作按照相关规定认真执行，该填报及时填报，该公开及时公开。</w:t>
      </w:r>
    </w:p>
    <w:p>
      <w:pPr>
        <w:spacing w:line="360" w:lineRule="auto"/>
        <w:ind w:firstLine="600" w:firstLineChars="200"/>
        <w:rPr>
          <w:rFonts w:ascii="仿宋" w:hAnsi="仿宋" w:eastAsia="仿宋"/>
          <w:color w:val="0070C0"/>
          <w:sz w:val="30"/>
          <w:szCs w:val="30"/>
        </w:rPr>
      </w:pPr>
    </w:p>
    <w:p>
      <w:pPr>
        <w:spacing w:line="360" w:lineRule="auto"/>
        <w:ind w:firstLine="600" w:firstLineChars="200"/>
        <w:rPr>
          <w:rFonts w:ascii="仿宋" w:hAnsi="仿宋" w:eastAsia="仿宋"/>
          <w:color w:val="0070C0"/>
          <w:sz w:val="30"/>
          <w:szCs w:val="30"/>
        </w:rPr>
      </w:pPr>
    </w:p>
    <w:sectPr>
      <w:pgSz w:w="11906" w:h="16838"/>
      <w:pgMar w:top="1440" w:right="1797" w:bottom="1440" w:left="179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新宋体">
    <w:panose1 w:val="02010609030101010101"/>
    <w:charset w:val="86"/>
    <w:family w:val="modern"/>
    <w:pitch w:val="default"/>
    <w:sig w:usb0="0000000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仿宋" w:hAnsi="仿宋" w:eastAsia="仿宋"/>
      </w:rPr>
    </w:pPr>
    <w:sdt>
      <w:sdtPr>
        <w:rPr>
          <w:rFonts w:ascii="仿宋" w:hAnsi="仿宋" w:eastAsia="仿宋"/>
        </w:rPr>
        <w:id w:val="-1690983955"/>
      </w:sdtPr>
      <w:sdtEndPr>
        <w:rPr>
          <w:rFonts w:ascii="仿宋" w:hAnsi="仿宋" w:eastAsia="仿宋"/>
        </w:rPr>
      </w:sdtEndPr>
      <w:sdtContent>
        <w:r>
          <w:rPr>
            <w:rFonts w:ascii="仿宋" w:hAnsi="仿宋" w:eastAsia="仿宋"/>
            <w:lang w:val="zh-CN"/>
          </w:rPr>
          <w:t xml:space="preserve"> </w:t>
        </w:r>
        <w:r>
          <w:rPr>
            <w:rFonts w:ascii="仿宋" w:hAnsi="仿宋" w:eastAsia="仿宋"/>
            <w:b/>
            <w:bCs/>
          </w:rPr>
          <w:fldChar w:fldCharType="begin"/>
        </w:r>
        <w:r>
          <w:rPr>
            <w:rFonts w:ascii="仿宋" w:hAnsi="仿宋" w:eastAsia="仿宋"/>
            <w:b/>
            <w:bCs/>
          </w:rPr>
          <w:instrText xml:space="preserve">PAGE</w:instrText>
        </w:r>
        <w:r>
          <w:rPr>
            <w:rFonts w:ascii="仿宋" w:hAnsi="仿宋" w:eastAsia="仿宋"/>
            <w:b/>
            <w:bCs/>
          </w:rPr>
          <w:fldChar w:fldCharType="separate"/>
        </w:r>
        <w:r>
          <w:rPr>
            <w:rFonts w:ascii="仿宋" w:hAnsi="仿宋" w:eastAsia="仿宋"/>
            <w:b/>
            <w:bCs/>
          </w:rPr>
          <w:t>15</w:t>
        </w:r>
        <w:r>
          <w:rPr>
            <w:rFonts w:ascii="仿宋" w:hAnsi="仿宋" w:eastAsia="仿宋"/>
            <w:b/>
            <w:bCs/>
          </w:rPr>
          <w:fldChar w:fldCharType="end"/>
        </w:r>
        <w:r>
          <w:rPr>
            <w:rFonts w:ascii="仿宋" w:hAnsi="仿宋" w:eastAsia="仿宋"/>
            <w:lang w:val="zh-CN"/>
          </w:rPr>
          <w:t xml:space="preserve"> / </w:t>
        </w:r>
        <w:r>
          <w:rPr>
            <w:rFonts w:ascii="仿宋" w:hAnsi="仿宋" w:eastAsia="仿宋"/>
            <w:b/>
            <w:bCs/>
          </w:rPr>
          <w:fldChar w:fldCharType="begin"/>
        </w:r>
        <w:r>
          <w:rPr>
            <w:rFonts w:ascii="仿宋" w:hAnsi="仿宋" w:eastAsia="仿宋"/>
            <w:b/>
            <w:bCs/>
          </w:rPr>
          <w:instrText xml:space="preserve">NUMPAGES</w:instrText>
        </w:r>
        <w:r>
          <w:rPr>
            <w:rFonts w:ascii="仿宋" w:hAnsi="仿宋" w:eastAsia="仿宋"/>
            <w:b/>
            <w:bCs/>
          </w:rPr>
          <w:fldChar w:fldCharType="separate"/>
        </w:r>
        <w:r>
          <w:rPr>
            <w:rFonts w:ascii="仿宋" w:hAnsi="仿宋" w:eastAsia="仿宋"/>
            <w:b/>
            <w:bCs/>
          </w:rPr>
          <w:t>15</w:t>
        </w:r>
        <w:r>
          <w:rPr>
            <w:rFonts w:ascii="仿宋" w:hAnsi="仿宋" w:eastAsia="仿宋"/>
            <w:b/>
            <w:bCs/>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rPr>
      <w:id w:val="1038315459"/>
    </w:sdtPr>
    <w:sdtEndPr>
      <w:rPr>
        <w:rFonts w:ascii="仿宋" w:hAnsi="仿宋" w:eastAsia="仿宋"/>
      </w:rPr>
    </w:sdtEndPr>
    <w:sdtContent>
      <w:sdt>
        <w:sdtPr>
          <w:rPr>
            <w:rFonts w:ascii="仿宋" w:hAnsi="仿宋" w:eastAsia="仿宋"/>
          </w:rPr>
          <w:id w:val="-242650556"/>
        </w:sdtPr>
        <w:sdtEndPr>
          <w:rPr>
            <w:rFonts w:ascii="仿宋" w:hAnsi="仿宋" w:eastAsia="仿宋"/>
          </w:rPr>
        </w:sdtEndPr>
        <w:sdtContent>
          <w:p>
            <w:pPr>
              <w:pStyle w:val="22"/>
              <w:jc w:val="center"/>
              <w:rPr>
                <w:rFonts w:ascii="仿宋" w:hAnsi="仿宋" w:eastAsia="仿宋"/>
              </w:rPr>
            </w:pPr>
            <w:r>
              <w:rPr>
                <w:rFonts w:ascii="仿宋" w:hAnsi="仿宋" w:eastAsia="仿宋"/>
                <w:lang w:val="zh-CN"/>
              </w:rPr>
              <w:t xml:space="preserve"> </w:t>
            </w:r>
            <w:r>
              <w:rPr>
                <w:rFonts w:ascii="仿宋" w:hAnsi="仿宋" w:eastAsia="仿宋"/>
                <w:b/>
                <w:bCs/>
              </w:rPr>
              <w:fldChar w:fldCharType="begin"/>
            </w:r>
            <w:r>
              <w:rPr>
                <w:rFonts w:ascii="仿宋" w:hAnsi="仿宋" w:eastAsia="仿宋"/>
                <w:b/>
                <w:bCs/>
              </w:rPr>
              <w:instrText xml:space="preserve">PAGE</w:instrText>
            </w:r>
            <w:r>
              <w:rPr>
                <w:rFonts w:ascii="仿宋" w:hAnsi="仿宋" w:eastAsia="仿宋"/>
                <w:b/>
                <w:bCs/>
              </w:rPr>
              <w:fldChar w:fldCharType="separate"/>
            </w:r>
            <w:r>
              <w:rPr>
                <w:rFonts w:ascii="仿宋" w:hAnsi="仿宋" w:eastAsia="仿宋"/>
                <w:b/>
                <w:bCs/>
              </w:rPr>
              <w:t>1</w:t>
            </w:r>
            <w:r>
              <w:rPr>
                <w:rFonts w:ascii="仿宋" w:hAnsi="仿宋" w:eastAsia="仿宋"/>
                <w:b/>
                <w:bCs/>
              </w:rPr>
              <w:fldChar w:fldCharType="end"/>
            </w:r>
            <w:r>
              <w:rPr>
                <w:rFonts w:ascii="仿宋" w:hAnsi="仿宋" w:eastAsia="仿宋"/>
                <w:lang w:val="zh-CN"/>
              </w:rPr>
              <w:t xml:space="preserve"> / </w:t>
            </w:r>
            <w:r>
              <w:rPr>
                <w:rFonts w:ascii="仿宋" w:hAnsi="仿宋" w:eastAsia="仿宋"/>
                <w:b/>
                <w:bCs/>
              </w:rPr>
              <w:fldChar w:fldCharType="begin"/>
            </w:r>
            <w:r>
              <w:rPr>
                <w:rFonts w:ascii="仿宋" w:hAnsi="仿宋" w:eastAsia="仿宋"/>
                <w:b/>
                <w:bCs/>
              </w:rPr>
              <w:instrText xml:space="preserve">NUMPAGES</w:instrText>
            </w:r>
            <w:r>
              <w:rPr>
                <w:rFonts w:ascii="仿宋" w:hAnsi="仿宋" w:eastAsia="仿宋"/>
                <w:b/>
                <w:bCs/>
              </w:rPr>
              <w:fldChar w:fldCharType="separate"/>
            </w:r>
            <w:r>
              <w:rPr>
                <w:rFonts w:ascii="仿宋" w:hAnsi="仿宋" w:eastAsia="仿宋"/>
                <w:b/>
                <w:bCs/>
              </w:rPr>
              <w:t>15</w:t>
            </w:r>
            <w:r>
              <w:rPr>
                <w:rFonts w:ascii="仿宋" w:hAnsi="仿宋" w:eastAsia="仿宋"/>
                <w:b/>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240024"/>
    </w:sdtPr>
    <w:sdtEndPr>
      <w:rPr>
        <w:rFonts w:ascii="Times New Roman" w:hAnsi="Times New Roman"/>
        <w:sz w:val="21"/>
        <w:szCs w:val="21"/>
      </w:rPr>
    </w:sdtEndPr>
    <w:sdtContent>
      <w:p>
        <w:pPr>
          <w:pStyle w:val="2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1</w:t>
        </w:r>
        <w:r>
          <w:rPr>
            <w:rFonts w:ascii="Times New Roman" w:hAnsi="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7"/>
        <w:rPr>
          <w:rFonts w:asciiTheme="minorEastAsia" w:hAnsiTheme="minorEastAsia" w:eastAsiaTheme="minorEastAsia"/>
          <w:sz w:val="21"/>
          <w:szCs w:val="21"/>
        </w:rPr>
      </w:pPr>
      <w:r>
        <w:rPr>
          <w:rStyle w:val="40"/>
        </w:rPr>
        <w:footnoteRef/>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表</w:t>
      </w:r>
      <w:r>
        <w:rPr>
          <w:rFonts w:asciiTheme="minorEastAsia" w:hAnsiTheme="minorEastAsia" w:eastAsiaTheme="minorEastAsia"/>
          <w:sz w:val="21"/>
          <w:szCs w:val="21"/>
        </w:rPr>
        <w:t xml:space="preserve"> 2-2 的“其他费用”包括“业务活动费用”</w:t>
      </w:r>
      <w:r>
        <w:rPr>
          <w:rFonts w:hint="eastAsia" w:asciiTheme="minorEastAsia" w:hAnsiTheme="minorEastAsia" w:eastAsiaTheme="minorEastAsia"/>
          <w:sz w:val="21"/>
          <w:szCs w:val="21"/>
        </w:rPr>
        <w:t>、</w:t>
      </w:r>
      <w:r>
        <w:rPr>
          <w:rFonts w:asciiTheme="minorEastAsia" w:hAnsiTheme="minorEastAsia" w:eastAsiaTheme="minorEastAsia"/>
          <w:sz w:val="21"/>
          <w:szCs w:val="21"/>
        </w:rPr>
        <w:t>“单位管理费用”</w:t>
      </w:r>
      <w:r>
        <w:rPr>
          <w:rFonts w:hint="eastAsia" w:asciiTheme="minorEastAsia" w:hAnsiTheme="minorEastAsia" w:eastAsiaTheme="minorEastAsia"/>
          <w:sz w:val="21"/>
          <w:szCs w:val="21"/>
        </w:rPr>
        <w:t>、</w:t>
      </w:r>
      <w:r>
        <w:rPr>
          <w:rFonts w:asciiTheme="minorEastAsia" w:hAnsiTheme="minorEastAsia" w:eastAsiaTheme="minorEastAsia"/>
          <w:sz w:val="21"/>
          <w:szCs w:val="21"/>
        </w:rPr>
        <w:t>“经营费用”等会计科目中的其他部分。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A62931"/>
    <w:multiLevelType w:val="singleLevel"/>
    <w:tmpl w:val="D1A62931"/>
    <w:lvl w:ilvl="0" w:tentative="0">
      <w:start w:val="3"/>
      <w:numFmt w:val="decimal"/>
      <w:lvlText w:val="%1."/>
      <w:lvlJc w:val="left"/>
      <w:pPr>
        <w:tabs>
          <w:tab w:val="left" w:pos="312"/>
        </w:tabs>
      </w:pPr>
    </w:lvl>
  </w:abstractNum>
  <w:abstractNum w:abstractNumId="1">
    <w:nsid w:val="1AC79617"/>
    <w:multiLevelType w:val="singleLevel"/>
    <w:tmpl w:val="1AC79617"/>
    <w:lvl w:ilvl="0" w:tentative="0">
      <w:start w:val="6"/>
      <w:numFmt w:val="decimal"/>
      <w:lvlText w:val="%1."/>
      <w:lvlJc w:val="left"/>
      <w:pPr>
        <w:tabs>
          <w:tab w:val="left" w:pos="312"/>
        </w:tabs>
      </w:pPr>
    </w:lvl>
  </w:abstractNum>
  <w:abstractNum w:abstractNumId="2">
    <w:nsid w:val="3C9D1AA8"/>
    <w:multiLevelType w:val="singleLevel"/>
    <w:tmpl w:val="3C9D1AA8"/>
    <w:lvl w:ilvl="0" w:tentative="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noPunctuationKerning w:val="1"/>
  <w:characterSpacingControl w:val="doNotCompress"/>
  <w:noLineBreaksAfter w:lang="zh-CN" w:val="$([{£¥·‘“〈《「『【〔〖〝﹙﹛﹝＄（．［｛￡￥"/>
  <w:noLineBreaksBefore w:lang="zh-CN" w:val="!%),.:;&gt;?]}¢¨°·ˇˉ―‖’”…‰′″›℃∶、。〃〉》」』】〕〗〞︶︺︾﹀﹄﹚﹜﹞！＂％＇），．：；？］｀｜｝～￠"/>
  <w:footnotePr>
    <w:numFmt w:val="decimalEnclosedCircleChinese"/>
  </w:foot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0A"/>
    <w:rsid w:val="00000769"/>
    <w:rsid w:val="00001875"/>
    <w:rsid w:val="00001DA2"/>
    <w:rsid w:val="00003542"/>
    <w:rsid w:val="00003D4F"/>
    <w:rsid w:val="00005D80"/>
    <w:rsid w:val="00006043"/>
    <w:rsid w:val="000073F5"/>
    <w:rsid w:val="0001053B"/>
    <w:rsid w:val="000116C9"/>
    <w:rsid w:val="00012C4B"/>
    <w:rsid w:val="00012EB0"/>
    <w:rsid w:val="00013EC7"/>
    <w:rsid w:val="0001401B"/>
    <w:rsid w:val="00014AA7"/>
    <w:rsid w:val="00015324"/>
    <w:rsid w:val="00016B3D"/>
    <w:rsid w:val="00017068"/>
    <w:rsid w:val="00020A10"/>
    <w:rsid w:val="000220CF"/>
    <w:rsid w:val="00022E5B"/>
    <w:rsid w:val="00024E2E"/>
    <w:rsid w:val="00030B80"/>
    <w:rsid w:val="0003107E"/>
    <w:rsid w:val="0003429E"/>
    <w:rsid w:val="000355A9"/>
    <w:rsid w:val="00035C9B"/>
    <w:rsid w:val="000406AA"/>
    <w:rsid w:val="00042520"/>
    <w:rsid w:val="00043D78"/>
    <w:rsid w:val="00044F77"/>
    <w:rsid w:val="00045215"/>
    <w:rsid w:val="0004568F"/>
    <w:rsid w:val="00045AB1"/>
    <w:rsid w:val="00051605"/>
    <w:rsid w:val="000518FB"/>
    <w:rsid w:val="000550B8"/>
    <w:rsid w:val="00057002"/>
    <w:rsid w:val="00060A24"/>
    <w:rsid w:val="000648ED"/>
    <w:rsid w:val="000658F0"/>
    <w:rsid w:val="000671C8"/>
    <w:rsid w:val="00067E05"/>
    <w:rsid w:val="000705FA"/>
    <w:rsid w:val="00070862"/>
    <w:rsid w:val="00071A7A"/>
    <w:rsid w:val="00075C7E"/>
    <w:rsid w:val="00075F12"/>
    <w:rsid w:val="000774A6"/>
    <w:rsid w:val="000823CD"/>
    <w:rsid w:val="000838FB"/>
    <w:rsid w:val="00084BB6"/>
    <w:rsid w:val="000850F5"/>
    <w:rsid w:val="00086A07"/>
    <w:rsid w:val="000870A3"/>
    <w:rsid w:val="00090C8A"/>
    <w:rsid w:val="000922B9"/>
    <w:rsid w:val="000949F2"/>
    <w:rsid w:val="000958AE"/>
    <w:rsid w:val="00097B38"/>
    <w:rsid w:val="000A12FF"/>
    <w:rsid w:val="000A16A6"/>
    <w:rsid w:val="000A2130"/>
    <w:rsid w:val="000A22D9"/>
    <w:rsid w:val="000A44B0"/>
    <w:rsid w:val="000A4CD0"/>
    <w:rsid w:val="000A514F"/>
    <w:rsid w:val="000A60C9"/>
    <w:rsid w:val="000A7312"/>
    <w:rsid w:val="000A7E42"/>
    <w:rsid w:val="000B1C40"/>
    <w:rsid w:val="000B1C95"/>
    <w:rsid w:val="000B7274"/>
    <w:rsid w:val="000B7A45"/>
    <w:rsid w:val="000C0493"/>
    <w:rsid w:val="000C08B8"/>
    <w:rsid w:val="000C092E"/>
    <w:rsid w:val="000C0C01"/>
    <w:rsid w:val="000C0F1F"/>
    <w:rsid w:val="000C29C6"/>
    <w:rsid w:val="000C3DEA"/>
    <w:rsid w:val="000C48D6"/>
    <w:rsid w:val="000C490D"/>
    <w:rsid w:val="000C5B8A"/>
    <w:rsid w:val="000C6630"/>
    <w:rsid w:val="000D069C"/>
    <w:rsid w:val="000D2D84"/>
    <w:rsid w:val="000D575F"/>
    <w:rsid w:val="000D7026"/>
    <w:rsid w:val="000E296D"/>
    <w:rsid w:val="000E2AFB"/>
    <w:rsid w:val="000E552E"/>
    <w:rsid w:val="000E607C"/>
    <w:rsid w:val="000E7147"/>
    <w:rsid w:val="000F050D"/>
    <w:rsid w:val="000F0E6A"/>
    <w:rsid w:val="000F0E76"/>
    <w:rsid w:val="000F1A84"/>
    <w:rsid w:val="000F486C"/>
    <w:rsid w:val="00101331"/>
    <w:rsid w:val="00101871"/>
    <w:rsid w:val="00102186"/>
    <w:rsid w:val="00102256"/>
    <w:rsid w:val="00102702"/>
    <w:rsid w:val="0010314B"/>
    <w:rsid w:val="00103C6B"/>
    <w:rsid w:val="00104C9B"/>
    <w:rsid w:val="00105AEE"/>
    <w:rsid w:val="00107B24"/>
    <w:rsid w:val="001107A6"/>
    <w:rsid w:val="001118AF"/>
    <w:rsid w:val="00111CD8"/>
    <w:rsid w:val="00112D8E"/>
    <w:rsid w:val="001142C8"/>
    <w:rsid w:val="001147E2"/>
    <w:rsid w:val="00115725"/>
    <w:rsid w:val="00115E97"/>
    <w:rsid w:val="0012075A"/>
    <w:rsid w:val="00122A2B"/>
    <w:rsid w:val="001249B1"/>
    <w:rsid w:val="00125531"/>
    <w:rsid w:val="00126554"/>
    <w:rsid w:val="00127BC8"/>
    <w:rsid w:val="00130483"/>
    <w:rsid w:val="00130C64"/>
    <w:rsid w:val="0013119C"/>
    <w:rsid w:val="001360A0"/>
    <w:rsid w:val="00136B58"/>
    <w:rsid w:val="0013729D"/>
    <w:rsid w:val="001378A2"/>
    <w:rsid w:val="00141101"/>
    <w:rsid w:val="00141CC6"/>
    <w:rsid w:val="00143282"/>
    <w:rsid w:val="00144A75"/>
    <w:rsid w:val="0014526F"/>
    <w:rsid w:val="0015075E"/>
    <w:rsid w:val="001511CD"/>
    <w:rsid w:val="001632D2"/>
    <w:rsid w:val="0016377B"/>
    <w:rsid w:val="001641DD"/>
    <w:rsid w:val="001649F2"/>
    <w:rsid w:val="0016697A"/>
    <w:rsid w:val="00167CC1"/>
    <w:rsid w:val="00167DF7"/>
    <w:rsid w:val="00172398"/>
    <w:rsid w:val="001728C1"/>
    <w:rsid w:val="00173869"/>
    <w:rsid w:val="0018105E"/>
    <w:rsid w:val="001856D7"/>
    <w:rsid w:val="00186921"/>
    <w:rsid w:val="001871E1"/>
    <w:rsid w:val="001879A6"/>
    <w:rsid w:val="00192BFF"/>
    <w:rsid w:val="00193CDE"/>
    <w:rsid w:val="001942C0"/>
    <w:rsid w:val="001A066C"/>
    <w:rsid w:val="001A0727"/>
    <w:rsid w:val="001A206F"/>
    <w:rsid w:val="001A50A4"/>
    <w:rsid w:val="001B1C30"/>
    <w:rsid w:val="001B1E04"/>
    <w:rsid w:val="001B22EA"/>
    <w:rsid w:val="001B331A"/>
    <w:rsid w:val="001B5606"/>
    <w:rsid w:val="001B57C1"/>
    <w:rsid w:val="001B6347"/>
    <w:rsid w:val="001C449F"/>
    <w:rsid w:val="001C517D"/>
    <w:rsid w:val="001C53B3"/>
    <w:rsid w:val="001C553C"/>
    <w:rsid w:val="001C6110"/>
    <w:rsid w:val="001C74F9"/>
    <w:rsid w:val="001D0EC0"/>
    <w:rsid w:val="001D2EA7"/>
    <w:rsid w:val="001D6874"/>
    <w:rsid w:val="001D74A1"/>
    <w:rsid w:val="001E4D19"/>
    <w:rsid w:val="001E57FA"/>
    <w:rsid w:val="001F54C8"/>
    <w:rsid w:val="001F5A03"/>
    <w:rsid w:val="001F79E5"/>
    <w:rsid w:val="0020407F"/>
    <w:rsid w:val="0020598F"/>
    <w:rsid w:val="00206746"/>
    <w:rsid w:val="00206BB0"/>
    <w:rsid w:val="002076E3"/>
    <w:rsid w:val="00210A2B"/>
    <w:rsid w:val="002118F2"/>
    <w:rsid w:val="00214FEF"/>
    <w:rsid w:val="002175DD"/>
    <w:rsid w:val="00217E61"/>
    <w:rsid w:val="00217F6E"/>
    <w:rsid w:val="002209DF"/>
    <w:rsid w:val="00221E15"/>
    <w:rsid w:val="00224F54"/>
    <w:rsid w:val="00225950"/>
    <w:rsid w:val="00225E1C"/>
    <w:rsid w:val="00226734"/>
    <w:rsid w:val="00226EE9"/>
    <w:rsid w:val="00232060"/>
    <w:rsid w:val="00232F1D"/>
    <w:rsid w:val="00233FC4"/>
    <w:rsid w:val="00234B3B"/>
    <w:rsid w:val="00235F8B"/>
    <w:rsid w:val="00236D26"/>
    <w:rsid w:val="0024034A"/>
    <w:rsid w:val="002418CD"/>
    <w:rsid w:val="00241AA8"/>
    <w:rsid w:val="00242525"/>
    <w:rsid w:val="00242E1C"/>
    <w:rsid w:val="00243AED"/>
    <w:rsid w:val="00244DC8"/>
    <w:rsid w:val="00245188"/>
    <w:rsid w:val="0024707D"/>
    <w:rsid w:val="002512A3"/>
    <w:rsid w:val="00254782"/>
    <w:rsid w:val="0025565A"/>
    <w:rsid w:val="00255F1C"/>
    <w:rsid w:val="002565BE"/>
    <w:rsid w:val="002575F2"/>
    <w:rsid w:val="002578CB"/>
    <w:rsid w:val="00260466"/>
    <w:rsid w:val="00260805"/>
    <w:rsid w:val="00260A30"/>
    <w:rsid w:val="00260EEB"/>
    <w:rsid w:val="00262284"/>
    <w:rsid w:val="00262A7D"/>
    <w:rsid w:val="0026475C"/>
    <w:rsid w:val="00264D04"/>
    <w:rsid w:val="00264D9F"/>
    <w:rsid w:val="0026523B"/>
    <w:rsid w:val="00270F44"/>
    <w:rsid w:val="00271F2D"/>
    <w:rsid w:val="00272542"/>
    <w:rsid w:val="002744F3"/>
    <w:rsid w:val="00277626"/>
    <w:rsid w:val="00280B8A"/>
    <w:rsid w:val="00280F92"/>
    <w:rsid w:val="0028166B"/>
    <w:rsid w:val="002831B2"/>
    <w:rsid w:val="00291EB7"/>
    <w:rsid w:val="002924D5"/>
    <w:rsid w:val="00295DF2"/>
    <w:rsid w:val="00295E23"/>
    <w:rsid w:val="0029609F"/>
    <w:rsid w:val="0029654A"/>
    <w:rsid w:val="0029710A"/>
    <w:rsid w:val="002A04E4"/>
    <w:rsid w:val="002A1C06"/>
    <w:rsid w:val="002A2024"/>
    <w:rsid w:val="002A2C9B"/>
    <w:rsid w:val="002A3752"/>
    <w:rsid w:val="002A37E3"/>
    <w:rsid w:val="002A4231"/>
    <w:rsid w:val="002A534D"/>
    <w:rsid w:val="002B2B8B"/>
    <w:rsid w:val="002B388D"/>
    <w:rsid w:val="002B4B1E"/>
    <w:rsid w:val="002B588B"/>
    <w:rsid w:val="002B6211"/>
    <w:rsid w:val="002B62E2"/>
    <w:rsid w:val="002B7809"/>
    <w:rsid w:val="002B795A"/>
    <w:rsid w:val="002C183C"/>
    <w:rsid w:val="002C1D74"/>
    <w:rsid w:val="002C1F43"/>
    <w:rsid w:val="002C309E"/>
    <w:rsid w:val="002C4368"/>
    <w:rsid w:val="002C4683"/>
    <w:rsid w:val="002C604A"/>
    <w:rsid w:val="002D0E07"/>
    <w:rsid w:val="002D2483"/>
    <w:rsid w:val="002D26B5"/>
    <w:rsid w:val="002D2A22"/>
    <w:rsid w:val="002D4937"/>
    <w:rsid w:val="002D649B"/>
    <w:rsid w:val="002D67E7"/>
    <w:rsid w:val="002D6A3D"/>
    <w:rsid w:val="002E16FD"/>
    <w:rsid w:val="002E245A"/>
    <w:rsid w:val="002E3516"/>
    <w:rsid w:val="002E3759"/>
    <w:rsid w:val="002E45B4"/>
    <w:rsid w:val="002E691F"/>
    <w:rsid w:val="002E6C0C"/>
    <w:rsid w:val="002F0EA9"/>
    <w:rsid w:val="002F1523"/>
    <w:rsid w:val="002F34FA"/>
    <w:rsid w:val="002F3C42"/>
    <w:rsid w:val="002F4770"/>
    <w:rsid w:val="002F4EDB"/>
    <w:rsid w:val="002F6DCE"/>
    <w:rsid w:val="003000F8"/>
    <w:rsid w:val="003006A4"/>
    <w:rsid w:val="003012C1"/>
    <w:rsid w:val="00302AE0"/>
    <w:rsid w:val="003039C2"/>
    <w:rsid w:val="003060CB"/>
    <w:rsid w:val="00306E2E"/>
    <w:rsid w:val="00306F77"/>
    <w:rsid w:val="00307420"/>
    <w:rsid w:val="00311C3D"/>
    <w:rsid w:val="00314926"/>
    <w:rsid w:val="0032056A"/>
    <w:rsid w:val="00320698"/>
    <w:rsid w:val="00326C84"/>
    <w:rsid w:val="00327462"/>
    <w:rsid w:val="00333D5B"/>
    <w:rsid w:val="00335816"/>
    <w:rsid w:val="00341346"/>
    <w:rsid w:val="00341BEE"/>
    <w:rsid w:val="00341C57"/>
    <w:rsid w:val="00343C87"/>
    <w:rsid w:val="003462B8"/>
    <w:rsid w:val="003479F1"/>
    <w:rsid w:val="00350559"/>
    <w:rsid w:val="00354927"/>
    <w:rsid w:val="00361205"/>
    <w:rsid w:val="0036131C"/>
    <w:rsid w:val="0036266F"/>
    <w:rsid w:val="003632B8"/>
    <w:rsid w:val="0036359D"/>
    <w:rsid w:val="00364BE9"/>
    <w:rsid w:val="00365C39"/>
    <w:rsid w:val="0036707D"/>
    <w:rsid w:val="003707CA"/>
    <w:rsid w:val="00371E8B"/>
    <w:rsid w:val="00372264"/>
    <w:rsid w:val="0037232F"/>
    <w:rsid w:val="00373254"/>
    <w:rsid w:val="0037524B"/>
    <w:rsid w:val="00381C97"/>
    <w:rsid w:val="00382847"/>
    <w:rsid w:val="003829A0"/>
    <w:rsid w:val="0038357D"/>
    <w:rsid w:val="00385BA4"/>
    <w:rsid w:val="00387FD3"/>
    <w:rsid w:val="00392067"/>
    <w:rsid w:val="00393FE8"/>
    <w:rsid w:val="00394F7D"/>
    <w:rsid w:val="003969ED"/>
    <w:rsid w:val="003979C6"/>
    <w:rsid w:val="003A1794"/>
    <w:rsid w:val="003A1EE9"/>
    <w:rsid w:val="003A405A"/>
    <w:rsid w:val="003A6767"/>
    <w:rsid w:val="003B58BB"/>
    <w:rsid w:val="003B5EAE"/>
    <w:rsid w:val="003B78FC"/>
    <w:rsid w:val="003C0A80"/>
    <w:rsid w:val="003C4B8E"/>
    <w:rsid w:val="003C5B87"/>
    <w:rsid w:val="003C5BB6"/>
    <w:rsid w:val="003C62A8"/>
    <w:rsid w:val="003D072F"/>
    <w:rsid w:val="003D1F35"/>
    <w:rsid w:val="003D3EA0"/>
    <w:rsid w:val="003D5F6D"/>
    <w:rsid w:val="003E1876"/>
    <w:rsid w:val="003E18C3"/>
    <w:rsid w:val="003E3A15"/>
    <w:rsid w:val="003E44B6"/>
    <w:rsid w:val="003E52D0"/>
    <w:rsid w:val="003E74FE"/>
    <w:rsid w:val="003E75AE"/>
    <w:rsid w:val="003F0EC3"/>
    <w:rsid w:val="003F1734"/>
    <w:rsid w:val="003F1EE5"/>
    <w:rsid w:val="003F37D7"/>
    <w:rsid w:val="003F3DC0"/>
    <w:rsid w:val="003F532D"/>
    <w:rsid w:val="003F6B4B"/>
    <w:rsid w:val="003F7411"/>
    <w:rsid w:val="0040197A"/>
    <w:rsid w:val="0040235A"/>
    <w:rsid w:val="00404858"/>
    <w:rsid w:val="00406A6E"/>
    <w:rsid w:val="00407AD0"/>
    <w:rsid w:val="00410E70"/>
    <w:rsid w:val="00411585"/>
    <w:rsid w:val="00411BEA"/>
    <w:rsid w:val="004124B2"/>
    <w:rsid w:val="00412F4A"/>
    <w:rsid w:val="0041350E"/>
    <w:rsid w:val="004152A1"/>
    <w:rsid w:val="00415CA8"/>
    <w:rsid w:val="00420B87"/>
    <w:rsid w:val="004217D6"/>
    <w:rsid w:val="00422763"/>
    <w:rsid w:val="0042361A"/>
    <w:rsid w:val="00423902"/>
    <w:rsid w:val="00423A5F"/>
    <w:rsid w:val="004247B7"/>
    <w:rsid w:val="00426813"/>
    <w:rsid w:val="00426BB1"/>
    <w:rsid w:val="00431DB6"/>
    <w:rsid w:val="00431E78"/>
    <w:rsid w:val="004365FA"/>
    <w:rsid w:val="00436998"/>
    <w:rsid w:val="00437111"/>
    <w:rsid w:val="00437AB5"/>
    <w:rsid w:val="00441A52"/>
    <w:rsid w:val="00441A6C"/>
    <w:rsid w:val="004455B3"/>
    <w:rsid w:val="004479CB"/>
    <w:rsid w:val="00450B61"/>
    <w:rsid w:val="0045156C"/>
    <w:rsid w:val="004546B3"/>
    <w:rsid w:val="00455A18"/>
    <w:rsid w:val="004560AC"/>
    <w:rsid w:val="00460758"/>
    <w:rsid w:val="00460839"/>
    <w:rsid w:val="00461438"/>
    <w:rsid w:val="0046160E"/>
    <w:rsid w:val="0046582D"/>
    <w:rsid w:val="004672EE"/>
    <w:rsid w:val="0047032C"/>
    <w:rsid w:val="00473604"/>
    <w:rsid w:val="00473EE6"/>
    <w:rsid w:val="00474044"/>
    <w:rsid w:val="004744DB"/>
    <w:rsid w:val="004755AE"/>
    <w:rsid w:val="004756F4"/>
    <w:rsid w:val="00475A1E"/>
    <w:rsid w:val="00475C1D"/>
    <w:rsid w:val="00477567"/>
    <w:rsid w:val="004823A1"/>
    <w:rsid w:val="00487EC4"/>
    <w:rsid w:val="004939D3"/>
    <w:rsid w:val="00493C54"/>
    <w:rsid w:val="0049482B"/>
    <w:rsid w:val="00497183"/>
    <w:rsid w:val="004A0918"/>
    <w:rsid w:val="004A0FFA"/>
    <w:rsid w:val="004A5AA1"/>
    <w:rsid w:val="004A75E4"/>
    <w:rsid w:val="004B1FFF"/>
    <w:rsid w:val="004B347A"/>
    <w:rsid w:val="004B4201"/>
    <w:rsid w:val="004B481F"/>
    <w:rsid w:val="004B67B2"/>
    <w:rsid w:val="004C0072"/>
    <w:rsid w:val="004C08A5"/>
    <w:rsid w:val="004C0AD5"/>
    <w:rsid w:val="004C1B17"/>
    <w:rsid w:val="004C2304"/>
    <w:rsid w:val="004C2A23"/>
    <w:rsid w:val="004C2B6C"/>
    <w:rsid w:val="004C307C"/>
    <w:rsid w:val="004C426F"/>
    <w:rsid w:val="004D463C"/>
    <w:rsid w:val="004D7C97"/>
    <w:rsid w:val="004E075C"/>
    <w:rsid w:val="004E1E4A"/>
    <w:rsid w:val="004E2C9F"/>
    <w:rsid w:val="004E4555"/>
    <w:rsid w:val="004E612E"/>
    <w:rsid w:val="004E6ABC"/>
    <w:rsid w:val="004E73C0"/>
    <w:rsid w:val="004E7CFD"/>
    <w:rsid w:val="004F185B"/>
    <w:rsid w:val="004F2020"/>
    <w:rsid w:val="004F23C8"/>
    <w:rsid w:val="004F294C"/>
    <w:rsid w:val="004F4CDF"/>
    <w:rsid w:val="004F617B"/>
    <w:rsid w:val="004F6DCF"/>
    <w:rsid w:val="004F749E"/>
    <w:rsid w:val="004F7669"/>
    <w:rsid w:val="00501133"/>
    <w:rsid w:val="00501429"/>
    <w:rsid w:val="00503E30"/>
    <w:rsid w:val="0050421A"/>
    <w:rsid w:val="00505893"/>
    <w:rsid w:val="005058E0"/>
    <w:rsid w:val="00505ED0"/>
    <w:rsid w:val="005136AC"/>
    <w:rsid w:val="00514C0A"/>
    <w:rsid w:val="00515777"/>
    <w:rsid w:val="00517E82"/>
    <w:rsid w:val="00520829"/>
    <w:rsid w:val="00522778"/>
    <w:rsid w:val="00522A14"/>
    <w:rsid w:val="00524170"/>
    <w:rsid w:val="005263C4"/>
    <w:rsid w:val="005265FF"/>
    <w:rsid w:val="00526F99"/>
    <w:rsid w:val="00527657"/>
    <w:rsid w:val="00530903"/>
    <w:rsid w:val="00531AE8"/>
    <w:rsid w:val="00531EC4"/>
    <w:rsid w:val="0053361D"/>
    <w:rsid w:val="00535062"/>
    <w:rsid w:val="0053530D"/>
    <w:rsid w:val="0053720C"/>
    <w:rsid w:val="00537CB8"/>
    <w:rsid w:val="005434A6"/>
    <w:rsid w:val="0054542F"/>
    <w:rsid w:val="005471A0"/>
    <w:rsid w:val="00550C5C"/>
    <w:rsid w:val="00552C69"/>
    <w:rsid w:val="00555575"/>
    <w:rsid w:val="005570BA"/>
    <w:rsid w:val="00561665"/>
    <w:rsid w:val="0056294E"/>
    <w:rsid w:val="00565210"/>
    <w:rsid w:val="00565A04"/>
    <w:rsid w:val="00567528"/>
    <w:rsid w:val="00576B53"/>
    <w:rsid w:val="00586B31"/>
    <w:rsid w:val="00587292"/>
    <w:rsid w:val="005929B4"/>
    <w:rsid w:val="00595F93"/>
    <w:rsid w:val="005A1DB5"/>
    <w:rsid w:val="005A4D96"/>
    <w:rsid w:val="005A6D77"/>
    <w:rsid w:val="005A7093"/>
    <w:rsid w:val="005A7C46"/>
    <w:rsid w:val="005B1194"/>
    <w:rsid w:val="005B1AE9"/>
    <w:rsid w:val="005B2D7B"/>
    <w:rsid w:val="005B5A3C"/>
    <w:rsid w:val="005B703E"/>
    <w:rsid w:val="005C0A7D"/>
    <w:rsid w:val="005C1012"/>
    <w:rsid w:val="005C1440"/>
    <w:rsid w:val="005C284E"/>
    <w:rsid w:val="005C3A71"/>
    <w:rsid w:val="005C4BBB"/>
    <w:rsid w:val="005C7B69"/>
    <w:rsid w:val="005D28B0"/>
    <w:rsid w:val="005D3D84"/>
    <w:rsid w:val="005D55D8"/>
    <w:rsid w:val="005D6099"/>
    <w:rsid w:val="005D6706"/>
    <w:rsid w:val="005D6852"/>
    <w:rsid w:val="005E0029"/>
    <w:rsid w:val="005E1967"/>
    <w:rsid w:val="005E1BA0"/>
    <w:rsid w:val="005F0174"/>
    <w:rsid w:val="005F2993"/>
    <w:rsid w:val="005F37A4"/>
    <w:rsid w:val="005F3894"/>
    <w:rsid w:val="005F3F3D"/>
    <w:rsid w:val="005F4691"/>
    <w:rsid w:val="005F6324"/>
    <w:rsid w:val="005F7596"/>
    <w:rsid w:val="006019C3"/>
    <w:rsid w:val="00601C9D"/>
    <w:rsid w:val="006032DD"/>
    <w:rsid w:val="006046F3"/>
    <w:rsid w:val="00606051"/>
    <w:rsid w:val="00612313"/>
    <w:rsid w:val="00613747"/>
    <w:rsid w:val="00614EDD"/>
    <w:rsid w:val="00616C81"/>
    <w:rsid w:val="00622158"/>
    <w:rsid w:val="00622D9B"/>
    <w:rsid w:val="006236B4"/>
    <w:rsid w:val="00623787"/>
    <w:rsid w:val="006244E0"/>
    <w:rsid w:val="0062468A"/>
    <w:rsid w:val="00626C88"/>
    <w:rsid w:val="00626D13"/>
    <w:rsid w:val="00631E9A"/>
    <w:rsid w:val="00631F22"/>
    <w:rsid w:val="00633D13"/>
    <w:rsid w:val="00634924"/>
    <w:rsid w:val="00635C52"/>
    <w:rsid w:val="00636295"/>
    <w:rsid w:val="00640FAA"/>
    <w:rsid w:val="00641CEE"/>
    <w:rsid w:val="00642B29"/>
    <w:rsid w:val="00642DA5"/>
    <w:rsid w:val="00642E1E"/>
    <w:rsid w:val="0064338C"/>
    <w:rsid w:val="00643467"/>
    <w:rsid w:val="0064438F"/>
    <w:rsid w:val="00646035"/>
    <w:rsid w:val="006461C9"/>
    <w:rsid w:val="00646F24"/>
    <w:rsid w:val="00650DF3"/>
    <w:rsid w:val="00652400"/>
    <w:rsid w:val="00653A00"/>
    <w:rsid w:val="0066061A"/>
    <w:rsid w:val="006607A6"/>
    <w:rsid w:val="006612B3"/>
    <w:rsid w:val="0066282D"/>
    <w:rsid w:val="00663DCC"/>
    <w:rsid w:val="00664F21"/>
    <w:rsid w:val="006650B1"/>
    <w:rsid w:val="006654E2"/>
    <w:rsid w:val="006679F2"/>
    <w:rsid w:val="00667AC0"/>
    <w:rsid w:val="006711E6"/>
    <w:rsid w:val="006714D3"/>
    <w:rsid w:val="00671C86"/>
    <w:rsid w:val="006725E8"/>
    <w:rsid w:val="00677BD2"/>
    <w:rsid w:val="00677E15"/>
    <w:rsid w:val="00681398"/>
    <w:rsid w:val="00682700"/>
    <w:rsid w:val="006855DB"/>
    <w:rsid w:val="00686B5D"/>
    <w:rsid w:val="006906FD"/>
    <w:rsid w:val="00691B55"/>
    <w:rsid w:val="006922D7"/>
    <w:rsid w:val="00692810"/>
    <w:rsid w:val="006933EE"/>
    <w:rsid w:val="0069599C"/>
    <w:rsid w:val="00695A9C"/>
    <w:rsid w:val="00696848"/>
    <w:rsid w:val="006A14CE"/>
    <w:rsid w:val="006A3E5A"/>
    <w:rsid w:val="006A4575"/>
    <w:rsid w:val="006A470F"/>
    <w:rsid w:val="006A591A"/>
    <w:rsid w:val="006A6C27"/>
    <w:rsid w:val="006A6D16"/>
    <w:rsid w:val="006B160E"/>
    <w:rsid w:val="006B31A3"/>
    <w:rsid w:val="006B3DF3"/>
    <w:rsid w:val="006B4B49"/>
    <w:rsid w:val="006B4BB9"/>
    <w:rsid w:val="006B53BB"/>
    <w:rsid w:val="006B699C"/>
    <w:rsid w:val="006B6C70"/>
    <w:rsid w:val="006B770E"/>
    <w:rsid w:val="006C0FCF"/>
    <w:rsid w:val="006C50EE"/>
    <w:rsid w:val="006C54FA"/>
    <w:rsid w:val="006C5F4C"/>
    <w:rsid w:val="006C5FFC"/>
    <w:rsid w:val="006D00A4"/>
    <w:rsid w:val="006D0CB8"/>
    <w:rsid w:val="006D16E2"/>
    <w:rsid w:val="006D1EE1"/>
    <w:rsid w:val="006D2ED7"/>
    <w:rsid w:val="006D3976"/>
    <w:rsid w:val="006D534E"/>
    <w:rsid w:val="006D70C1"/>
    <w:rsid w:val="006D71AA"/>
    <w:rsid w:val="006E3072"/>
    <w:rsid w:val="006E4FA4"/>
    <w:rsid w:val="006E5499"/>
    <w:rsid w:val="006E5D09"/>
    <w:rsid w:val="006E5D2B"/>
    <w:rsid w:val="006E6377"/>
    <w:rsid w:val="006E73BF"/>
    <w:rsid w:val="006F021E"/>
    <w:rsid w:val="006F1820"/>
    <w:rsid w:val="006F25B2"/>
    <w:rsid w:val="006F2E86"/>
    <w:rsid w:val="006F483D"/>
    <w:rsid w:val="006F6017"/>
    <w:rsid w:val="00701D9F"/>
    <w:rsid w:val="00702C4F"/>
    <w:rsid w:val="00706EF1"/>
    <w:rsid w:val="007071EF"/>
    <w:rsid w:val="007110C3"/>
    <w:rsid w:val="00711204"/>
    <w:rsid w:val="00711D7D"/>
    <w:rsid w:val="007124F0"/>
    <w:rsid w:val="007129EC"/>
    <w:rsid w:val="00714952"/>
    <w:rsid w:val="00715ED1"/>
    <w:rsid w:val="007164D9"/>
    <w:rsid w:val="00716FF6"/>
    <w:rsid w:val="007174F1"/>
    <w:rsid w:val="007209C1"/>
    <w:rsid w:val="00720A59"/>
    <w:rsid w:val="0072221C"/>
    <w:rsid w:val="007236DE"/>
    <w:rsid w:val="00723E0A"/>
    <w:rsid w:val="00726964"/>
    <w:rsid w:val="00727924"/>
    <w:rsid w:val="00730223"/>
    <w:rsid w:val="00730F22"/>
    <w:rsid w:val="00731692"/>
    <w:rsid w:val="00733312"/>
    <w:rsid w:val="0073481D"/>
    <w:rsid w:val="00734FF6"/>
    <w:rsid w:val="0073576C"/>
    <w:rsid w:val="0073658A"/>
    <w:rsid w:val="00740007"/>
    <w:rsid w:val="00740BAC"/>
    <w:rsid w:val="00740CDE"/>
    <w:rsid w:val="00740DE7"/>
    <w:rsid w:val="007414ED"/>
    <w:rsid w:val="0074244B"/>
    <w:rsid w:val="00743ACF"/>
    <w:rsid w:val="0074448F"/>
    <w:rsid w:val="00747295"/>
    <w:rsid w:val="007504A0"/>
    <w:rsid w:val="007512AA"/>
    <w:rsid w:val="007525E1"/>
    <w:rsid w:val="00752FCF"/>
    <w:rsid w:val="007609BC"/>
    <w:rsid w:val="00764ED2"/>
    <w:rsid w:val="00764FF4"/>
    <w:rsid w:val="007665B0"/>
    <w:rsid w:val="00766611"/>
    <w:rsid w:val="00767014"/>
    <w:rsid w:val="00767F8B"/>
    <w:rsid w:val="00770333"/>
    <w:rsid w:val="00771B04"/>
    <w:rsid w:val="007741A2"/>
    <w:rsid w:val="007743BB"/>
    <w:rsid w:val="00777CBF"/>
    <w:rsid w:val="00777D9B"/>
    <w:rsid w:val="00780577"/>
    <w:rsid w:val="007830C8"/>
    <w:rsid w:val="00784432"/>
    <w:rsid w:val="007849C7"/>
    <w:rsid w:val="00786101"/>
    <w:rsid w:val="00786547"/>
    <w:rsid w:val="007879D6"/>
    <w:rsid w:val="00790B09"/>
    <w:rsid w:val="007920E6"/>
    <w:rsid w:val="00792C51"/>
    <w:rsid w:val="00792CCC"/>
    <w:rsid w:val="00793A3A"/>
    <w:rsid w:val="0079478B"/>
    <w:rsid w:val="00796211"/>
    <w:rsid w:val="00797D2C"/>
    <w:rsid w:val="007A13F6"/>
    <w:rsid w:val="007A187E"/>
    <w:rsid w:val="007A1AA9"/>
    <w:rsid w:val="007A2C86"/>
    <w:rsid w:val="007A35DA"/>
    <w:rsid w:val="007A39AE"/>
    <w:rsid w:val="007A40FD"/>
    <w:rsid w:val="007A421E"/>
    <w:rsid w:val="007A469B"/>
    <w:rsid w:val="007A4786"/>
    <w:rsid w:val="007A5415"/>
    <w:rsid w:val="007A5B34"/>
    <w:rsid w:val="007A615C"/>
    <w:rsid w:val="007A62A2"/>
    <w:rsid w:val="007B1999"/>
    <w:rsid w:val="007B1D2C"/>
    <w:rsid w:val="007B47C4"/>
    <w:rsid w:val="007B5070"/>
    <w:rsid w:val="007B667C"/>
    <w:rsid w:val="007B69B1"/>
    <w:rsid w:val="007B77E3"/>
    <w:rsid w:val="007B7E1B"/>
    <w:rsid w:val="007C1794"/>
    <w:rsid w:val="007C1FDD"/>
    <w:rsid w:val="007C434F"/>
    <w:rsid w:val="007D1094"/>
    <w:rsid w:val="007D1993"/>
    <w:rsid w:val="007D2C9B"/>
    <w:rsid w:val="007D3AB6"/>
    <w:rsid w:val="007D3B7B"/>
    <w:rsid w:val="007D42FD"/>
    <w:rsid w:val="007D4D1D"/>
    <w:rsid w:val="007D73B8"/>
    <w:rsid w:val="007E1BDE"/>
    <w:rsid w:val="007E416E"/>
    <w:rsid w:val="007E4F26"/>
    <w:rsid w:val="007E6D06"/>
    <w:rsid w:val="007F0ECD"/>
    <w:rsid w:val="007F599C"/>
    <w:rsid w:val="00800A2F"/>
    <w:rsid w:val="00803997"/>
    <w:rsid w:val="0080433F"/>
    <w:rsid w:val="0080608F"/>
    <w:rsid w:val="008076DD"/>
    <w:rsid w:val="00812534"/>
    <w:rsid w:val="00812D33"/>
    <w:rsid w:val="00813CEF"/>
    <w:rsid w:val="00814A7E"/>
    <w:rsid w:val="00814C59"/>
    <w:rsid w:val="008208C6"/>
    <w:rsid w:val="00833BC1"/>
    <w:rsid w:val="00834D1B"/>
    <w:rsid w:val="00836735"/>
    <w:rsid w:val="00842CE8"/>
    <w:rsid w:val="00843DFE"/>
    <w:rsid w:val="008448EA"/>
    <w:rsid w:val="008450E5"/>
    <w:rsid w:val="00846D3C"/>
    <w:rsid w:val="00850F58"/>
    <w:rsid w:val="008511AB"/>
    <w:rsid w:val="00851D08"/>
    <w:rsid w:val="0085324C"/>
    <w:rsid w:val="00854754"/>
    <w:rsid w:val="00855C5B"/>
    <w:rsid w:val="00860269"/>
    <w:rsid w:val="00860828"/>
    <w:rsid w:val="0086092B"/>
    <w:rsid w:val="00861692"/>
    <w:rsid w:val="00861849"/>
    <w:rsid w:val="00862B5E"/>
    <w:rsid w:val="00864E15"/>
    <w:rsid w:val="00865022"/>
    <w:rsid w:val="00865169"/>
    <w:rsid w:val="0086562A"/>
    <w:rsid w:val="008720EF"/>
    <w:rsid w:val="008736B6"/>
    <w:rsid w:val="008746C9"/>
    <w:rsid w:val="0087529C"/>
    <w:rsid w:val="00875EE4"/>
    <w:rsid w:val="00876A3C"/>
    <w:rsid w:val="00877315"/>
    <w:rsid w:val="00877A24"/>
    <w:rsid w:val="00880271"/>
    <w:rsid w:val="0088144D"/>
    <w:rsid w:val="00883315"/>
    <w:rsid w:val="0088771A"/>
    <w:rsid w:val="00887726"/>
    <w:rsid w:val="00891ADF"/>
    <w:rsid w:val="008932E6"/>
    <w:rsid w:val="008969B9"/>
    <w:rsid w:val="00896F79"/>
    <w:rsid w:val="008970B2"/>
    <w:rsid w:val="008A01F2"/>
    <w:rsid w:val="008A1933"/>
    <w:rsid w:val="008A4757"/>
    <w:rsid w:val="008A59E2"/>
    <w:rsid w:val="008A6808"/>
    <w:rsid w:val="008A6F86"/>
    <w:rsid w:val="008A6F88"/>
    <w:rsid w:val="008A7C7E"/>
    <w:rsid w:val="008B04D9"/>
    <w:rsid w:val="008B15BD"/>
    <w:rsid w:val="008B1627"/>
    <w:rsid w:val="008B1F63"/>
    <w:rsid w:val="008B28F1"/>
    <w:rsid w:val="008B2E64"/>
    <w:rsid w:val="008B51CA"/>
    <w:rsid w:val="008B567B"/>
    <w:rsid w:val="008B6796"/>
    <w:rsid w:val="008B79BE"/>
    <w:rsid w:val="008B7A59"/>
    <w:rsid w:val="008B7FCC"/>
    <w:rsid w:val="008C0D96"/>
    <w:rsid w:val="008C19F8"/>
    <w:rsid w:val="008C2745"/>
    <w:rsid w:val="008C2F7E"/>
    <w:rsid w:val="008C3CB2"/>
    <w:rsid w:val="008C637F"/>
    <w:rsid w:val="008C75A9"/>
    <w:rsid w:val="008C76B3"/>
    <w:rsid w:val="008C7BD1"/>
    <w:rsid w:val="008D19C1"/>
    <w:rsid w:val="008D572D"/>
    <w:rsid w:val="008D5831"/>
    <w:rsid w:val="008D724A"/>
    <w:rsid w:val="008D7E10"/>
    <w:rsid w:val="008E028E"/>
    <w:rsid w:val="008E045B"/>
    <w:rsid w:val="008F1C64"/>
    <w:rsid w:val="008F3413"/>
    <w:rsid w:val="008F503B"/>
    <w:rsid w:val="008F5402"/>
    <w:rsid w:val="008F585F"/>
    <w:rsid w:val="008F5D94"/>
    <w:rsid w:val="008F6B03"/>
    <w:rsid w:val="008F7815"/>
    <w:rsid w:val="009012E9"/>
    <w:rsid w:val="00903A27"/>
    <w:rsid w:val="00903F99"/>
    <w:rsid w:val="0090411D"/>
    <w:rsid w:val="009075BA"/>
    <w:rsid w:val="00907FF9"/>
    <w:rsid w:val="0091054E"/>
    <w:rsid w:val="0091076A"/>
    <w:rsid w:val="0091446D"/>
    <w:rsid w:val="009169A1"/>
    <w:rsid w:val="0091765A"/>
    <w:rsid w:val="009229CB"/>
    <w:rsid w:val="00923503"/>
    <w:rsid w:val="00924777"/>
    <w:rsid w:val="00925B0E"/>
    <w:rsid w:val="00927D0E"/>
    <w:rsid w:val="00930473"/>
    <w:rsid w:val="00930589"/>
    <w:rsid w:val="009332C6"/>
    <w:rsid w:val="00934774"/>
    <w:rsid w:val="00937427"/>
    <w:rsid w:val="0093781D"/>
    <w:rsid w:val="00937B78"/>
    <w:rsid w:val="009423B4"/>
    <w:rsid w:val="0094550F"/>
    <w:rsid w:val="00945533"/>
    <w:rsid w:val="009468C6"/>
    <w:rsid w:val="00950524"/>
    <w:rsid w:val="00950D55"/>
    <w:rsid w:val="0095233A"/>
    <w:rsid w:val="0095338A"/>
    <w:rsid w:val="00955C1D"/>
    <w:rsid w:val="009578F6"/>
    <w:rsid w:val="00957B36"/>
    <w:rsid w:val="009618E4"/>
    <w:rsid w:val="00962DA3"/>
    <w:rsid w:val="00963596"/>
    <w:rsid w:val="00964AD8"/>
    <w:rsid w:val="00965DBE"/>
    <w:rsid w:val="00967196"/>
    <w:rsid w:val="00967D6A"/>
    <w:rsid w:val="009703E3"/>
    <w:rsid w:val="009737A2"/>
    <w:rsid w:val="009743AE"/>
    <w:rsid w:val="009774A4"/>
    <w:rsid w:val="00977B40"/>
    <w:rsid w:val="00980B1B"/>
    <w:rsid w:val="009817D4"/>
    <w:rsid w:val="009821E0"/>
    <w:rsid w:val="00983664"/>
    <w:rsid w:val="00985693"/>
    <w:rsid w:val="009864F1"/>
    <w:rsid w:val="009866C3"/>
    <w:rsid w:val="00991971"/>
    <w:rsid w:val="00993989"/>
    <w:rsid w:val="00995352"/>
    <w:rsid w:val="00997FE0"/>
    <w:rsid w:val="009A00CB"/>
    <w:rsid w:val="009A107B"/>
    <w:rsid w:val="009B35B8"/>
    <w:rsid w:val="009B4632"/>
    <w:rsid w:val="009B52BD"/>
    <w:rsid w:val="009B5943"/>
    <w:rsid w:val="009C660A"/>
    <w:rsid w:val="009C6945"/>
    <w:rsid w:val="009C6A68"/>
    <w:rsid w:val="009C73C4"/>
    <w:rsid w:val="009D02E8"/>
    <w:rsid w:val="009D08C4"/>
    <w:rsid w:val="009D0CEB"/>
    <w:rsid w:val="009D16C6"/>
    <w:rsid w:val="009D2234"/>
    <w:rsid w:val="009D32F6"/>
    <w:rsid w:val="009D3F7C"/>
    <w:rsid w:val="009D5DF1"/>
    <w:rsid w:val="009D5FAB"/>
    <w:rsid w:val="009E05EB"/>
    <w:rsid w:val="009E093F"/>
    <w:rsid w:val="009E141C"/>
    <w:rsid w:val="009E2C9D"/>
    <w:rsid w:val="009E4B57"/>
    <w:rsid w:val="009E502C"/>
    <w:rsid w:val="009E6850"/>
    <w:rsid w:val="009E741F"/>
    <w:rsid w:val="009E77BE"/>
    <w:rsid w:val="009F0947"/>
    <w:rsid w:val="009F0BB5"/>
    <w:rsid w:val="009F4AE2"/>
    <w:rsid w:val="009F7648"/>
    <w:rsid w:val="009F7D10"/>
    <w:rsid w:val="00A00594"/>
    <w:rsid w:val="00A01115"/>
    <w:rsid w:val="00A0176B"/>
    <w:rsid w:val="00A02014"/>
    <w:rsid w:val="00A032C4"/>
    <w:rsid w:val="00A061D1"/>
    <w:rsid w:val="00A073CC"/>
    <w:rsid w:val="00A10F2D"/>
    <w:rsid w:val="00A16626"/>
    <w:rsid w:val="00A213D5"/>
    <w:rsid w:val="00A21A32"/>
    <w:rsid w:val="00A21FEA"/>
    <w:rsid w:val="00A222E8"/>
    <w:rsid w:val="00A2343E"/>
    <w:rsid w:val="00A2362E"/>
    <w:rsid w:val="00A23F13"/>
    <w:rsid w:val="00A23FA1"/>
    <w:rsid w:val="00A27823"/>
    <w:rsid w:val="00A27A8B"/>
    <w:rsid w:val="00A32AF8"/>
    <w:rsid w:val="00A37F32"/>
    <w:rsid w:val="00A41653"/>
    <w:rsid w:val="00A42009"/>
    <w:rsid w:val="00A421E7"/>
    <w:rsid w:val="00A424FD"/>
    <w:rsid w:val="00A434AC"/>
    <w:rsid w:val="00A4484A"/>
    <w:rsid w:val="00A448AF"/>
    <w:rsid w:val="00A452C6"/>
    <w:rsid w:val="00A46F63"/>
    <w:rsid w:val="00A477A8"/>
    <w:rsid w:val="00A529E9"/>
    <w:rsid w:val="00A545EF"/>
    <w:rsid w:val="00A56FD5"/>
    <w:rsid w:val="00A57049"/>
    <w:rsid w:val="00A57128"/>
    <w:rsid w:val="00A5748B"/>
    <w:rsid w:val="00A60012"/>
    <w:rsid w:val="00A61BAF"/>
    <w:rsid w:val="00A62A45"/>
    <w:rsid w:val="00A6410D"/>
    <w:rsid w:val="00A648F7"/>
    <w:rsid w:val="00A65DD0"/>
    <w:rsid w:val="00A66251"/>
    <w:rsid w:val="00A666DE"/>
    <w:rsid w:val="00A71702"/>
    <w:rsid w:val="00A801F7"/>
    <w:rsid w:val="00A825B3"/>
    <w:rsid w:val="00A83C2E"/>
    <w:rsid w:val="00A84BDA"/>
    <w:rsid w:val="00A8512D"/>
    <w:rsid w:val="00A85965"/>
    <w:rsid w:val="00A85A1B"/>
    <w:rsid w:val="00A85AA4"/>
    <w:rsid w:val="00A92C70"/>
    <w:rsid w:val="00A9347D"/>
    <w:rsid w:val="00A9749A"/>
    <w:rsid w:val="00AA237B"/>
    <w:rsid w:val="00AA27AA"/>
    <w:rsid w:val="00AA3279"/>
    <w:rsid w:val="00AA6622"/>
    <w:rsid w:val="00AB11FF"/>
    <w:rsid w:val="00AB21C5"/>
    <w:rsid w:val="00AB29FE"/>
    <w:rsid w:val="00AB30EB"/>
    <w:rsid w:val="00AB45B7"/>
    <w:rsid w:val="00AB467A"/>
    <w:rsid w:val="00AB46CD"/>
    <w:rsid w:val="00AC0063"/>
    <w:rsid w:val="00AC03FA"/>
    <w:rsid w:val="00AC0926"/>
    <w:rsid w:val="00AC3057"/>
    <w:rsid w:val="00AC3816"/>
    <w:rsid w:val="00AC6726"/>
    <w:rsid w:val="00AD13BA"/>
    <w:rsid w:val="00AD21D8"/>
    <w:rsid w:val="00AD4528"/>
    <w:rsid w:val="00AD5B1E"/>
    <w:rsid w:val="00AD64D8"/>
    <w:rsid w:val="00AD664A"/>
    <w:rsid w:val="00AD68E9"/>
    <w:rsid w:val="00AD6D2F"/>
    <w:rsid w:val="00AD6ECB"/>
    <w:rsid w:val="00AD777D"/>
    <w:rsid w:val="00AE1020"/>
    <w:rsid w:val="00AE1314"/>
    <w:rsid w:val="00AE2036"/>
    <w:rsid w:val="00AE2A4A"/>
    <w:rsid w:val="00AE38F9"/>
    <w:rsid w:val="00AE43CB"/>
    <w:rsid w:val="00AE5BF4"/>
    <w:rsid w:val="00AE7679"/>
    <w:rsid w:val="00AF142D"/>
    <w:rsid w:val="00AF36B2"/>
    <w:rsid w:val="00B00EC2"/>
    <w:rsid w:val="00B02483"/>
    <w:rsid w:val="00B0253E"/>
    <w:rsid w:val="00B02717"/>
    <w:rsid w:val="00B02824"/>
    <w:rsid w:val="00B02ECB"/>
    <w:rsid w:val="00B04717"/>
    <w:rsid w:val="00B06B5A"/>
    <w:rsid w:val="00B1082D"/>
    <w:rsid w:val="00B11421"/>
    <w:rsid w:val="00B12FFA"/>
    <w:rsid w:val="00B13C28"/>
    <w:rsid w:val="00B13F8C"/>
    <w:rsid w:val="00B143EB"/>
    <w:rsid w:val="00B144FE"/>
    <w:rsid w:val="00B150D2"/>
    <w:rsid w:val="00B16141"/>
    <w:rsid w:val="00B171C8"/>
    <w:rsid w:val="00B20BCE"/>
    <w:rsid w:val="00B21354"/>
    <w:rsid w:val="00B228B4"/>
    <w:rsid w:val="00B22A9E"/>
    <w:rsid w:val="00B23B19"/>
    <w:rsid w:val="00B24A68"/>
    <w:rsid w:val="00B2541C"/>
    <w:rsid w:val="00B25ED8"/>
    <w:rsid w:val="00B26745"/>
    <w:rsid w:val="00B2705D"/>
    <w:rsid w:val="00B33151"/>
    <w:rsid w:val="00B3377D"/>
    <w:rsid w:val="00B33F3B"/>
    <w:rsid w:val="00B3430E"/>
    <w:rsid w:val="00B34981"/>
    <w:rsid w:val="00B3547B"/>
    <w:rsid w:val="00B356D5"/>
    <w:rsid w:val="00B360D6"/>
    <w:rsid w:val="00B36A81"/>
    <w:rsid w:val="00B37D40"/>
    <w:rsid w:val="00B41000"/>
    <w:rsid w:val="00B4189C"/>
    <w:rsid w:val="00B41D7D"/>
    <w:rsid w:val="00B435C2"/>
    <w:rsid w:val="00B452A3"/>
    <w:rsid w:val="00B45668"/>
    <w:rsid w:val="00B46F09"/>
    <w:rsid w:val="00B538B3"/>
    <w:rsid w:val="00B53FA0"/>
    <w:rsid w:val="00B55C9E"/>
    <w:rsid w:val="00B56BDF"/>
    <w:rsid w:val="00B56FFD"/>
    <w:rsid w:val="00B64639"/>
    <w:rsid w:val="00B66A20"/>
    <w:rsid w:val="00B66DFA"/>
    <w:rsid w:val="00B7000A"/>
    <w:rsid w:val="00B70B10"/>
    <w:rsid w:val="00B70D3D"/>
    <w:rsid w:val="00B70FA1"/>
    <w:rsid w:val="00B74BFC"/>
    <w:rsid w:val="00B75401"/>
    <w:rsid w:val="00B77092"/>
    <w:rsid w:val="00B772C7"/>
    <w:rsid w:val="00B776A4"/>
    <w:rsid w:val="00B80B9E"/>
    <w:rsid w:val="00B84383"/>
    <w:rsid w:val="00B84C5E"/>
    <w:rsid w:val="00B867AF"/>
    <w:rsid w:val="00B872F3"/>
    <w:rsid w:val="00B9048C"/>
    <w:rsid w:val="00B90BCD"/>
    <w:rsid w:val="00B94B0D"/>
    <w:rsid w:val="00B94D48"/>
    <w:rsid w:val="00B96775"/>
    <w:rsid w:val="00B96F4A"/>
    <w:rsid w:val="00B97A87"/>
    <w:rsid w:val="00B97AEA"/>
    <w:rsid w:val="00B97FDF"/>
    <w:rsid w:val="00BA06DD"/>
    <w:rsid w:val="00BA2565"/>
    <w:rsid w:val="00BA26D4"/>
    <w:rsid w:val="00BA2B73"/>
    <w:rsid w:val="00BA388C"/>
    <w:rsid w:val="00BA44C0"/>
    <w:rsid w:val="00BA507F"/>
    <w:rsid w:val="00BA5B2C"/>
    <w:rsid w:val="00BA607A"/>
    <w:rsid w:val="00BA78BA"/>
    <w:rsid w:val="00BB12DD"/>
    <w:rsid w:val="00BB3C7E"/>
    <w:rsid w:val="00BB3E64"/>
    <w:rsid w:val="00BB4200"/>
    <w:rsid w:val="00BB64FC"/>
    <w:rsid w:val="00BB74E8"/>
    <w:rsid w:val="00BB7500"/>
    <w:rsid w:val="00BB7D40"/>
    <w:rsid w:val="00BC0C02"/>
    <w:rsid w:val="00BC1094"/>
    <w:rsid w:val="00BC34C9"/>
    <w:rsid w:val="00BC601D"/>
    <w:rsid w:val="00BC7868"/>
    <w:rsid w:val="00BC7986"/>
    <w:rsid w:val="00BD0E70"/>
    <w:rsid w:val="00BD47E1"/>
    <w:rsid w:val="00BD66D3"/>
    <w:rsid w:val="00BD79A5"/>
    <w:rsid w:val="00BE43F0"/>
    <w:rsid w:val="00BE4E10"/>
    <w:rsid w:val="00BE53D4"/>
    <w:rsid w:val="00BE5647"/>
    <w:rsid w:val="00BE7B8D"/>
    <w:rsid w:val="00BF3FCA"/>
    <w:rsid w:val="00BF44B7"/>
    <w:rsid w:val="00BF47F2"/>
    <w:rsid w:val="00BF5B3E"/>
    <w:rsid w:val="00BF6014"/>
    <w:rsid w:val="00BF607B"/>
    <w:rsid w:val="00BF65F2"/>
    <w:rsid w:val="00BF7B52"/>
    <w:rsid w:val="00C008F7"/>
    <w:rsid w:val="00C01B87"/>
    <w:rsid w:val="00C044F1"/>
    <w:rsid w:val="00C045E7"/>
    <w:rsid w:val="00C05E36"/>
    <w:rsid w:val="00C075D7"/>
    <w:rsid w:val="00C07A96"/>
    <w:rsid w:val="00C10000"/>
    <w:rsid w:val="00C1044D"/>
    <w:rsid w:val="00C11439"/>
    <w:rsid w:val="00C13953"/>
    <w:rsid w:val="00C15451"/>
    <w:rsid w:val="00C15595"/>
    <w:rsid w:val="00C15C1A"/>
    <w:rsid w:val="00C166CD"/>
    <w:rsid w:val="00C16B2A"/>
    <w:rsid w:val="00C16B33"/>
    <w:rsid w:val="00C1790C"/>
    <w:rsid w:val="00C203CB"/>
    <w:rsid w:val="00C213DB"/>
    <w:rsid w:val="00C23082"/>
    <w:rsid w:val="00C231D1"/>
    <w:rsid w:val="00C23562"/>
    <w:rsid w:val="00C23A79"/>
    <w:rsid w:val="00C23CB8"/>
    <w:rsid w:val="00C255E4"/>
    <w:rsid w:val="00C26B4E"/>
    <w:rsid w:val="00C276D0"/>
    <w:rsid w:val="00C3339F"/>
    <w:rsid w:val="00C34EE9"/>
    <w:rsid w:val="00C352E7"/>
    <w:rsid w:val="00C36E64"/>
    <w:rsid w:val="00C40963"/>
    <w:rsid w:val="00C433E7"/>
    <w:rsid w:val="00C43528"/>
    <w:rsid w:val="00C4553B"/>
    <w:rsid w:val="00C46656"/>
    <w:rsid w:val="00C47EC6"/>
    <w:rsid w:val="00C5163F"/>
    <w:rsid w:val="00C52A95"/>
    <w:rsid w:val="00C52F21"/>
    <w:rsid w:val="00C54573"/>
    <w:rsid w:val="00C553BF"/>
    <w:rsid w:val="00C56782"/>
    <w:rsid w:val="00C57F8B"/>
    <w:rsid w:val="00C602DB"/>
    <w:rsid w:val="00C60AEC"/>
    <w:rsid w:val="00C619C2"/>
    <w:rsid w:val="00C62797"/>
    <w:rsid w:val="00C62E3B"/>
    <w:rsid w:val="00C63B64"/>
    <w:rsid w:val="00C63C48"/>
    <w:rsid w:val="00C65109"/>
    <w:rsid w:val="00C65293"/>
    <w:rsid w:val="00C6552D"/>
    <w:rsid w:val="00C65AE6"/>
    <w:rsid w:val="00C6626F"/>
    <w:rsid w:val="00C7150F"/>
    <w:rsid w:val="00C74859"/>
    <w:rsid w:val="00C75F73"/>
    <w:rsid w:val="00C777CC"/>
    <w:rsid w:val="00C8099A"/>
    <w:rsid w:val="00C80FAD"/>
    <w:rsid w:val="00C83042"/>
    <w:rsid w:val="00C83787"/>
    <w:rsid w:val="00C866A6"/>
    <w:rsid w:val="00C90FBE"/>
    <w:rsid w:val="00C92B1B"/>
    <w:rsid w:val="00CA1A2E"/>
    <w:rsid w:val="00CA1BE2"/>
    <w:rsid w:val="00CA2C19"/>
    <w:rsid w:val="00CA32A1"/>
    <w:rsid w:val="00CB4445"/>
    <w:rsid w:val="00CB5731"/>
    <w:rsid w:val="00CB5860"/>
    <w:rsid w:val="00CB607A"/>
    <w:rsid w:val="00CB6B22"/>
    <w:rsid w:val="00CB6EA8"/>
    <w:rsid w:val="00CB72CE"/>
    <w:rsid w:val="00CB7D4C"/>
    <w:rsid w:val="00CC4457"/>
    <w:rsid w:val="00CC55F4"/>
    <w:rsid w:val="00CC66EE"/>
    <w:rsid w:val="00CC79A3"/>
    <w:rsid w:val="00CD129B"/>
    <w:rsid w:val="00CD1458"/>
    <w:rsid w:val="00CD368E"/>
    <w:rsid w:val="00CD3C50"/>
    <w:rsid w:val="00CD4527"/>
    <w:rsid w:val="00CD4F74"/>
    <w:rsid w:val="00CD5553"/>
    <w:rsid w:val="00CD7D13"/>
    <w:rsid w:val="00CE44FA"/>
    <w:rsid w:val="00CE4669"/>
    <w:rsid w:val="00CE573F"/>
    <w:rsid w:val="00CF1BE4"/>
    <w:rsid w:val="00CF2CF6"/>
    <w:rsid w:val="00CF33CA"/>
    <w:rsid w:val="00CF33E1"/>
    <w:rsid w:val="00CF44F5"/>
    <w:rsid w:val="00CF6C5C"/>
    <w:rsid w:val="00CF78D1"/>
    <w:rsid w:val="00D00F00"/>
    <w:rsid w:val="00D01E09"/>
    <w:rsid w:val="00D0257F"/>
    <w:rsid w:val="00D02D5A"/>
    <w:rsid w:val="00D02F77"/>
    <w:rsid w:val="00D02FEA"/>
    <w:rsid w:val="00D03309"/>
    <w:rsid w:val="00D038FE"/>
    <w:rsid w:val="00D03AD7"/>
    <w:rsid w:val="00D0593A"/>
    <w:rsid w:val="00D0657D"/>
    <w:rsid w:val="00D104AE"/>
    <w:rsid w:val="00D11B1F"/>
    <w:rsid w:val="00D11F79"/>
    <w:rsid w:val="00D13688"/>
    <w:rsid w:val="00D1421B"/>
    <w:rsid w:val="00D14F02"/>
    <w:rsid w:val="00D15577"/>
    <w:rsid w:val="00D15C32"/>
    <w:rsid w:val="00D16251"/>
    <w:rsid w:val="00D16EAC"/>
    <w:rsid w:val="00D20FEE"/>
    <w:rsid w:val="00D210DE"/>
    <w:rsid w:val="00D21E9D"/>
    <w:rsid w:val="00D23115"/>
    <w:rsid w:val="00D23367"/>
    <w:rsid w:val="00D23C33"/>
    <w:rsid w:val="00D253CA"/>
    <w:rsid w:val="00D25A65"/>
    <w:rsid w:val="00D26E01"/>
    <w:rsid w:val="00D3510F"/>
    <w:rsid w:val="00D359E0"/>
    <w:rsid w:val="00D37A1E"/>
    <w:rsid w:val="00D41427"/>
    <w:rsid w:val="00D43AA4"/>
    <w:rsid w:val="00D43EDC"/>
    <w:rsid w:val="00D43F43"/>
    <w:rsid w:val="00D45E6C"/>
    <w:rsid w:val="00D46778"/>
    <w:rsid w:val="00D46C1C"/>
    <w:rsid w:val="00D47619"/>
    <w:rsid w:val="00D47CAC"/>
    <w:rsid w:val="00D52453"/>
    <w:rsid w:val="00D557A7"/>
    <w:rsid w:val="00D5633E"/>
    <w:rsid w:val="00D6023E"/>
    <w:rsid w:val="00D60E05"/>
    <w:rsid w:val="00D620E3"/>
    <w:rsid w:val="00D63170"/>
    <w:rsid w:val="00D63178"/>
    <w:rsid w:val="00D71C47"/>
    <w:rsid w:val="00D72A8D"/>
    <w:rsid w:val="00D72AAC"/>
    <w:rsid w:val="00D73B12"/>
    <w:rsid w:val="00D74517"/>
    <w:rsid w:val="00D74C8B"/>
    <w:rsid w:val="00D770EE"/>
    <w:rsid w:val="00D80172"/>
    <w:rsid w:val="00D806D2"/>
    <w:rsid w:val="00D81037"/>
    <w:rsid w:val="00D85774"/>
    <w:rsid w:val="00D85F66"/>
    <w:rsid w:val="00D87F28"/>
    <w:rsid w:val="00D90EE9"/>
    <w:rsid w:val="00D91667"/>
    <w:rsid w:val="00D92264"/>
    <w:rsid w:val="00D92B04"/>
    <w:rsid w:val="00D9374B"/>
    <w:rsid w:val="00D9507A"/>
    <w:rsid w:val="00D96174"/>
    <w:rsid w:val="00D97F8F"/>
    <w:rsid w:val="00DA20BE"/>
    <w:rsid w:val="00DA31A8"/>
    <w:rsid w:val="00DA367D"/>
    <w:rsid w:val="00DA39AB"/>
    <w:rsid w:val="00DA3FAD"/>
    <w:rsid w:val="00DA44F7"/>
    <w:rsid w:val="00DA45BE"/>
    <w:rsid w:val="00DA5ED6"/>
    <w:rsid w:val="00DA6E21"/>
    <w:rsid w:val="00DB3184"/>
    <w:rsid w:val="00DB3F50"/>
    <w:rsid w:val="00DC0319"/>
    <w:rsid w:val="00DC3754"/>
    <w:rsid w:val="00DC5844"/>
    <w:rsid w:val="00DC6455"/>
    <w:rsid w:val="00DC7624"/>
    <w:rsid w:val="00DD089B"/>
    <w:rsid w:val="00DD231D"/>
    <w:rsid w:val="00DD71E9"/>
    <w:rsid w:val="00DD79D0"/>
    <w:rsid w:val="00DD7D0E"/>
    <w:rsid w:val="00DE3B46"/>
    <w:rsid w:val="00DE40B3"/>
    <w:rsid w:val="00DE4DA6"/>
    <w:rsid w:val="00DE6091"/>
    <w:rsid w:val="00DE7517"/>
    <w:rsid w:val="00DF0933"/>
    <w:rsid w:val="00DF0DB9"/>
    <w:rsid w:val="00DF19C0"/>
    <w:rsid w:val="00DF3034"/>
    <w:rsid w:val="00DF3DDE"/>
    <w:rsid w:val="00DF538C"/>
    <w:rsid w:val="00DF7E35"/>
    <w:rsid w:val="00E00131"/>
    <w:rsid w:val="00E00576"/>
    <w:rsid w:val="00E00B93"/>
    <w:rsid w:val="00E01FD8"/>
    <w:rsid w:val="00E077DF"/>
    <w:rsid w:val="00E12DEF"/>
    <w:rsid w:val="00E15B51"/>
    <w:rsid w:val="00E20046"/>
    <w:rsid w:val="00E21686"/>
    <w:rsid w:val="00E2211B"/>
    <w:rsid w:val="00E22A5B"/>
    <w:rsid w:val="00E23A42"/>
    <w:rsid w:val="00E24019"/>
    <w:rsid w:val="00E273DF"/>
    <w:rsid w:val="00E27E4D"/>
    <w:rsid w:val="00E32724"/>
    <w:rsid w:val="00E359EB"/>
    <w:rsid w:val="00E361AB"/>
    <w:rsid w:val="00E36C28"/>
    <w:rsid w:val="00E3734B"/>
    <w:rsid w:val="00E41E7C"/>
    <w:rsid w:val="00E45D20"/>
    <w:rsid w:val="00E462A1"/>
    <w:rsid w:val="00E46782"/>
    <w:rsid w:val="00E51D7C"/>
    <w:rsid w:val="00E52320"/>
    <w:rsid w:val="00E53712"/>
    <w:rsid w:val="00E55005"/>
    <w:rsid w:val="00E55A5A"/>
    <w:rsid w:val="00E56826"/>
    <w:rsid w:val="00E62281"/>
    <w:rsid w:val="00E63622"/>
    <w:rsid w:val="00E652D7"/>
    <w:rsid w:val="00E663A5"/>
    <w:rsid w:val="00E6712C"/>
    <w:rsid w:val="00E6783C"/>
    <w:rsid w:val="00E721A9"/>
    <w:rsid w:val="00E75BFB"/>
    <w:rsid w:val="00E772C1"/>
    <w:rsid w:val="00E81195"/>
    <w:rsid w:val="00E815FE"/>
    <w:rsid w:val="00E82EE0"/>
    <w:rsid w:val="00E84692"/>
    <w:rsid w:val="00E84730"/>
    <w:rsid w:val="00E84D7B"/>
    <w:rsid w:val="00E84F67"/>
    <w:rsid w:val="00E8556A"/>
    <w:rsid w:val="00E85700"/>
    <w:rsid w:val="00E85E09"/>
    <w:rsid w:val="00E9042F"/>
    <w:rsid w:val="00E9382B"/>
    <w:rsid w:val="00E944C5"/>
    <w:rsid w:val="00E94EBF"/>
    <w:rsid w:val="00E96904"/>
    <w:rsid w:val="00E97CBD"/>
    <w:rsid w:val="00EA13B2"/>
    <w:rsid w:val="00EA2164"/>
    <w:rsid w:val="00EA2FAB"/>
    <w:rsid w:val="00EA679F"/>
    <w:rsid w:val="00EA6D7B"/>
    <w:rsid w:val="00EB2DA0"/>
    <w:rsid w:val="00EB3F54"/>
    <w:rsid w:val="00EB42CE"/>
    <w:rsid w:val="00EB5466"/>
    <w:rsid w:val="00EB577F"/>
    <w:rsid w:val="00EB62BD"/>
    <w:rsid w:val="00EB6FEC"/>
    <w:rsid w:val="00EB772E"/>
    <w:rsid w:val="00EB785C"/>
    <w:rsid w:val="00EC0C88"/>
    <w:rsid w:val="00EC1B82"/>
    <w:rsid w:val="00EC4E80"/>
    <w:rsid w:val="00EC7E4D"/>
    <w:rsid w:val="00EC7EFF"/>
    <w:rsid w:val="00ED1FF0"/>
    <w:rsid w:val="00EE0A6D"/>
    <w:rsid w:val="00EE24DF"/>
    <w:rsid w:val="00EE578C"/>
    <w:rsid w:val="00EE736F"/>
    <w:rsid w:val="00EF10B0"/>
    <w:rsid w:val="00EF22FE"/>
    <w:rsid w:val="00EF331A"/>
    <w:rsid w:val="00EF477C"/>
    <w:rsid w:val="00EF4C3E"/>
    <w:rsid w:val="00EF6209"/>
    <w:rsid w:val="00EF7EF7"/>
    <w:rsid w:val="00F0068D"/>
    <w:rsid w:val="00F00A6A"/>
    <w:rsid w:val="00F02260"/>
    <w:rsid w:val="00F04150"/>
    <w:rsid w:val="00F042D5"/>
    <w:rsid w:val="00F05263"/>
    <w:rsid w:val="00F066E6"/>
    <w:rsid w:val="00F06876"/>
    <w:rsid w:val="00F07048"/>
    <w:rsid w:val="00F147FA"/>
    <w:rsid w:val="00F2030A"/>
    <w:rsid w:val="00F2048A"/>
    <w:rsid w:val="00F20600"/>
    <w:rsid w:val="00F20682"/>
    <w:rsid w:val="00F2097C"/>
    <w:rsid w:val="00F20A86"/>
    <w:rsid w:val="00F218D0"/>
    <w:rsid w:val="00F263B1"/>
    <w:rsid w:val="00F26C18"/>
    <w:rsid w:val="00F26FCD"/>
    <w:rsid w:val="00F3250D"/>
    <w:rsid w:val="00F3306D"/>
    <w:rsid w:val="00F34F5C"/>
    <w:rsid w:val="00F3527A"/>
    <w:rsid w:val="00F36C1A"/>
    <w:rsid w:val="00F37642"/>
    <w:rsid w:val="00F37A3B"/>
    <w:rsid w:val="00F37D14"/>
    <w:rsid w:val="00F4044E"/>
    <w:rsid w:val="00F404CA"/>
    <w:rsid w:val="00F416EB"/>
    <w:rsid w:val="00F44EF8"/>
    <w:rsid w:val="00F46C03"/>
    <w:rsid w:val="00F51970"/>
    <w:rsid w:val="00F53643"/>
    <w:rsid w:val="00F547C3"/>
    <w:rsid w:val="00F55204"/>
    <w:rsid w:val="00F56D58"/>
    <w:rsid w:val="00F56F7C"/>
    <w:rsid w:val="00F574D0"/>
    <w:rsid w:val="00F612A8"/>
    <w:rsid w:val="00F61BB1"/>
    <w:rsid w:val="00F623A0"/>
    <w:rsid w:val="00F62AB0"/>
    <w:rsid w:val="00F63F7F"/>
    <w:rsid w:val="00F640F3"/>
    <w:rsid w:val="00F71BAC"/>
    <w:rsid w:val="00F73C56"/>
    <w:rsid w:val="00F740A8"/>
    <w:rsid w:val="00F77E17"/>
    <w:rsid w:val="00F77E30"/>
    <w:rsid w:val="00F77F9A"/>
    <w:rsid w:val="00F8103F"/>
    <w:rsid w:val="00F814AF"/>
    <w:rsid w:val="00F8153C"/>
    <w:rsid w:val="00F825C7"/>
    <w:rsid w:val="00F82C69"/>
    <w:rsid w:val="00F91D30"/>
    <w:rsid w:val="00F92942"/>
    <w:rsid w:val="00F93C93"/>
    <w:rsid w:val="00F9496C"/>
    <w:rsid w:val="00F95EA5"/>
    <w:rsid w:val="00F96111"/>
    <w:rsid w:val="00F9665A"/>
    <w:rsid w:val="00FA2442"/>
    <w:rsid w:val="00FA7BE7"/>
    <w:rsid w:val="00FB0081"/>
    <w:rsid w:val="00FB1CFD"/>
    <w:rsid w:val="00FB5F96"/>
    <w:rsid w:val="00FB6724"/>
    <w:rsid w:val="00FB6969"/>
    <w:rsid w:val="00FC030A"/>
    <w:rsid w:val="00FC0842"/>
    <w:rsid w:val="00FC29B5"/>
    <w:rsid w:val="00FD0526"/>
    <w:rsid w:val="00FD0A65"/>
    <w:rsid w:val="00FD1C7C"/>
    <w:rsid w:val="00FD1EDD"/>
    <w:rsid w:val="00FD6DA2"/>
    <w:rsid w:val="00FD7CD9"/>
    <w:rsid w:val="00FE0CB2"/>
    <w:rsid w:val="00FE51F8"/>
    <w:rsid w:val="00FE7B21"/>
    <w:rsid w:val="00FF2EB0"/>
    <w:rsid w:val="00FF413B"/>
    <w:rsid w:val="00FF540B"/>
    <w:rsid w:val="01463E45"/>
    <w:rsid w:val="015503C1"/>
    <w:rsid w:val="01866D17"/>
    <w:rsid w:val="029F7BBA"/>
    <w:rsid w:val="03EF3EBE"/>
    <w:rsid w:val="03FA3075"/>
    <w:rsid w:val="04054205"/>
    <w:rsid w:val="054372B5"/>
    <w:rsid w:val="059C530F"/>
    <w:rsid w:val="0639082E"/>
    <w:rsid w:val="06ED7B55"/>
    <w:rsid w:val="08BB41C4"/>
    <w:rsid w:val="09A71DD4"/>
    <w:rsid w:val="09DB5A42"/>
    <w:rsid w:val="0B683C73"/>
    <w:rsid w:val="0B801934"/>
    <w:rsid w:val="0B9B37B7"/>
    <w:rsid w:val="0BA83DBF"/>
    <w:rsid w:val="0C0000E3"/>
    <w:rsid w:val="0C002F86"/>
    <w:rsid w:val="0C1D28C8"/>
    <w:rsid w:val="0D3862BE"/>
    <w:rsid w:val="0D424702"/>
    <w:rsid w:val="0D794538"/>
    <w:rsid w:val="0E91205B"/>
    <w:rsid w:val="0F281C8E"/>
    <w:rsid w:val="0F9A5C11"/>
    <w:rsid w:val="106E6475"/>
    <w:rsid w:val="111666BB"/>
    <w:rsid w:val="11316C97"/>
    <w:rsid w:val="11571580"/>
    <w:rsid w:val="115A2A24"/>
    <w:rsid w:val="12533C20"/>
    <w:rsid w:val="137228B7"/>
    <w:rsid w:val="13DF2F4B"/>
    <w:rsid w:val="147A7CA1"/>
    <w:rsid w:val="162D1484"/>
    <w:rsid w:val="16F77FFE"/>
    <w:rsid w:val="17203968"/>
    <w:rsid w:val="176E6749"/>
    <w:rsid w:val="18621E8E"/>
    <w:rsid w:val="189406E6"/>
    <w:rsid w:val="190943FD"/>
    <w:rsid w:val="194C41A2"/>
    <w:rsid w:val="19B7045B"/>
    <w:rsid w:val="19C911CE"/>
    <w:rsid w:val="19CC64C5"/>
    <w:rsid w:val="19E6543B"/>
    <w:rsid w:val="1A8846F7"/>
    <w:rsid w:val="1AA1231E"/>
    <w:rsid w:val="1BA2279D"/>
    <w:rsid w:val="1BDD7480"/>
    <w:rsid w:val="1C0B786A"/>
    <w:rsid w:val="1C947782"/>
    <w:rsid w:val="1CC437FE"/>
    <w:rsid w:val="1CF03A17"/>
    <w:rsid w:val="1D0E671F"/>
    <w:rsid w:val="1D535CE0"/>
    <w:rsid w:val="1D590126"/>
    <w:rsid w:val="1D675F1D"/>
    <w:rsid w:val="1DC57DAF"/>
    <w:rsid w:val="1E4E4D40"/>
    <w:rsid w:val="1EC77754"/>
    <w:rsid w:val="1F0B3FB7"/>
    <w:rsid w:val="20BF0E4A"/>
    <w:rsid w:val="219813EA"/>
    <w:rsid w:val="223A5776"/>
    <w:rsid w:val="22CD54B7"/>
    <w:rsid w:val="246D2A02"/>
    <w:rsid w:val="24D80A73"/>
    <w:rsid w:val="25186637"/>
    <w:rsid w:val="253533C5"/>
    <w:rsid w:val="254F2994"/>
    <w:rsid w:val="256E139B"/>
    <w:rsid w:val="25986D72"/>
    <w:rsid w:val="25C07769"/>
    <w:rsid w:val="25C6791F"/>
    <w:rsid w:val="26264F67"/>
    <w:rsid w:val="26A20557"/>
    <w:rsid w:val="280E6D19"/>
    <w:rsid w:val="28450D36"/>
    <w:rsid w:val="295D392A"/>
    <w:rsid w:val="2A5D3C60"/>
    <w:rsid w:val="2A7206A3"/>
    <w:rsid w:val="2ACC0667"/>
    <w:rsid w:val="2ADC4996"/>
    <w:rsid w:val="2AEE502C"/>
    <w:rsid w:val="2B42677D"/>
    <w:rsid w:val="2B873022"/>
    <w:rsid w:val="2CB1046C"/>
    <w:rsid w:val="2CF6456B"/>
    <w:rsid w:val="2CF66662"/>
    <w:rsid w:val="2DD41399"/>
    <w:rsid w:val="2DE8035C"/>
    <w:rsid w:val="2E691D45"/>
    <w:rsid w:val="2F6D5E32"/>
    <w:rsid w:val="2FAC6C9F"/>
    <w:rsid w:val="2FFC4700"/>
    <w:rsid w:val="303014E4"/>
    <w:rsid w:val="31053BEC"/>
    <w:rsid w:val="31147B18"/>
    <w:rsid w:val="312471AE"/>
    <w:rsid w:val="31270F3A"/>
    <w:rsid w:val="31BB1854"/>
    <w:rsid w:val="320202AC"/>
    <w:rsid w:val="3217196E"/>
    <w:rsid w:val="32224C88"/>
    <w:rsid w:val="34660969"/>
    <w:rsid w:val="34B61A22"/>
    <w:rsid w:val="34CE3358"/>
    <w:rsid w:val="35182A5E"/>
    <w:rsid w:val="3581018C"/>
    <w:rsid w:val="36585409"/>
    <w:rsid w:val="36F60A58"/>
    <w:rsid w:val="37601390"/>
    <w:rsid w:val="3809072D"/>
    <w:rsid w:val="38A906C8"/>
    <w:rsid w:val="392C4A6D"/>
    <w:rsid w:val="39A44463"/>
    <w:rsid w:val="3A2E01FF"/>
    <w:rsid w:val="3A4229D8"/>
    <w:rsid w:val="3A8F0CAD"/>
    <w:rsid w:val="3AB46934"/>
    <w:rsid w:val="3AE15444"/>
    <w:rsid w:val="3B8C5E17"/>
    <w:rsid w:val="3DAA02DF"/>
    <w:rsid w:val="3DB637BE"/>
    <w:rsid w:val="3ED410B8"/>
    <w:rsid w:val="3F24629A"/>
    <w:rsid w:val="3F263985"/>
    <w:rsid w:val="3FA40A4B"/>
    <w:rsid w:val="4048469C"/>
    <w:rsid w:val="40DA1C81"/>
    <w:rsid w:val="41D86A6A"/>
    <w:rsid w:val="426207B0"/>
    <w:rsid w:val="427D7AF1"/>
    <w:rsid w:val="435B5103"/>
    <w:rsid w:val="456124AD"/>
    <w:rsid w:val="45661C30"/>
    <w:rsid w:val="459E2F7E"/>
    <w:rsid w:val="4648388D"/>
    <w:rsid w:val="469E43D0"/>
    <w:rsid w:val="46C24E55"/>
    <w:rsid w:val="46FB1877"/>
    <w:rsid w:val="471A4266"/>
    <w:rsid w:val="482B4650"/>
    <w:rsid w:val="484908D9"/>
    <w:rsid w:val="49451EF9"/>
    <w:rsid w:val="49DC3EF4"/>
    <w:rsid w:val="4A931589"/>
    <w:rsid w:val="4B600FCC"/>
    <w:rsid w:val="4C71622C"/>
    <w:rsid w:val="4CCB130F"/>
    <w:rsid w:val="4CF21D81"/>
    <w:rsid w:val="4D2A1BB9"/>
    <w:rsid w:val="4D735295"/>
    <w:rsid w:val="4D983E25"/>
    <w:rsid w:val="4DD40E37"/>
    <w:rsid w:val="4E5237F7"/>
    <w:rsid w:val="4E5F71B2"/>
    <w:rsid w:val="4EAF01A5"/>
    <w:rsid w:val="4F0D0567"/>
    <w:rsid w:val="50311597"/>
    <w:rsid w:val="50431565"/>
    <w:rsid w:val="504944AB"/>
    <w:rsid w:val="5123678D"/>
    <w:rsid w:val="51EC5EA0"/>
    <w:rsid w:val="549254B8"/>
    <w:rsid w:val="554545D9"/>
    <w:rsid w:val="56B01D3C"/>
    <w:rsid w:val="56CB55CD"/>
    <w:rsid w:val="56E1439E"/>
    <w:rsid w:val="56EE412A"/>
    <w:rsid w:val="581E0F10"/>
    <w:rsid w:val="585356D7"/>
    <w:rsid w:val="585356F2"/>
    <w:rsid w:val="58557759"/>
    <w:rsid w:val="593969F1"/>
    <w:rsid w:val="59BC6859"/>
    <w:rsid w:val="59DF1227"/>
    <w:rsid w:val="5AF85669"/>
    <w:rsid w:val="5C93729E"/>
    <w:rsid w:val="5CF96949"/>
    <w:rsid w:val="5D405737"/>
    <w:rsid w:val="5DAE40E6"/>
    <w:rsid w:val="5DB51860"/>
    <w:rsid w:val="5E3C5805"/>
    <w:rsid w:val="5FF208AE"/>
    <w:rsid w:val="6047223C"/>
    <w:rsid w:val="61417B8E"/>
    <w:rsid w:val="61736316"/>
    <w:rsid w:val="625F02AF"/>
    <w:rsid w:val="62B20BD0"/>
    <w:rsid w:val="62F26BD0"/>
    <w:rsid w:val="62FD772E"/>
    <w:rsid w:val="631C4668"/>
    <w:rsid w:val="632D4DA2"/>
    <w:rsid w:val="63371A62"/>
    <w:rsid w:val="6369341B"/>
    <w:rsid w:val="64015706"/>
    <w:rsid w:val="65006209"/>
    <w:rsid w:val="6505341F"/>
    <w:rsid w:val="65070452"/>
    <w:rsid w:val="65631EE8"/>
    <w:rsid w:val="6566705C"/>
    <w:rsid w:val="65C74A5F"/>
    <w:rsid w:val="65F03A43"/>
    <w:rsid w:val="662E5C14"/>
    <w:rsid w:val="66B3742C"/>
    <w:rsid w:val="670E0E12"/>
    <w:rsid w:val="686E79BB"/>
    <w:rsid w:val="68F80A51"/>
    <w:rsid w:val="69AE72C6"/>
    <w:rsid w:val="6A5A57A2"/>
    <w:rsid w:val="6AF40253"/>
    <w:rsid w:val="6BBC1E9A"/>
    <w:rsid w:val="6CFA4F4A"/>
    <w:rsid w:val="6D925B1D"/>
    <w:rsid w:val="6D964A4C"/>
    <w:rsid w:val="6DFD3B4E"/>
    <w:rsid w:val="6EDA3E6D"/>
    <w:rsid w:val="6F425301"/>
    <w:rsid w:val="70712977"/>
    <w:rsid w:val="70EA1818"/>
    <w:rsid w:val="72EB1277"/>
    <w:rsid w:val="737B1312"/>
    <w:rsid w:val="73C4583A"/>
    <w:rsid w:val="741670DB"/>
    <w:rsid w:val="74DA3440"/>
    <w:rsid w:val="75A335AF"/>
    <w:rsid w:val="75D4144F"/>
    <w:rsid w:val="764C5F9F"/>
    <w:rsid w:val="769A17C7"/>
    <w:rsid w:val="77830683"/>
    <w:rsid w:val="77F54404"/>
    <w:rsid w:val="783B5CAD"/>
    <w:rsid w:val="793965D3"/>
    <w:rsid w:val="7A07406A"/>
    <w:rsid w:val="7A2728CF"/>
    <w:rsid w:val="7A3B0BCF"/>
    <w:rsid w:val="7A45554D"/>
    <w:rsid w:val="7AC31CE5"/>
    <w:rsid w:val="7ACB0FD3"/>
    <w:rsid w:val="7ACB3ABC"/>
    <w:rsid w:val="7B0F1CF4"/>
    <w:rsid w:val="7C16483B"/>
    <w:rsid w:val="7C614B4F"/>
    <w:rsid w:val="7DD07EAD"/>
    <w:rsid w:val="7E6B47C5"/>
    <w:rsid w:val="7F0864C5"/>
    <w:rsid w:val="7FAC0221"/>
    <w:rsid w:val="7FD1204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43"/>
    <w:qFormat/>
    <w:uiPriority w:val="99"/>
    <w:pPr>
      <w:keepNext/>
      <w:keepLines/>
      <w:widowControl w:val="0"/>
      <w:spacing w:before="340" w:after="330" w:line="576" w:lineRule="auto"/>
      <w:jc w:val="both"/>
      <w:outlineLvl w:val="0"/>
    </w:pPr>
    <w:rPr>
      <w:rFonts w:ascii="仿宋_GB2312" w:eastAsia="仿宋_GB2312" w:cs="Times New Roman"/>
      <w:b/>
      <w:color w:val="000000"/>
      <w:kern w:val="44"/>
      <w:sz w:val="44"/>
      <w:szCs w:val="20"/>
    </w:rPr>
  </w:style>
  <w:style w:type="paragraph" w:styleId="3">
    <w:name w:val="heading 2"/>
    <w:basedOn w:val="1"/>
    <w:next w:val="1"/>
    <w:link w:val="44"/>
    <w:qFormat/>
    <w:uiPriority w:val="99"/>
    <w:pPr>
      <w:keepNext/>
      <w:keepLines/>
      <w:widowControl w:val="0"/>
      <w:spacing w:before="260" w:after="260"/>
      <w:jc w:val="center"/>
      <w:outlineLvl w:val="1"/>
    </w:pPr>
    <w:rPr>
      <w:rFonts w:eastAsia="华文中宋" w:cs="Times New Roman"/>
      <w:b/>
      <w:bCs/>
      <w:sz w:val="30"/>
      <w:szCs w:val="44"/>
    </w:rPr>
  </w:style>
  <w:style w:type="paragraph" w:styleId="4">
    <w:name w:val="heading 3"/>
    <w:basedOn w:val="1"/>
    <w:next w:val="1"/>
    <w:link w:val="45"/>
    <w:qFormat/>
    <w:uiPriority w:val="99"/>
    <w:pPr>
      <w:keepNext/>
      <w:keepLines/>
      <w:widowControl w:val="0"/>
      <w:spacing w:before="260" w:after="260"/>
      <w:ind w:firstLine="200" w:firstLineChars="200"/>
      <w:jc w:val="center"/>
      <w:outlineLvl w:val="2"/>
    </w:pPr>
    <w:rPr>
      <w:rFonts w:ascii="Calibri" w:hAnsi="Calibri" w:eastAsia="黑体" w:cs="Times New Roman"/>
      <w:bCs/>
      <w:kern w:val="2"/>
      <w:sz w:val="30"/>
      <w:szCs w:val="32"/>
    </w:rPr>
  </w:style>
  <w:style w:type="paragraph" w:styleId="5">
    <w:name w:val="heading 4"/>
    <w:basedOn w:val="4"/>
    <w:next w:val="1"/>
    <w:link w:val="46"/>
    <w:qFormat/>
    <w:uiPriority w:val="99"/>
    <w:pPr>
      <w:spacing w:before="280" w:after="290"/>
      <w:jc w:val="left"/>
      <w:outlineLvl w:val="3"/>
    </w:pPr>
    <w:rPr>
      <w:rFonts w:ascii="Cambria" w:hAnsi="Cambria" w:eastAsia="仿宋_GB2312"/>
      <w:b/>
      <w:szCs w:val="28"/>
    </w:rPr>
  </w:style>
  <w:style w:type="paragraph" w:styleId="6">
    <w:name w:val="heading 5"/>
    <w:basedOn w:val="1"/>
    <w:next w:val="1"/>
    <w:link w:val="47"/>
    <w:qFormat/>
    <w:uiPriority w:val="99"/>
    <w:pPr>
      <w:keepNext/>
      <w:keepLines/>
      <w:widowControl w:val="0"/>
      <w:spacing w:before="280" w:after="290" w:line="376" w:lineRule="auto"/>
      <w:jc w:val="both"/>
      <w:outlineLvl w:val="4"/>
    </w:pPr>
    <w:rPr>
      <w:rFonts w:ascii="Calibri" w:hAnsi="Calibri" w:cs="Times New Roman"/>
      <w:b/>
      <w:bCs/>
      <w:kern w:val="2"/>
      <w:sz w:val="28"/>
      <w:szCs w:val="28"/>
    </w:rPr>
  </w:style>
  <w:style w:type="paragraph" w:styleId="7">
    <w:name w:val="heading 6"/>
    <w:basedOn w:val="1"/>
    <w:next w:val="1"/>
    <w:link w:val="48"/>
    <w:qFormat/>
    <w:uiPriority w:val="99"/>
    <w:pPr>
      <w:keepNext/>
      <w:keepLines/>
      <w:widowControl w:val="0"/>
      <w:spacing w:before="240" w:after="64" w:line="319" w:lineRule="auto"/>
      <w:ind w:left="1276"/>
      <w:jc w:val="both"/>
      <w:outlineLvl w:val="5"/>
    </w:pPr>
    <w:rPr>
      <w:rFonts w:ascii="Arial" w:hAnsi="Arial" w:eastAsia="仿宋_GB2312" w:cs="Times New Roman"/>
      <w:b/>
      <w:bCs/>
      <w:color w:val="000000"/>
      <w:kern w:val="16"/>
      <w:sz w:val="30"/>
      <w:szCs w:val="30"/>
    </w:rPr>
  </w:style>
  <w:style w:type="paragraph" w:styleId="8">
    <w:name w:val="heading 7"/>
    <w:basedOn w:val="1"/>
    <w:next w:val="1"/>
    <w:link w:val="49"/>
    <w:qFormat/>
    <w:uiPriority w:val="99"/>
    <w:pPr>
      <w:keepNext/>
      <w:keepLines/>
      <w:widowControl w:val="0"/>
      <w:spacing w:before="240" w:after="64" w:line="319" w:lineRule="auto"/>
      <w:ind w:left="1276"/>
      <w:jc w:val="both"/>
      <w:outlineLvl w:val="6"/>
    </w:pPr>
    <w:rPr>
      <w:rFonts w:ascii="仿宋_GB2312" w:eastAsia="仿宋_GB2312" w:cs="Times New Roman"/>
      <w:b/>
      <w:bCs/>
      <w:color w:val="000000"/>
      <w:kern w:val="16"/>
      <w:sz w:val="30"/>
      <w:szCs w:val="30"/>
    </w:rPr>
  </w:style>
  <w:style w:type="paragraph" w:styleId="9">
    <w:name w:val="heading 8"/>
    <w:basedOn w:val="1"/>
    <w:next w:val="1"/>
    <w:link w:val="50"/>
    <w:qFormat/>
    <w:uiPriority w:val="99"/>
    <w:pPr>
      <w:keepNext/>
      <w:keepLines/>
      <w:widowControl w:val="0"/>
      <w:spacing w:before="240" w:after="64" w:line="320" w:lineRule="auto"/>
      <w:jc w:val="both"/>
      <w:outlineLvl w:val="7"/>
    </w:pPr>
    <w:rPr>
      <w:rFonts w:ascii="Cambria" w:hAnsi="Cambria" w:cs="Times New Roman"/>
      <w:kern w:val="2"/>
    </w:rPr>
  </w:style>
  <w:style w:type="paragraph" w:styleId="10">
    <w:name w:val="heading 9"/>
    <w:basedOn w:val="1"/>
    <w:next w:val="1"/>
    <w:link w:val="51"/>
    <w:qFormat/>
    <w:uiPriority w:val="99"/>
    <w:pPr>
      <w:overflowPunct w:val="0"/>
      <w:autoSpaceDE w:val="0"/>
      <w:autoSpaceDN w:val="0"/>
      <w:adjustRightInd w:val="0"/>
      <w:spacing w:before="240" w:after="60" w:line="360" w:lineRule="auto"/>
      <w:ind w:left="1276"/>
      <w:jc w:val="both"/>
      <w:textAlignment w:val="baseline"/>
      <w:outlineLvl w:val="8"/>
    </w:pPr>
    <w:rPr>
      <w:rFonts w:ascii="Arial" w:hAnsi="Arial" w:eastAsia="仿宋_GB2312" w:cs="Times New Roman"/>
      <w:i/>
      <w:iCs/>
      <w:color w:val="000000"/>
      <w:sz w:val="18"/>
      <w:szCs w:val="18"/>
    </w:rPr>
  </w:style>
  <w:style w:type="character" w:default="1" w:styleId="34">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28"/>
    <w:semiHidden/>
    <w:qFormat/>
    <w:uiPriority w:val="99"/>
    <w:rPr>
      <w:b/>
      <w:bCs/>
    </w:rPr>
  </w:style>
  <w:style w:type="paragraph" w:styleId="12">
    <w:name w:val="annotation text"/>
    <w:basedOn w:val="1"/>
    <w:link w:val="127"/>
    <w:semiHidden/>
    <w:qFormat/>
    <w:uiPriority w:val="99"/>
    <w:pPr>
      <w:widowControl w:val="0"/>
    </w:pPr>
    <w:rPr>
      <w:rFonts w:ascii="仿宋_GB2312" w:eastAsia="仿宋_GB2312" w:cs="Times New Roman"/>
      <w:color w:val="000000"/>
      <w:kern w:val="16"/>
      <w:sz w:val="30"/>
      <w:szCs w:val="30"/>
    </w:rPr>
  </w:style>
  <w:style w:type="paragraph" w:styleId="13">
    <w:name w:val="toc 7"/>
    <w:basedOn w:val="1"/>
    <w:next w:val="1"/>
    <w:qFormat/>
    <w:uiPriority w:val="99"/>
    <w:pPr>
      <w:ind w:left="1440"/>
    </w:pPr>
    <w:rPr>
      <w:rFonts w:asciiTheme="minorHAnsi" w:hAnsiTheme="minorHAnsi" w:cstheme="minorHAnsi"/>
      <w:sz w:val="18"/>
      <w:szCs w:val="18"/>
    </w:rPr>
  </w:style>
  <w:style w:type="paragraph" w:styleId="14">
    <w:name w:val="Document Map"/>
    <w:basedOn w:val="1"/>
    <w:link w:val="107"/>
    <w:semiHidden/>
    <w:qFormat/>
    <w:uiPriority w:val="99"/>
    <w:pPr>
      <w:widowControl w:val="0"/>
      <w:jc w:val="both"/>
    </w:pPr>
    <w:rPr>
      <w:rFonts w:hAnsi="Calibri" w:cs="Times New Roman"/>
      <w:kern w:val="2"/>
      <w:sz w:val="18"/>
      <w:szCs w:val="20"/>
    </w:rPr>
  </w:style>
  <w:style w:type="paragraph" w:styleId="15">
    <w:name w:val="Body Text"/>
    <w:basedOn w:val="1"/>
    <w:qFormat/>
    <w:uiPriority w:val="1"/>
    <w:pPr>
      <w:spacing w:before="61"/>
      <w:ind w:left="117"/>
    </w:pPr>
    <w:rPr>
      <w:sz w:val="30"/>
      <w:szCs w:val="30"/>
    </w:rPr>
  </w:style>
  <w:style w:type="paragraph" w:styleId="16">
    <w:name w:val="Body Text Indent"/>
    <w:basedOn w:val="1"/>
    <w:link w:val="126"/>
    <w:qFormat/>
    <w:uiPriority w:val="99"/>
    <w:pPr>
      <w:widowControl w:val="0"/>
      <w:ind w:firstLine="600" w:firstLineChars="200"/>
      <w:jc w:val="both"/>
    </w:pPr>
    <w:rPr>
      <w:rFonts w:ascii="仿宋_GB2312" w:hAnsi="Calibri" w:eastAsia="仿宋_GB2312" w:cs="Times New Roman"/>
      <w:sz w:val="30"/>
      <w:szCs w:val="20"/>
    </w:rPr>
  </w:style>
  <w:style w:type="paragraph" w:styleId="17">
    <w:name w:val="toc 5"/>
    <w:basedOn w:val="1"/>
    <w:next w:val="1"/>
    <w:qFormat/>
    <w:uiPriority w:val="99"/>
    <w:pPr>
      <w:ind w:left="960"/>
    </w:pPr>
    <w:rPr>
      <w:rFonts w:asciiTheme="minorHAnsi" w:hAnsiTheme="minorHAnsi" w:cstheme="minorHAnsi"/>
      <w:sz w:val="18"/>
      <w:szCs w:val="18"/>
    </w:rPr>
  </w:style>
  <w:style w:type="paragraph" w:styleId="18">
    <w:name w:val="toc 3"/>
    <w:basedOn w:val="1"/>
    <w:next w:val="1"/>
    <w:link w:val="112"/>
    <w:qFormat/>
    <w:uiPriority w:val="39"/>
    <w:pPr>
      <w:ind w:left="480"/>
    </w:pPr>
    <w:rPr>
      <w:rFonts w:asciiTheme="minorHAnsi" w:hAnsiTheme="minorHAnsi" w:cstheme="minorHAnsi"/>
      <w:i/>
      <w:iCs/>
      <w:sz w:val="20"/>
      <w:szCs w:val="20"/>
    </w:rPr>
  </w:style>
  <w:style w:type="paragraph" w:styleId="19">
    <w:name w:val="toc 8"/>
    <w:basedOn w:val="1"/>
    <w:next w:val="1"/>
    <w:qFormat/>
    <w:uiPriority w:val="99"/>
    <w:pPr>
      <w:ind w:left="1680"/>
    </w:pPr>
    <w:rPr>
      <w:rFonts w:asciiTheme="minorHAnsi" w:hAnsiTheme="minorHAnsi" w:cstheme="minorHAnsi"/>
      <w:sz w:val="18"/>
      <w:szCs w:val="18"/>
    </w:rPr>
  </w:style>
  <w:style w:type="paragraph" w:styleId="20">
    <w:name w:val="Body Text Indent 2"/>
    <w:basedOn w:val="1"/>
    <w:qFormat/>
    <w:uiPriority w:val="0"/>
    <w:pPr>
      <w:spacing w:after="120" w:line="480" w:lineRule="auto"/>
      <w:ind w:left="420" w:leftChars="200"/>
    </w:pPr>
  </w:style>
  <w:style w:type="paragraph" w:styleId="21">
    <w:name w:val="Balloon Text"/>
    <w:basedOn w:val="1"/>
    <w:link w:val="103"/>
    <w:semiHidden/>
    <w:qFormat/>
    <w:uiPriority w:val="99"/>
    <w:pPr>
      <w:widowControl w:val="0"/>
      <w:jc w:val="both"/>
    </w:pPr>
    <w:rPr>
      <w:rFonts w:ascii="Calibri" w:hAnsi="Calibri" w:cs="Times New Roman"/>
      <w:kern w:val="2"/>
      <w:sz w:val="18"/>
      <w:szCs w:val="20"/>
    </w:rPr>
  </w:style>
  <w:style w:type="paragraph" w:styleId="22">
    <w:name w:val="footer"/>
    <w:basedOn w:val="1"/>
    <w:link w:val="76"/>
    <w:qFormat/>
    <w:uiPriority w:val="99"/>
    <w:pPr>
      <w:tabs>
        <w:tab w:val="center" w:pos="4153"/>
        <w:tab w:val="right" w:pos="8306"/>
      </w:tabs>
      <w:snapToGrid w:val="0"/>
    </w:pPr>
    <w:rPr>
      <w:rFonts w:cs="Times New Roman"/>
      <w:sz w:val="18"/>
      <w:szCs w:val="18"/>
    </w:rPr>
  </w:style>
  <w:style w:type="paragraph" w:styleId="23">
    <w:name w:val="header"/>
    <w:basedOn w:val="1"/>
    <w:link w:val="75"/>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24">
    <w:name w:val="toc 1"/>
    <w:basedOn w:val="18"/>
    <w:next w:val="1"/>
    <w:link w:val="113"/>
    <w:qFormat/>
    <w:uiPriority w:val="39"/>
    <w:pPr>
      <w:spacing w:before="120" w:after="120"/>
      <w:ind w:left="0"/>
    </w:pPr>
    <w:rPr>
      <w:b/>
      <w:bCs/>
      <w:i w:val="0"/>
      <w:iCs w:val="0"/>
      <w:caps/>
    </w:rPr>
  </w:style>
  <w:style w:type="paragraph" w:styleId="25">
    <w:name w:val="toc 4"/>
    <w:basedOn w:val="1"/>
    <w:next w:val="1"/>
    <w:qFormat/>
    <w:uiPriority w:val="39"/>
    <w:pPr>
      <w:ind w:left="720"/>
    </w:pPr>
    <w:rPr>
      <w:rFonts w:asciiTheme="minorHAnsi" w:hAnsiTheme="minorHAnsi" w:cstheme="minorHAnsi"/>
      <w:sz w:val="18"/>
      <w:szCs w:val="18"/>
    </w:rPr>
  </w:style>
  <w:style w:type="paragraph" w:styleId="26">
    <w:name w:val="Subtitle"/>
    <w:basedOn w:val="1"/>
    <w:next w:val="1"/>
    <w:link w:val="109"/>
    <w:qFormat/>
    <w:uiPriority w:val="99"/>
    <w:pPr>
      <w:widowControl w:val="0"/>
      <w:spacing w:before="240" w:after="60" w:line="312" w:lineRule="auto"/>
      <w:jc w:val="center"/>
      <w:outlineLvl w:val="1"/>
    </w:pPr>
    <w:rPr>
      <w:rFonts w:ascii="Cambria" w:hAnsi="Cambria" w:cs="Times New Roman"/>
      <w:b/>
      <w:bCs/>
      <w:kern w:val="28"/>
      <w:sz w:val="30"/>
      <w:szCs w:val="32"/>
    </w:rPr>
  </w:style>
  <w:style w:type="paragraph" w:styleId="27">
    <w:name w:val="footnote text"/>
    <w:basedOn w:val="1"/>
    <w:link w:val="105"/>
    <w:semiHidden/>
    <w:qFormat/>
    <w:uiPriority w:val="99"/>
    <w:pPr>
      <w:widowControl w:val="0"/>
      <w:snapToGrid w:val="0"/>
    </w:pPr>
    <w:rPr>
      <w:rFonts w:ascii="Calibri" w:hAnsi="Calibri" w:cs="Times New Roman"/>
      <w:kern w:val="2"/>
      <w:sz w:val="18"/>
      <w:szCs w:val="20"/>
    </w:rPr>
  </w:style>
  <w:style w:type="paragraph" w:styleId="28">
    <w:name w:val="toc 6"/>
    <w:basedOn w:val="1"/>
    <w:next w:val="1"/>
    <w:qFormat/>
    <w:uiPriority w:val="99"/>
    <w:pPr>
      <w:ind w:left="1200"/>
    </w:pPr>
    <w:rPr>
      <w:rFonts w:asciiTheme="minorHAnsi" w:hAnsiTheme="minorHAnsi" w:cstheme="minorHAnsi"/>
      <w:sz w:val="18"/>
      <w:szCs w:val="18"/>
    </w:rPr>
  </w:style>
  <w:style w:type="paragraph" w:styleId="29">
    <w:name w:val="toc 2"/>
    <w:basedOn w:val="24"/>
    <w:next w:val="1"/>
    <w:link w:val="114"/>
    <w:qFormat/>
    <w:uiPriority w:val="39"/>
    <w:pPr>
      <w:spacing w:before="0" w:after="0"/>
      <w:ind w:left="240"/>
    </w:pPr>
    <w:rPr>
      <w:b w:val="0"/>
      <w:bCs w:val="0"/>
      <w:caps w:val="0"/>
      <w:smallCaps/>
    </w:rPr>
  </w:style>
  <w:style w:type="paragraph" w:styleId="30">
    <w:name w:val="toc 9"/>
    <w:basedOn w:val="1"/>
    <w:next w:val="1"/>
    <w:qFormat/>
    <w:uiPriority w:val="99"/>
    <w:pPr>
      <w:ind w:left="1920"/>
    </w:pPr>
    <w:rPr>
      <w:rFonts w:asciiTheme="minorHAnsi" w:hAnsiTheme="minorHAnsi" w:cstheme="minorHAnsi"/>
      <w:sz w:val="18"/>
      <w:szCs w:val="18"/>
    </w:rPr>
  </w:style>
  <w:style w:type="paragraph" w:styleId="31">
    <w:name w:val="HTML Preformatted"/>
    <w:basedOn w:val="1"/>
    <w:link w:val="140"/>
    <w:semiHidden/>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paragraph" w:styleId="32">
    <w:name w:val="Normal (Web)"/>
    <w:basedOn w:val="1"/>
    <w:qFormat/>
    <w:uiPriority w:val="99"/>
    <w:pPr>
      <w:spacing w:before="100" w:beforeAutospacing="1" w:after="100" w:afterAutospacing="1"/>
    </w:pPr>
  </w:style>
  <w:style w:type="paragraph" w:styleId="33">
    <w:name w:val="Title"/>
    <w:basedOn w:val="1"/>
    <w:next w:val="1"/>
    <w:link w:val="108"/>
    <w:qFormat/>
    <w:uiPriority w:val="99"/>
    <w:pPr>
      <w:widowControl w:val="0"/>
      <w:spacing w:before="240" w:after="60"/>
      <w:jc w:val="center"/>
      <w:outlineLvl w:val="0"/>
    </w:pPr>
    <w:rPr>
      <w:rFonts w:ascii="Cambria" w:hAnsi="Cambria" w:cs="Times New Roman"/>
      <w:b/>
      <w:bCs/>
      <w:kern w:val="2"/>
      <w:sz w:val="32"/>
      <w:szCs w:val="32"/>
    </w:rPr>
  </w:style>
  <w:style w:type="character" w:styleId="35">
    <w:name w:val="Strong"/>
    <w:basedOn w:val="34"/>
    <w:qFormat/>
    <w:locked/>
    <w:uiPriority w:val="0"/>
    <w:rPr>
      <w:b/>
      <w:bCs/>
    </w:rPr>
  </w:style>
  <w:style w:type="character" w:styleId="36">
    <w:name w:val="page number"/>
    <w:basedOn w:val="34"/>
    <w:qFormat/>
    <w:uiPriority w:val="99"/>
    <w:rPr>
      <w:rFonts w:eastAsia="宋体" w:cs="Times New Roman"/>
      <w:kern w:val="2"/>
      <w:sz w:val="24"/>
      <w:lang w:val="en-US" w:eastAsia="zh-CN"/>
    </w:rPr>
  </w:style>
  <w:style w:type="character" w:styleId="37">
    <w:name w:val="Emphasis"/>
    <w:basedOn w:val="34"/>
    <w:qFormat/>
    <w:uiPriority w:val="99"/>
    <w:rPr>
      <w:rFonts w:cs="Times New Roman"/>
      <w:i/>
    </w:rPr>
  </w:style>
  <w:style w:type="character" w:styleId="38">
    <w:name w:val="Hyperlink"/>
    <w:basedOn w:val="34"/>
    <w:qFormat/>
    <w:uiPriority w:val="99"/>
    <w:rPr>
      <w:rFonts w:cs="Times New Roman"/>
      <w:color w:val="0000FF"/>
      <w:u w:val="single"/>
    </w:rPr>
  </w:style>
  <w:style w:type="character" w:styleId="39">
    <w:name w:val="annotation reference"/>
    <w:basedOn w:val="34"/>
    <w:semiHidden/>
    <w:qFormat/>
    <w:uiPriority w:val="99"/>
    <w:rPr>
      <w:rFonts w:eastAsia="宋体" w:cs="Times New Roman"/>
      <w:kern w:val="2"/>
      <w:sz w:val="21"/>
      <w:lang w:val="en-US" w:eastAsia="zh-CN"/>
    </w:rPr>
  </w:style>
  <w:style w:type="character" w:styleId="40">
    <w:name w:val="footnote reference"/>
    <w:basedOn w:val="34"/>
    <w:semiHidden/>
    <w:qFormat/>
    <w:uiPriority w:val="99"/>
    <w:rPr>
      <w:rFonts w:eastAsia="宋体" w:cs="Times New Roman"/>
      <w:kern w:val="2"/>
      <w:sz w:val="24"/>
      <w:vertAlign w:val="superscript"/>
      <w:lang w:val="en-US" w:eastAsia="zh-CN"/>
    </w:rPr>
  </w:style>
  <w:style w:type="table" w:styleId="42">
    <w:name w:val="Table Grid"/>
    <w:basedOn w:val="41"/>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3">
    <w:name w:val="标题 1 字符"/>
    <w:basedOn w:val="34"/>
    <w:link w:val="2"/>
    <w:qFormat/>
    <w:locked/>
    <w:uiPriority w:val="99"/>
    <w:rPr>
      <w:rFonts w:ascii="仿宋_GB2312" w:hAnsi="宋体" w:eastAsia="仿宋_GB2312"/>
      <w:b/>
      <w:color w:val="000000"/>
      <w:kern w:val="44"/>
      <w:sz w:val="44"/>
    </w:rPr>
  </w:style>
  <w:style w:type="character" w:customStyle="1" w:styleId="44">
    <w:name w:val="标题 2 字符"/>
    <w:basedOn w:val="34"/>
    <w:link w:val="3"/>
    <w:qFormat/>
    <w:locked/>
    <w:uiPriority w:val="99"/>
    <w:rPr>
      <w:rFonts w:ascii="宋体" w:hAnsi="宋体" w:eastAsia="华文中宋"/>
      <w:b/>
      <w:bCs/>
      <w:sz w:val="30"/>
      <w:szCs w:val="44"/>
    </w:rPr>
  </w:style>
  <w:style w:type="character" w:customStyle="1" w:styleId="45">
    <w:name w:val="标题 3 字符"/>
    <w:basedOn w:val="34"/>
    <w:link w:val="4"/>
    <w:qFormat/>
    <w:locked/>
    <w:uiPriority w:val="99"/>
    <w:rPr>
      <w:rFonts w:ascii="Calibri" w:hAnsi="Calibri" w:eastAsia="黑体"/>
      <w:kern w:val="2"/>
      <w:sz w:val="32"/>
    </w:rPr>
  </w:style>
  <w:style w:type="character" w:customStyle="1" w:styleId="46">
    <w:name w:val="标题 4 字符"/>
    <w:basedOn w:val="34"/>
    <w:link w:val="5"/>
    <w:qFormat/>
    <w:locked/>
    <w:uiPriority w:val="99"/>
    <w:rPr>
      <w:rFonts w:ascii="Cambria" w:hAnsi="Cambria" w:eastAsia="仿宋_GB2312"/>
      <w:b/>
      <w:kern w:val="2"/>
      <w:sz w:val="28"/>
    </w:rPr>
  </w:style>
  <w:style w:type="character" w:customStyle="1" w:styleId="47">
    <w:name w:val="标题 5 字符"/>
    <w:basedOn w:val="34"/>
    <w:link w:val="6"/>
    <w:qFormat/>
    <w:locked/>
    <w:uiPriority w:val="99"/>
    <w:rPr>
      <w:rFonts w:ascii="Calibri" w:hAnsi="Calibri"/>
      <w:b/>
      <w:kern w:val="2"/>
      <w:sz w:val="28"/>
    </w:rPr>
  </w:style>
  <w:style w:type="character" w:customStyle="1" w:styleId="48">
    <w:name w:val="标题 6 字符"/>
    <w:basedOn w:val="34"/>
    <w:link w:val="7"/>
    <w:qFormat/>
    <w:locked/>
    <w:uiPriority w:val="99"/>
    <w:rPr>
      <w:rFonts w:ascii="Arial" w:hAnsi="Arial" w:eastAsia="仿宋_GB2312"/>
      <w:b/>
      <w:color w:val="000000"/>
      <w:kern w:val="16"/>
      <w:sz w:val="30"/>
    </w:rPr>
  </w:style>
  <w:style w:type="character" w:customStyle="1" w:styleId="49">
    <w:name w:val="标题 7 字符"/>
    <w:basedOn w:val="34"/>
    <w:link w:val="8"/>
    <w:qFormat/>
    <w:locked/>
    <w:uiPriority w:val="99"/>
    <w:rPr>
      <w:rFonts w:ascii="仿宋_GB2312" w:hAnsi="宋体" w:eastAsia="仿宋_GB2312"/>
      <w:b/>
      <w:color w:val="000000"/>
      <w:kern w:val="16"/>
      <w:sz w:val="30"/>
    </w:rPr>
  </w:style>
  <w:style w:type="character" w:customStyle="1" w:styleId="50">
    <w:name w:val="标题 8 字符"/>
    <w:basedOn w:val="34"/>
    <w:link w:val="9"/>
    <w:qFormat/>
    <w:locked/>
    <w:uiPriority w:val="99"/>
    <w:rPr>
      <w:rFonts w:ascii="Cambria" w:hAnsi="Cambria" w:eastAsia="宋体"/>
      <w:kern w:val="2"/>
      <w:sz w:val="24"/>
    </w:rPr>
  </w:style>
  <w:style w:type="character" w:customStyle="1" w:styleId="51">
    <w:name w:val="标题 9 字符"/>
    <w:basedOn w:val="34"/>
    <w:link w:val="10"/>
    <w:qFormat/>
    <w:locked/>
    <w:uiPriority w:val="99"/>
    <w:rPr>
      <w:rFonts w:ascii="Arial" w:hAnsi="Arial" w:eastAsia="仿宋_GB2312"/>
      <w:i/>
      <w:color w:val="000000"/>
      <w:sz w:val="18"/>
    </w:rPr>
  </w:style>
  <w:style w:type="paragraph" w:customStyle="1" w:styleId="52">
    <w:name w:val="font52478"/>
    <w:basedOn w:val="1"/>
    <w:qFormat/>
    <w:uiPriority w:val="99"/>
    <w:pPr>
      <w:spacing w:before="100" w:beforeAutospacing="1" w:after="100" w:afterAutospacing="1"/>
    </w:pPr>
    <w:rPr>
      <w:sz w:val="18"/>
      <w:szCs w:val="18"/>
    </w:rPr>
  </w:style>
  <w:style w:type="paragraph" w:customStyle="1" w:styleId="53">
    <w:name w:val="xl85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sz w:val="20"/>
      <w:szCs w:val="20"/>
    </w:rPr>
  </w:style>
  <w:style w:type="paragraph" w:customStyle="1" w:styleId="54">
    <w:name w:val="xl86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sz w:val="20"/>
      <w:szCs w:val="20"/>
    </w:rPr>
  </w:style>
  <w:style w:type="paragraph" w:customStyle="1" w:styleId="55">
    <w:name w:val="xl872478"/>
    <w:basedOn w:val="1"/>
    <w:qFormat/>
    <w:uiPriority w:val="99"/>
    <w:pPr>
      <w:spacing w:before="100" w:beforeAutospacing="1" w:after="100" w:afterAutospacing="1"/>
      <w:textAlignment w:val="center"/>
    </w:pPr>
    <w:rPr>
      <w:color w:val="000000"/>
      <w:sz w:val="22"/>
      <w:szCs w:val="22"/>
    </w:rPr>
  </w:style>
  <w:style w:type="paragraph" w:customStyle="1" w:styleId="56">
    <w:name w:val="xl88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color w:val="000000"/>
      <w:sz w:val="20"/>
      <w:szCs w:val="20"/>
    </w:rPr>
  </w:style>
  <w:style w:type="paragraph" w:customStyle="1" w:styleId="57">
    <w:name w:val="xl892478"/>
    <w:basedOn w:val="1"/>
    <w:qFormat/>
    <w:uiPriority w:val="99"/>
    <w:pPr>
      <w:spacing w:before="100" w:beforeAutospacing="1" w:after="100" w:afterAutospacing="1"/>
      <w:textAlignment w:val="center"/>
    </w:pPr>
    <w:rPr>
      <w:color w:val="000000"/>
      <w:sz w:val="20"/>
      <w:szCs w:val="20"/>
    </w:rPr>
  </w:style>
  <w:style w:type="paragraph" w:customStyle="1" w:styleId="58">
    <w:name w:val="xl902478"/>
    <w:basedOn w:val="1"/>
    <w:qFormat/>
    <w:uiPriority w:val="99"/>
    <w:pPr>
      <w:spacing w:before="100" w:beforeAutospacing="1" w:after="100" w:afterAutospacing="1"/>
      <w:textAlignment w:val="center"/>
    </w:pPr>
    <w:rPr>
      <w:b/>
      <w:bCs/>
      <w:color w:val="000000"/>
      <w:sz w:val="20"/>
      <w:szCs w:val="20"/>
    </w:rPr>
  </w:style>
  <w:style w:type="paragraph" w:customStyle="1" w:styleId="59">
    <w:name w:val="xl912478"/>
    <w:basedOn w:val="1"/>
    <w:qFormat/>
    <w:uiPriority w:val="99"/>
    <w:pPr>
      <w:pBdr>
        <w:bottom w:val="single" w:color="auto" w:sz="4" w:space="0"/>
      </w:pBdr>
      <w:spacing w:before="100" w:beforeAutospacing="1" w:after="100" w:afterAutospacing="1"/>
      <w:jc w:val="center"/>
      <w:textAlignment w:val="center"/>
    </w:pPr>
    <w:rPr>
      <w:b/>
      <w:bCs/>
      <w:sz w:val="32"/>
      <w:szCs w:val="32"/>
    </w:rPr>
  </w:style>
  <w:style w:type="paragraph" w:customStyle="1" w:styleId="60">
    <w:name w:val="xl922478"/>
    <w:basedOn w:val="1"/>
    <w:qFormat/>
    <w:uiPriority w:val="99"/>
    <w:pPr>
      <w:spacing w:before="100" w:beforeAutospacing="1" w:after="100" w:afterAutospacing="1"/>
      <w:textAlignment w:val="center"/>
    </w:pPr>
    <w:rPr>
      <w:rFonts w:ascii="黑体" w:hAnsi="黑体" w:eastAsia="黑体"/>
      <w:color w:val="000000"/>
      <w:sz w:val="22"/>
      <w:szCs w:val="22"/>
    </w:rPr>
  </w:style>
  <w:style w:type="paragraph" w:customStyle="1" w:styleId="61">
    <w:name w:val="xl93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sz w:val="22"/>
      <w:szCs w:val="22"/>
    </w:rPr>
  </w:style>
  <w:style w:type="paragraph" w:customStyle="1" w:styleId="62">
    <w:name w:val="xl94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color w:val="000000"/>
      <w:sz w:val="22"/>
      <w:szCs w:val="22"/>
    </w:rPr>
  </w:style>
  <w:style w:type="paragraph" w:customStyle="1" w:styleId="63">
    <w:name w:val="xl952478"/>
    <w:basedOn w:val="1"/>
    <w:qFormat/>
    <w:uiPriority w:val="99"/>
    <w:pPr>
      <w:pBdr>
        <w:top w:val="single" w:color="auto" w:sz="4" w:space="1"/>
        <w:left w:val="single" w:color="auto" w:sz="4" w:space="1"/>
        <w:bottom w:val="single" w:color="auto" w:sz="4" w:space="0"/>
      </w:pBdr>
      <w:spacing w:before="100" w:beforeAutospacing="1" w:after="100" w:afterAutospacing="1"/>
      <w:jc w:val="center"/>
      <w:textAlignment w:val="center"/>
    </w:pPr>
    <w:rPr>
      <w:b/>
      <w:bCs/>
      <w:sz w:val="20"/>
      <w:szCs w:val="20"/>
    </w:rPr>
  </w:style>
  <w:style w:type="paragraph" w:customStyle="1" w:styleId="64">
    <w:name w:val="xl962478"/>
    <w:basedOn w:val="1"/>
    <w:qFormat/>
    <w:uiPriority w:val="99"/>
    <w:pPr>
      <w:pBdr>
        <w:top w:val="single" w:color="auto" w:sz="4" w:space="1"/>
        <w:bottom w:val="single" w:color="auto" w:sz="4" w:space="0"/>
      </w:pBdr>
      <w:spacing w:before="100" w:beforeAutospacing="1" w:after="100" w:afterAutospacing="1"/>
      <w:jc w:val="center"/>
      <w:textAlignment w:val="center"/>
    </w:pPr>
    <w:rPr>
      <w:b/>
      <w:bCs/>
      <w:sz w:val="20"/>
      <w:szCs w:val="20"/>
    </w:rPr>
  </w:style>
  <w:style w:type="paragraph" w:customStyle="1" w:styleId="65">
    <w:name w:val="xl972478"/>
    <w:basedOn w:val="1"/>
    <w:qFormat/>
    <w:uiPriority w:val="99"/>
    <w:pPr>
      <w:pBdr>
        <w:top w:val="single" w:color="auto" w:sz="4" w:space="1"/>
        <w:bottom w:val="single" w:color="auto" w:sz="4" w:space="0"/>
        <w:right w:val="single" w:color="auto" w:sz="4" w:space="1"/>
      </w:pBdr>
      <w:spacing w:before="100" w:beforeAutospacing="1" w:after="100" w:afterAutospacing="1"/>
      <w:jc w:val="center"/>
      <w:textAlignment w:val="center"/>
    </w:pPr>
    <w:rPr>
      <w:b/>
      <w:bCs/>
      <w:sz w:val="20"/>
      <w:szCs w:val="20"/>
    </w:rPr>
  </w:style>
  <w:style w:type="paragraph" w:customStyle="1" w:styleId="66">
    <w:name w:val="xl98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sz w:val="20"/>
      <w:szCs w:val="20"/>
    </w:rPr>
  </w:style>
  <w:style w:type="paragraph" w:customStyle="1" w:styleId="67">
    <w:name w:val="xl99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sz w:val="20"/>
      <w:szCs w:val="20"/>
    </w:rPr>
  </w:style>
  <w:style w:type="paragraph" w:customStyle="1" w:styleId="68">
    <w:name w:val="xl100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color w:val="000000"/>
      <w:sz w:val="20"/>
      <w:szCs w:val="20"/>
    </w:rPr>
  </w:style>
  <w:style w:type="paragraph" w:customStyle="1" w:styleId="69">
    <w:name w:val="xl101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color w:val="000000"/>
      <w:sz w:val="20"/>
      <w:szCs w:val="20"/>
    </w:rPr>
  </w:style>
  <w:style w:type="paragraph" w:customStyle="1" w:styleId="70">
    <w:name w:val="xl102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sz w:val="20"/>
      <w:szCs w:val="20"/>
    </w:rPr>
  </w:style>
  <w:style w:type="paragraph" w:customStyle="1" w:styleId="71">
    <w:name w:val="xl1032478"/>
    <w:basedOn w:val="1"/>
    <w:qFormat/>
    <w:uiPriority w:val="99"/>
    <w:pPr>
      <w:pBdr>
        <w:top w:val="single" w:color="auto" w:sz="4" w:space="1"/>
        <w:left w:val="single" w:color="auto" w:sz="4" w:space="1"/>
        <w:right w:val="single" w:color="auto" w:sz="4" w:space="1"/>
      </w:pBdr>
      <w:spacing w:before="100" w:beforeAutospacing="1" w:after="100" w:afterAutospacing="1"/>
      <w:jc w:val="center"/>
      <w:textAlignment w:val="center"/>
    </w:pPr>
    <w:rPr>
      <w:sz w:val="20"/>
      <w:szCs w:val="20"/>
    </w:rPr>
  </w:style>
  <w:style w:type="paragraph" w:customStyle="1" w:styleId="72">
    <w:name w:val="xl1042478"/>
    <w:basedOn w:val="1"/>
    <w:qFormat/>
    <w:uiPriority w:val="99"/>
    <w:pPr>
      <w:pBdr>
        <w:left w:val="single" w:color="auto" w:sz="4" w:space="1"/>
        <w:right w:val="single" w:color="auto" w:sz="4" w:space="1"/>
      </w:pBdr>
      <w:spacing w:before="100" w:beforeAutospacing="1" w:after="100" w:afterAutospacing="1"/>
      <w:jc w:val="center"/>
      <w:textAlignment w:val="center"/>
    </w:pPr>
    <w:rPr>
      <w:sz w:val="20"/>
      <w:szCs w:val="20"/>
    </w:rPr>
  </w:style>
  <w:style w:type="paragraph" w:customStyle="1" w:styleId="73">
    <w:name w:val="xl105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Arial" w:hAnsi="Arial" w:cs="Arial"/>
      <w:color w:val="000000"/>
      <w:sz w:val="20"/>
      <w:szCs w:val="20"/>
    </w:rPr>
  </w:style>
  <w:style w:type="paragraph" w:customStyle="1" w:styleId="74">
    <w:name w:val="xl106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color w:val="000000"/>
      <w:sz w:val="20"/>
      <w:szCs w:val="20"/>
    </w:rPr>
  </w:style>
  <w:style w:type="character" w:customStyle="1" w:styleId="75">
    <w:name w:val="页眉 字符"/>
    <w:basedOn w:val="34"/>
    <w:link w:val="23"/>
    <w:semiHidden/>
    <w:qFormat/>
    <w:locked/>
    <w:uiPriority w:val="99"/>
    <w:rPr>
      <w:rFonts w:ascii="宋体" w:hAnsi="宋体" w:eastAsia="宋体"/>
      <w:sz w:val="18"/>
    </w:rPr>
  </w:style>
  <w:style w:type="character" w:customStyle="1" w:styleId="76">
    <w:name w:val="页脚 字符"/>
    <w:basedOn w:val="34"/>
    <w:link w:val="22"/>
    <w:qFormat/>
    <w:locked/>
    <w:uiPriority w:val="99"/>
    <w:rPr>
      <w:rFonts w:ascii="宋体" w:hAnsi="宋体" w:eastAsia="宋体"/>
      <w:sz w:val="18"/>
    </w:rPr>
  </w:style>
  <w:style w:type="paragraph" w:styleId="77">
    <w:name w:val="List Paragraph"/>
    <w:basedOn w:val="1"/>
    <w:qFormat/>
    <w:uiPriority w:val="99"/>
    <w:pPr>
      <w:ind w:firstLine="420" w:firstLineChars="200"/>
    </w:pPr>
  </w:style>
  <w:style w:type="paragraph" w:customStyle="1" w:styleId="78">
    <w:name w:val="font56441"/>
    <w:basedOn w:val="1"/>
    <w:qFormat/>
    <w:uiPriority w:val="99"/>
    <w:pPr>
      <w:spacing w:before="100" w:beforeAutospacing="1" w:after="100" w:afterAutospacing="1"/>
    </w:pPr>
    <w:rPr>
      <w:sz w:val="18"/>
      <w:szCs w:val="18"/>
    </w:rPr>
  </w:style>
  <w:style w:type="paragraph" w:customStyle="1" w:styleId="79">
    <w:name w:val="font66441"/>
    <w:basedOn w:val="1"/>
    <w:qFormat/>
    <w:uiPriority w:val="99"/>
    <w:pPr>
      <w:spacing w:before="100" w:beforeAutospacing="1" w:after="100" w:afterAutospacing="1"/>
    </w:pPr>
    <w:rPr>
      <w:sz w:val="18"/>
      <w:szCs w:val="18"/>
    </w:rPr>
  </w:style>
  <w:style w:type="paragraph" w:customStyle="1" w:styleId="80">
    <w:name w:val="xl756441"/>
    <w:basedOn w:val="1"/>
    <w:qFormat/>
    <w:uiPriority w:val="99"/>
    <w:pPr>
      <w:shd w:val="clear" w:color="000000" w:fill="FFFFFF"/>
      <w:spacing w:before="100" w:beforeAutospacing="1" w:after="100" w:afterAutospacing="1"/>
      <w:textAlignment w:val="center"/>
    </w:pPr>
    <w:rPr>
      <w:color w:val="000000"/>
      <w:sz w:val="20"/>
      <w:szCs w:val="20"/>
    </w:rPr>
  </w:style>
  <w:style w:type="paragraph" w:customStyle="1" w:styleId="81">
    <w:name w:val="xl766441"/>
    <w:basedOn w:val="1"/>
    <w:qFormat/>
    <w:uiPriority w:val="99"/>
    <w:pPr>
      <w:shd w:val="clear" w:color="000000" w:fill="FFFFFF"/>
      <w:spacing w:before="100" w:beforeAutospacing="1" w:after="100" w:afterAutospacing="1"/>
      <w:textAlignment w:val="center"/>
    </w:pPr>
    <w:rPr>
      <w:b/>
      <w:bCs/>
      <w:color w:val="000000"/>
      <w:sz w:val="20"/>
      <w:szCs w:val="20"/>
    </w:rPr>
  </w:style>
  <w:style w:type="paragraph" w:customStyle="1" w:styleId="82">
    <w:name w:val="xl776441"/>
    <w:basedOn w:val="1"/>
    <w:qFormat/>
    <w:uiPriority w:val="99"/>
    <w:pPr>
      <w:shd w:val="clear" w:color="000000" w:fill="FFFFFF"/>
      <w:spacing w:before="100" w:beforeAutospacing="1" w:after="100" w:afterAutospacing="1"/>
      <w:textAlignment w:val="center"/>
    </w:pPr>
    <w:rPr>
      <w:color w:val="000000"/>
      <w:sz w:val="22"/>
      <w:szCs w:val="22"/>
    </w:rPr>
  </w:style>
  <w:style w:type="paragraph" w:customStyle="1" w:styleId="83">
    <w:name w:val="xl786441"/>
    <w:basedOn w:val="1"/>
    <w:qFormat/>
    <w:uiPriority w:val="99"/>
    <w:pPr>
      <w:shd w:val="clear" w:color="000000" w:fill="FFFFFF"/>
      <w:spacing w:before="100" w:beforeAutospacing="1" w:after="100" w:afterAutospacing="1"/>
      <w:textAlignment w:val="center"/>
    </w:pPr>
    <w:rPr>
      <w:rFonts w:ascii="黑体" w:hAnsi="黑体" w:eastAsia="黑体"/>
      <w:color w:val="000000"/>
      <w:sz w:val="22"/>
      <w:szCs w:val="22"/>
    </w:rPr>
  </w:style>
  <w:style w:type="paragraph" w:customStyle="1" w:styleId="84">
    <w:name w:val="xl796441"/>
    <w:basedOn w:val="1"/>
    <w:qFormat/>
    <w:uiPriority w:val="99"/>
    <w:pPr>
      <w:pBdr>
        <w:bottom w:val="single" w:color="auto" w:sz="4" w:space="0"/>
      </w:pBdr>
      <w:shd w:val="clear" w:color="000000" w:fill="FFFFFF"/>
      <w:spacing w:before="100" w:beforeAutospacing="1" w:after="100" w:afterAutospacing="1"/>
      <w:jc w:val="center"/>
      <w:textAlignment w:val="center"/>
    </w:pPr>
    <w:rPr>
      <w:rFonts w:ascii="黑体" w:hAnsi="黑体" w:eastAsia="黑体"/>
      <w:sz w:val="36"/>
      <w:szCs w:val="36"/>
    </w:rPr>
  </w:style>
  <w:style w:type="paragraph" w:customStyle="1" w:styleId="85">
    <w:name w:val="xl806441"/>
    <w:basedOn w:val="1"/>
    <w:qFormat/>
    <w:uiPriority w:val="99"/>
    <w:pPr>
      <w:spacing w:before="100" w:beforeAutospacing="1" w:after="100" w:afterAutospacing="1"/>
      <w:jc w:val="center"/>
      <w:textAlignment w:val="center"/>
    </w:pPr>
    <w:rPr>
      <w:sz w:val="28"/>
      <w:szCs w:val="28"/>
    </w:rPr>
  </w:style>
  <w:style w:type="paragraph" w:customStyle="1" w:styleId="86">
    <w:name w:val="xl816441"/>
    <w:basedOn w:val="1"/>
    <w:qFormat/>
    <w:uiPriority w:val="99"/>
    <w:pPr>
      <w:shd w:val="clear" w:color="000000" w:fill="FFFFFF"/>
      <w:spacing w:before="100" w:beforeAutospacing="1" w:after="100" w:afterAutospacing="1"/>
      <w:textAlignment w:val="center"/>
    </w:pPr>
    <w:rPr>
      <w:rFonts w:ascii="仿宋_GB2312" w:eastAsia="仿宋_GB2312"/>
      <w:color w:val="000000"/>
      <w:sz w:val="22"/>
      <w:szCs w:val="22"/>
    </w:rPr>
  </w:style>
  <w:style w:type="paragraph" w:customStyle="1" w:styleId="87">
    <w:name w:val="xl826441"/>
    <w:basedOn w:val="1"/>
    <w:qFormat/>
    <w:uiPriority w:val="99"/>
    <w:pPr>
      <w:pBdr>
        <w:top w:val="single" w:color="auto" w:sz="4" w:space="1"/>
        <w:left w:val="single" w:color="auto" w:sz="4" w:space="1"/>
        <w:bottom w:val="single" w:color="auto" w:sz="4" w:space="0"/>
      </w:pBdr>
      <w:shd w:val="clear" w:color="000000" w:fill="FFFFFF"/>
      <w:spacing w:before="100" w:beforeAutospacing="1" w:after="100" w:afterAutospacing="1"/>
      <w:jc w:val="center"/>
      <w:textAlignment w:val="center"/>
    </w:pPr>
    <w:rPr>
      <w:b/>
      <w:bCs/>
      <w:sz w:val="20"/>
      <w:szCs w:val="20"/>
    </w:rPr>
  </w:style>
  <w:style w:type="paragraph" w:customStyle="1" w:styleId="88">
    <w:name w:val="xl836441"/>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b/>
      <w:bCs/>
      <w:sz w:val="20"/>
      <w:szCs w:val="20"/>
    </w:rPr>
  </w:style>
  <w:style w:type="paragraph" w:customStyle="1" w:styleId="89">
    <w:name w:val="xl846441"/>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rPr>
      <w:sz w:val="20"/>
      <w:szCs w:val="20"/>
    </w:rPr>
  </w:style>
  <w:style w:type="paragraph" w:customStyle="1" w:styleId="90">
    <w:name w:val="xl856441"/>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sz w:val="20"/>
      <w:szCs w:val="20"/>
    </w:rPr>
  </w:style>
  <w:style w:type="paragraph" w:customStyle="1" w:styleId="91">
    <w:name w:val="xl866441"/>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sz w:val="20"/>
      <w:szCs w:val="20"/>
    </w:rPr>
  </w:style>
  <w:style w:type="paragraph" w:customStyle="1" w:styleId="92">
    <w:name w:val="xl876441"/>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rPr>
      <w:b/>
      <w:bCs/>
      <w:sz w:val="20"/>
      <w:szCs w:val="20"/>
    </w:rPr>
  </w:style>
  <w:style w:type="paragraph" w:customStyle="1" w:styleId="93">
    <w:name w:val="xl886441"/>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color w:val="000000"/>
      <w:sz w:val="20"/>
      <w:szCs w:val="20"/>
    </w:rPr>
  </w:style>
  <w:style w:type="paragraph" w:customStyle="1" w:styleId="94">
    <w:name w:val="xl896441"/>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sz w:val="20"/>
      <w:szCs w:val="20"/>
    </w:rPr>
  </w:style>
  <w:style w:type="paragraph" w:customStyle="1" w:styleId="95">
    <w:name w:val="xl906441"/>
    <w:basedOn w:val="1"/>
    <w:qFormat/>
    <w:uiPriority w:val="99"/>
    <w:pPr>
      <w:shd w:val="clear" w:color="000000" w:fill="FFFFFF"/>
      <w:spacing w:before="100" w:beforeAutospacing="1" w:after="100" w:afterAutospacing="1"/>
      <w:textAlignment w:val="center"/>
    </w:pPr>
    <w:rPr>
      <w:color w:val="000000"/>
      <w:sz w:val="22"/>
      <w:szCs w:val="22"/>
    </w:rPr>
  </w:style>
  <w:style w:type="paragraph" w:customStyle="1" w:styleId="96">
    <w:name w:val="xl916441"/>
    <w:basedOn w:val="1"/>
    <w:qFormat/>
    <w:uiPriority w:val="99"/>
    <w:pPr>
      <w:shd w:val="clear" w:color="000000" w:fill="FFFFFF"/>
      <w:spacing w:before="100" w:beforeAutospacing="1" w:after="100" w:afterAutospacing="1"/>
      <w:textAlignment w:val="center"/>
    </w:pPr>
    <w:rPr>
      <w:sz w:val="20"/>
      <w:szCs w:val="20"/>
    </w:rPr>
  </w:style>
  <w:style w:type="paragraph" w:customStyle="1" w:styleId="97">
    <w:name w:val="xl926441"/>
    <w:basedOn w:val="1"/>
    <w:qFormat/>
    <w:uiPriority w:val="99"/>
    <w:pPr>
      <w:shd w:val="clear" w:color="000000" w:fill="FFFFFF"/>
      <w:spacing w:before="100" w:beforeAutospacing="1" w:after="100" w:afterAutospacing="1"/>
      <w:jc w:val="center"/>
      <w:textAlignment w:val="center"/>
    </w:pPr>
    <w:rPr>
      <w:rFonts w:ascii="黑体" w:hAnsi="黑体" w:eastAsia="黑体"/>
      <w:sz w:val="32"/>
      <w:szCs w:val="32"/>
    </w:rPr>
  </w:style>
  <w:style w:type="paragraph" w:customStyle="1" w:styleId="98">
    <w:name w:val="xl936441"/>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rPr>
      <w:b/>
      <w:bCs/>
      <w:color w:val="000000"/>
      <w:sz w:val="20"/>
      <w:szCs w:val="20"/>
    </w:rPr>
  </w:style>
  <w:style w:type="paragraph" w:customStyle="1" w:styleId="99">
    <w:name w:val="xl946441"/>
    <w:basedOn w:val="1"/>
    <w:qFormat/>
    <w:uiPriority w:val="99"/>
    <w:pPr>
      <w:pBdr>
        <w:top w:val="single" w:color="auto" w:sz="4" w:space="1"/>
        <w:left w:val="single" w:color="auto" w:sz="4" w:space="1"/>
        <w:right w:val="single" w:color="auto" w:sz="4" w:space="1"/>
      </w:pBdr>
      <w:shd w:val="clear" w:color="000000" w:fill="FFFFFF"/>
      <w:spacing w:before="100" w:beforeAutospacing="1" w:after="100" w:afterAutospacing="1"/>
      <w:jc w:val="center"/>
      <w:textAlignment w:val="center"/>
    </w:pPr>
    <w:rPr>
      <w:sz w:val="20"/>
      <w:szCs w:val="20"/>
    </w:rPr>
  </w:style>
  <w:style w:type="paragraph" w:customStyle="1" w:styleId="100">
    <w:name w:val="xl956441"/>
    <w:basedOn w:val="1"/>
    <w:qFormat/>
    <w:uiPriority w:val="99"/>
    <w:pPr>
      <w:pBdr>
        <w:left w:val="single" w:color="auto" w:sz="4" w:space="1"/>
        <w:right w:val="single" w:color="auto" w:sz="4" w:space="1"/>
      </w:pBdr>
      <w:shd w:val="clear" w:color="000000" w:fill="FFFFFF"/>
      <w:spacing w:before="100" w:beforeAutospacing="1" w:after="100" w:afterAutospacing="1"/>
      <w:jc w:val="center"/>
      <w:textAlignment w:val="center"/>
    </w:pPr>
    <w:rPr>
      <w:sz w:val="20"/>
      <w:szCs w:val="20"/>
    </w:rPr>
  </w:style>
  <w:style w:type="paragraph" w:customStyle="1" w:styleId="101">
    <w:name w:val="xl966441"/>
    <w:basedOn w:val="1"/>
    <w:qFormat/>
    <w:uiPriority w:val="99"/>
    <w:pPr>
      <w:pBdr>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rPr>
      <w:sz w:val="20"/>
      <w:szCs w:val="20"/>
    </w:rPr>
  </w:style>
  <w:style w:type="character" w:customStyle="1" w:styleId="102">
    <w:name w:val="批注框文本 Char"/>
    <w:qFormat/>
    <w:locked/>
    <w:uiPriority w:val="99"/>
    <w:rPr>
      <w:rFonts w:ascii="Calibri" w:hAnsi="Calibri"/>
      <w:kern w:val="2"/>
      <w:sz w:val="18"/>
    </w:rPr>
  </w:style>
  <w:style w:type="character" w:customStyle="1" w:styleId="103">
    <w:name w:val="批注框文本 字符"/>
    <w:basedOn w:val="34"/>
    <w:link w:val="21"/>
    <w:semiHidden/>
    <w:qFormat/>
    <w:uiPriority w:val="99"/>
    <w:rPr>
      <w:rFonts w:ascii="宋体" w:hAnsi="宋体" w:cs="宋体"/>
      <w:kern w:val="0"/>
      <w:sz w:val="0"/>
      <w:szCs w:val="0"/>
    </w:rPr>
  </w:style>
  <w:style w:type="character" w:customStyle="1" w:styleId="104">
    <w:name w:val="脚注文本 Char"/>
    <w:qFormat/>
    <w:locked/>
    <w:uiPriority w:val="99"/>
    <w:rPr>
      <w:rFonts w:ascii="Calibri" w:hAnsi="Calibri"/>
      <w:kern w:val="2"/>
      <w:sz w:val="18"/>
    </w:rPr>
  </w:style>
  <w:style w:type="character" w:customStyle="1" w:styleId="105">
    <w:name w:val="脚注文本 字符"/>
    <w:basedOn w:val="34"/>
    <w:link w:val="27"/>
    <w:semiHidden/>
    <w:qFormat/>
    <w:uiPriority w:val="99"/>
    <w:rPr>
      <w:rFonts w:ascii="宋体" w:hAnsi="宋体" w:cs="宋体"/>
      <w:kern w:val="0"/>
      <w:sz w:val="18"/>
      <w:szCs w:val="18"/>
    </w:rPr>
  </w:style>
  <w:style w:type="character" w:customStyle="1" w:styleId="106">
    <w:name w:val="文档结构图 Char"/>
    <w:qFormat/>
    <w:locked/>
    <w:uiPriority w:val="99"/>
    <w:rPr>
      <w:rFonts w:ascii="宋体" w:hAnsi="Calibri" w:eastAsia="宋体"/>
      <w:kern w:val="2"/>
      <w:sz w:val="18"/>
    </w:rPr>
  </w:style>
  <w:style w:type="character" w:customStyle="1" w:styleId="107">
    <w:name w:val="文档结构图 字符"/>
    <w:basedOn w:val="34"/>
    <w:link w:val="14"/>
    <w:semiHidden/>
    <w:qFormat/>
    <w:uiPriority w:val="99"/>
    <w:rPr>
      <w:rFonts w:cs="宋体"/>
      <w:kern w:val="0"/>
      <w:sz w:val="0"/>
      <w:szCs w:val="0"/>
    </w:rPr>
  </w:style>
  <w:style w:type="character" w:customStyle="1" w:styleId="108">
    <w:name w:val="标题 字符"/>
    <w:basedOn w:val="34"/>
    <w:link w:val="33"/>
    <w:qFormat/>
    <w:locked/>
    <w:uiPriority w:val="99"/>
    <w:rPr>
      <w:rFonts w:ascii="Cambria" w:hAnsi="Cambria" w:eastAsia="宋体"/>
      <w:b/>
      <w:kern w:val="2"/>
      <w:sz w:val="32"/>
    </w:rPr>
  </w:style>
  <w:style w:type="character" w:customStyle="1" w:styleId="109">
    <w:name w:val="副标题 字符"/>
    <w:basedOn w:val="34"/>
    <w:link w:val="26"/>
    <w:qFormat/>
    <w:locked/>
    <w:uiPriority w:val="99"/>
    <w:rPr>
      <w:rFonts w:ascii="Cambria" w:hAnsi="Cambria" w:eastAsia="宋体"/>
      <w:b/>
      <w:kern w:val="28"/>
      <w:sz w:val="32"/>
    </w:rPr>
  </w:style>
  <w:style w:type="paragraph" w:styleId="110">
    <w:name w:val="No Spacing"/>
    <w:link w:val="111"/>
    <w:qFormat/>
    <w:uiPriority w:val="99"/>
    <w:pPr>
      <w:ind w:firstLine="200" w:firstLineChars="200"/>
    </w:pPr>
    <w:rPr>
      <w:rFonts w:ascii="Times New Roman" w:hAnsi="Times New Roman" w:eastAsia="仿宋_GB2312" w:cs="Times New Roman"/>
      <w:sz w:val="30"/>
      <w:szCs w:val="22"/>
      <w:lang w:val="en-US" w:eastAsia="zh-CN" w:bidi="ar-SA"/>
    </w:rPr>
  </w:style>
  <w:style w:type="character" w:customStyle="1" w:styleId="111">
    <w:name w:val="无间隔 字符"/>
    <w:link w:val="110"/>
    <w:qFormat/>
    <w:locked/>
    <w:uiPriority w:val="99"/>
    <w:rPr>
      <w:rFonts w:eastAsia="仿宋_GB2312"/>
      <w:sz w:val="30"/>
      <w:szCs w:val="22"/>
      <w:lang w:bidi="ar-SA"/>
    </w:rPr>
  </w:style>
  <w:style w:type="character" w:customStyle="1" w:styleId="112">
    <w:name w:val="目录 3 字符"/>
    <w:link w:val="18"/>
    <w:qFormat/>
    <w:locked/>
    <w:uiPriority w:val="39"/>
    <w:rPr>
      <w:rFonts w:eastAsia="宋体" w:cstheme="minorHAnsi"/>
      <w:i/>
      <w:iCs/>
    </w:rPr>
  </w:style>
  <w:style w:type="character" w:customStyle="1" w:styleId="113">
    <w:name w:val="目录 1 字符"/>
    <w:link w:val="24"/>
    <w:qFormat/>
    <w:locked/>
    <w:uiPriority w:val="39"/>
    <w:rPr>
      <w:rFonts w:eastAsia="宋体" w:cstheme="minorHAnsi"/>
      <w:b/>
      <w:bCs/>
      <w:i/>
      <w:iCs/>
      <w:caps/>
    </w:rPr>
  </w:style>
  <w:style w:type="character" w:customStyle="1" w:styleId="114">
    <w:name w:val="目录 2 字符"/>
    <w:link w:val="29"/>
    <w:qFormat/>
    <w:locked/>
    <w:uiPriority w:val="39"/>
    <w:rPr>
      <w:rFonts w:eastAsia="宋体" w:cstheme="minorHAnsi"/>
      <w:i/>
      <w:iCs/>
      <w:smallCaps/>
    </w:rPr>
  </w:style>
  <w:style w:type="paragraph" w:customStyle="1" w:styleId="115">
    <w:name w:val="目录一"/>
    <w:basedOn w:val="29"/>
    <w:link w:val="116"/>
    <w:qFormat/>
    <w:uiPriority w:val="99"/>
    <w:rPr>
      <w:rFonts w:eastAsia="黑体"/>
      <w:b/>
      <w:iCs/>
      <w:caps/>
      <w:sz w:val="28"/>
    </w:rPr>
  </w:style>
  <w:style w:type="character" w:customStyle="1" w:styleId="116">
    <w:name w:val="目录一 Char"/>
    <w:link w:val="115"/>
    <w:qFormat/>
    <w:locked/>
    <w:uiPriority w:val="99"/>
    <w:rPr>
      <w:rFonts w:ascii="华文中宋" w:hAnsi="华文中宋" w:eastAsia="黑体"/>
      <w:b/>
      <w:caps/>
      <w:smallCaps/>
      <w:kern w:val="2"/>
      <w:sz w:val="28"/>
    </w:rPr>
  </w:style>
  <w:style w:type="paragraph" w:customStyle="1" w:styleId="117">
    <w:name w:val="目录1"/>
    <w:basedOn w:val="18"/>
    <w:link w:val="118"/>
    <w:qFormat/>
    <w:uiPriority w:val="99"/>
    <w:pPr>
      <w:spacing w:line="400" w:lineRule="exact"/>
    </w:pPr>
    <w:rPr>
      <w:sz w:val="28"/>
    </w:rPr>
  </w:style>
  <w:style w:type="character" w:customStyle="1" w:styleId="118">
    <w:name w:val="目录1 Char"/>
    <w:link w:val="117"/>
    <w:qFormat/>
    <w:locked/>
    <w:uiPriority w:val="99"/>
    <w:rPr>
      <w:rFonts w:ascii="黑体" w:hAnsi="黑体" w:eastAsia="黑体"/>
      <w:kern w:val="2"/>
      <w:sz w:val="28"/>
    </w:rPr>
  </w:style>
  <w:style w:type="paragraph" w:customStyle="1" w:styleId="119">
    <w:name w:val="目录标题"/>
    <w:basedOn w:val="3"/>
    <w:link w:val="120"/>
    <w:qFormat/>
    <w:uiPriority w:val="99"/>
    <w:pPr>
      <w:ind w:firstLine="200"/>
    </w:pPr>
    <w:rPr>
      <w:bCs w:val="0"/>
      <w:sz w:val="44"/>
      <w:szCs w:val="20"/>
    </w:rPr>
  </w:style>
  <w:style w:type="character" w:customStyle="1" w:styleId="120">
    <w:name w:val="目录标题 Char"/>
    <w:link w:val="119"/>
    <w:qFormat/>
    <w:locked/>
    <w:uiPriority w:val="99"/>
    <w:rPr>
      <w:rFonts w:ascii="宋体" w:hAnsi="宋体" w:eastAsia="华文中宋"/>
      <w:sz w:val="44"/>
    </w:rPr>
  </w:style>
  <w:style w:type="paragraph" w:customStyle="1" w:styleId="121">
    <w:name w:val="目录（一）"/>
    <w:basedOn w:val="117"/>
    <w:link w:val="122"/>
    <w:qFormat/>
    <w:uiPriority w:val="99"/>
    <w:rPr>
      <w:sz w:val="24"/>
    </w:rPr>
  </w:style>
  <w:style w:type="character" w:customStyle="1" w:styleId="122">
    <w:name w:val="目录（一） Char"/>
    <w:link w:val="121"/>
    <w:qFormat/>
    <w:locked/>
    <w:uiPriority w:val="99"/>
    <w:rPr>
      <w:rFonts w:ascii="黑体" w:hAnsi="黑体" w:eastAsia="黑体"/>
      <w:kern w:val="2"/>
      <w:sz w:val="24"/>
    </w:rPr>
  </w:style>
  <w:style w:type="character" w:customStyle="1" w:styleId="123">
    <w:name w:val="访问过的超链接1"/>
    <w:qFormat/>
    <w:uiPriority w:val="99"/>
    <w:rPr>
      <w:rFonts w:eastAsia="宋体"/>
      <w:color w:val="800080"/>
      <w:kern w:val="2"/>
      <w:sz w:val="24"/>
      <w:u w:val="single"/>
      <w:lang w:val="en-US" w:eastAsia="zh-CN"/>
    </w:rPr>
  </w:style>
  <w:style w:type="character" w:customStyle="1" w:styleId="124">
    <w:name w:val="Body Text Indent Char"/>
    <w:qFormat/>
    <w:locked/>
    <w:uiPriority w:val="99"/>
    <w:rPr>
      <w:rFonts w:ascii="仿宋_GB2312" w:eastAsia="仿宋_GB2312"/>
      <w:sz w:val="30"/>
    </w:rPr>
  </w:style>
  <w:style w:type="character" w:customStyle="1" w:styleId="125">
    <w:name w:val="Body Text Indent Char1"/>
    <w:basedOn w:val="34"/>
    <w:semiHidden/>
    <w:qFormat/>
    <w:uiPriority w:val="99"/>
    <w:rPr>
      <w:rFonts w:ascii="仿宋_GB2312" w:hAnsi="宋体" w:eastAsia="仿宋_GB2312"/>
      <w:color w:val="000000"/>
      <w:kern w:val="16"/>
      <w:sz w:val="30"/>
    </w:rPr>
  </w:style>
  <w:style w:type="character" w:customStyle="1" w:styleId="126">
    <w:name w:val="正文文本缩进 字符"/>
    <w:link w:val="16"/>
    <w:qFormat/>
    <w:locked/>
    <w:uiPriority w:val="99"/>
    <w:rPr>
      <w:rFonts w:ascii="仿宋_GB2312" w:hAnsi="Calibri" w:eastAsia="仿宋_GB2312"/>
      <w:sz w:val="30"/>
    </w:rPr>
  </w:style>
  <w:style w:type="character" w:customStyle="1" w:styleId="127">
    <w:name w:val="批注文字 字符"/>
    <w:basedOn w:val="34"/>
    <w:link w:val="12"/>
    <w:semiHidden/>
    <w:qFormat/>
    <w:locked/>
    <w:uiPriority w:val="99"/>
    <w:rPr>
      <w:rFonts w:ascii="仿宋_GB2312" w:hAnsi="宋体" w:eastAsia="仿宋_GB2312"/>
      <w:color w:val="000000"/>
      <w:kern w:val="16"/>
      <w:sz w:val="30"/>
    </w:rPr>
  </w:style>
  <w:style w:type="character" w:customStyle="1" w:styleId="128">
    <w:name w:val="批注主题 字符"/>
    <w:basedOn w:val="127"/>
    <w:link w:val="11"/>
    <w:semiHidden/>
    <w:qFormat/>
    <w:locked/>
    <w:uiPriority w:val="99"/>
    <w:rPr>
      <w:rFonts w:ascii="仿宋_GB2312" w:hAnsi="宋体" w:eastAsia="仿宋_GB2312"/>
      <w:b/>
      <w:color w:val="000000"/>
      <w:kern w:val="16"/>
      <w:sz w:val="30"/>
    </w:rPr>
  </w:style>
  <w:style w:type="paragraph" w:customStyle="1" w:styleId="129">
    <w:name w:val="默认段落字体 Para Char Char Char Char Char Char Char"/>
    <w:basedOn w:val="1"/>
    <w:qFormat/>
    <w:uiPriority w:val="99"/>
    <w:pPr>
      <w:widowControl w:val="0"/>
      <w:jc w:val="both"/>
    </w:pPr>
    <w:rPr>
      <w:rFonts w:ascii="Arial" w:hAnsi="Arial" w:cs="Arial"/>
      <w:kern w:val="2"/>
      <w:sz w:val="20"/>
      <w:szCs w:val="20"/>
    </w:rPr>
  </w:style>
  <w:style w:type="paragraph" w:customStyle="1" w:styleId="130">
    <w:name w:val="Char"/>
    <w:basedOn w:val="1"/>
    <w:qFormat/>
    <w:uiPriority w:val="99"/>
    <w:pPr>
      <w:widowControl w:val="0"/>
      <w:jc w:val="both"/>
    </w:pPr>
    <w:rPr>
      <w:rFonts w:ascii="仿宋_GB2312" w:eastAsia="仿宋_GB2312" w:cs="仿宋_GB2312"/>
      <w:color w:val="000000"/>
      <w:kern w:val="16"/>
      <w:sz w:val="30"/>
      <w:szCs w:val="30"/>
    </w:rPr>
  </w:style>
  <w:style w:type="paragraph" w:customStyle="1" w:styleId="131">
    <w:name w:val="样式5"/>
    <w:basedOn w:val="2"/>
    <w:qFormat/>
    <w:uiPriority w:val="99"/>
    <w:pPr>
      <w:widowControl/>
      <w:tabs>
        <w:tab w:val="left" w:pos="794"/>
        <w:tab w:val="left" w:pos="2127"/>
        <w:tab w:val="left" w:pos="2410"/>
        <w:tab w:val="left" w:pos="2921"/>
        <w:tab w:val="left" w:pos="3261"/>
      </w:tabs>
      <w:overflowPunct w:val="0"/>
      <w:autoSpaceDE w:val="0"/>
      <w:autoSpaceDN w:val="0"/>
      <w:adjustRightInd w:val="0"/>
      <w:spacing w:beforeLines="50" w:afterLines="50" w:line="240" w:lineRule="auto"/>
      <w:ind w:left="1276"/>
      <w:jc w:val="center"/>
      <w:textAlignment w:val="baseline"/>
    </w:pPr>
    <w:rPr>
      <w:rFonts w:ascii="黑体" w:eastAsia="黑体" w:cs="黑体"/>
      <w:b w:val="0"/>
      <w:kern w:val="0"/>
      <w:sz w:val="36"/>
      <w:szCs w:val="36"/>
      <w:lang w:val="en-GB"/>
    </w:rPr>
  </w:style>
  <w:style w:type="paragraph" w:customStyle="1" w:styleId="132">
    <w:name w:val="Char Char Char Char Char Char Char"/>
    <w:basedOn w:val="14"/>
    <w:qFormat/>
    <w:uiPriority w:val="99"/>
    <w:pPr>
      <w:shd w:val="clear" w:color="auto" w:fill="000080"/>
      <w:adjustRightInd w:val="0"/>
      <w:spacing w:line="360" w:lineRule="auto"/>
      <w:ind w:left="1276"/>
      <w:jc w:val="center"/>
      <w:outlineLvl w:val="3"/>
    </w:pPr>
    <w:rPr>
      <w:rFonts w:ascii="Tahoma" w:hAnsi="Tahoma" w:eastAsia="仿宋_GB2312" w:cs="Tahoma"/>
      <w:color w:val="000000"/>
      <w:kern w:val="16"/>
      <w:sz w:val="24"/>
      <w:szCs w:val="24"/>
    </w:rPr>
  </w:style>
  <w:style w:type="paragraph" w:customStyle="1" w:styleId="133">
    <w:name w:val="样式 标题 2一级条标题l22Heading 2 CharH2H3二级h22nd levelheading ...1"/>
    <w:basedOn w:val="3"/>
    <w:qFormat/>
    <w:uiPriority w:val="99"/>
    <w:pPr>
      <w:spacing w:beforeLines="50" w:afterLines="50"/>
      <w:ind w:left="1276"/>
    </w:pPr>
    <w:rPr>
      <w:rFonts w:ascii="黑体" w:hAnsi="Times New Roman" w:eastAsia="黑体" w:cs="黑体"/>
      <w:bCs w:val="0"/>
      <w:color w:val="000000"/>
      <w:kern w:val="16"/>
      <w:szCs w:val="30"/>
    </w:rPr>
  </w:style>
  <w:style w:type="paragraph" w:customStyle="1" w:styleId="134">
    <w:name w:val="tgt1"/>
    <w:basedOn w:val="1"/>
    <w:qFormat/>
    <w:uiPriority w:val="99"/>
    <w:pPr>
      <w:spacing w:after="150"/>
    </w:pPr>
  </w:style>
  <w:style w:type="paragraph" w:customStyle="1" w:styleId="135">
    <w:name w:val="样式 标题 3二级条标题h3第二层条第三层1.1.1 标题 3l3CT3h4Heading 3 - old...2"/>
    <w:basedOn w:val="1"/>
    <w:qFormat/>
    <w:uiPriority w:val="99"/>
    <w:pPr>
      <w:widowControl w:val="0"/>
      <w:ind w:left="1276"/>
      <w:jc w:val="both"/>
    </w:pPr>
    <w:rPr>
      <w:rFonts w:ascii="仿宋_GB2312" w:eastAsia="仿宋_GB2312" w:cs="仿宋_GB2312"/>
      <w:color w:val="000000"/>
      <w:kern w:val="16"/>
      <w:sz w:val="30"/>
      <w:szCs w:val="30"/>
    </w:rPr>
  </w:style>
  <w:style w:type="paragraph" w:customStyle="1" w:styleId="136">
    <w:name w:val="Char Char Char Char"/>
    <w:basedOn w:val="1"/>
    <w:qFormat/>
    <w:uiPriority w:val="99"/>
    <w:pPr>
      <w:widowControl w:val="0"/>
      <w:tabs>
        <w:tab w:val="left" w:pos="1415"/>
      </w:tabs>
      <w:ind w:left="1415" w:hanging="855"/>
      <w:jc w:val="both"/>
    </w:pPr>
    <w:rPr>
      <w:rFonts w:ascii="Times New Roman" w:hAnsi="Times New Roman" w:cs="Times New Roman"/>
      <w:kern w:val="2"/>
    </w:rPr>
  </w:style>
  <w:style w:type="paragraph" w:customStyle="1" w:styleId="137">
    <w:name w:val="修订1"/>
    <w:hidden/>
    <w:semiHidden/>
    <w:qFormat/>
    <w:uiPriority w:val="99"/>
    <w:rPr>
      <w:rFonts w:ascii="仿宋_GB2312" w:hAnsi="宋体" w:eastAsia="仿宋_GB2312" w:cs="仿宋_GB2312"/>
      <w:color w:val="000000"/>
      <w:kern w:val="16"/>
      <w:sz w:val="30"/>
      <w:szCs w:val="30"/>
      <w:lang w:val="en-US" w:eastAsia="zh-CN" w:bidi="ar-SA"/>
    </w:rPr>
  </w:style>
  <w:style w:type="paragraph" w:customStyle="1" w:styleId="138">
    <w:name w:val="样式1"/>
    <w:basedOn w:val="1"/>
    <w:link w:val="139"/>
    <w:qFormat/>
    <w:uiPriority w:val="99"/>
    <w:pPr>
      <w:jc w:val="both"/>
    </w:pPr>
    <w:rPr>
      <w:rFonts w:ascii="仿宋_GB2312" w:eastAsia="仿宋_GB2312" w:cs="Times New Roman"/>
      <w:kern w:val="16"/>
      <w:sz w:val="30"/>
      <w:szCs w:val="20"/>
    </w:rPr>
  </w:style>
  <w:style w:type="character" w:customStyle="1" w:styleId="139">
    <w:name w:val="样式1 Char"/>
    <w:link w:val="138"/>
    <w:qFormat/>
    <w:locked/>
    <w:uiPriority w:val="99"/>
    <w:rPr>
      <w:rFonts w:ascii="仿宋_GB2312" w:hAnsi="宋体" w:eastAsia="仿宋_GB2312"/>
      <w:kern w:val="16"/>
      <w:sz w:val="30"/>
    </w:rPr>
  </w:style>
  <w:style w:type="character" w:customStyle="1" w:styleId="140">
    <w:name w:val="HTML 预设格式 字符"/>
    <w:basedOn w:val="34"/>
    <w:link w:val="31"/>
    <w:semiHidden/>
    <w:qFormat/>
    <w:locked/>
    <w:uiPriority w:val="99"/>
    <w:rPr>
      <w:rFonts w:ascii="宋体" w:hAnsi="宋体" w:eastAsia="宋体"/>
      <w:sz w:val="24"/>
    </w:rPr>
  </w:style>
  <w:style w:type="paragraph" w:customStyle="1" w:styleId="141">
    <w:name w:val="TOC 标题1"/>
    <w:basedOn w:val="2"/>
    <w:next w:val="1"/>
    <w:qFormat/>
    <w:uiPriority w:val="99"/>
    <w:pPr>
      <w:widowControl/>
      <w:spacing w:before="480" w:after="0" w:line="276" w:lineRule="auto"/>
      <w:jc w:val="left"/>
      <w:outlineLvl w:val="9"/>
    </w:pPr>
    <w:rPr>
      <w:rFonts w:ascii="Cambria" w:hAnsi="Cambria" w:eastAsia="宋体" w:cs="Cambria"/>
      <w:bCs/>
      <w:color w:val="365F91"/>
      <w:kern w:val="0"/>
      <w:sz w:val="28"/>
      <w:szCs w:val="28"/>
    </w:rPr>
  </w:style>
  <w:style w:type="paragraph" w:customStyle="1" w:styleId="142">
    <w:name w:val="TOC 标题2"/>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table" w:customStyle="1" w:styleId="143">
    <w:name w:val="Table Normal"/>
    <w:semiHidden/>
    <w:unhideWhenUsed/>
    <w:qFormat/>
    <w:uiPriority w:val="2"/>
    <w:pPr>
      <w:widowControl w:val="0"/>
    </w:pPr>
    <w:rPr>
      <w:sz w:val="22"/>
      <w:szCs w:val="22"/>
      <w:lang w:eastAsia="en-US"/>
    </w:rPr>
    <w:tblPr>
      <w:tblLayout w:type="fixed"/>
      <w:tblCellMar>
        <w:top w:w="0" w:type="dxa"/>
        <w:left w:w="0" w:type="dxa"/>
        <w:bottom w:w="0" w:type="dxa"/>
        <w:right w:w="0" w:type="dxa"/>
      </w:tblCellMar>
    </w:tblPr>
  </w:style>
  <w:style w:type="paragraph" w:customStyle="1" w:styleId="144">
    <w:name w:val="Table Paragraph"/>
    <w:basedOn w:val="1"/>
    <w:qFormat/>
    <w:uiPriority w:val="1"/>
    <w:pPr>
      <w:widowControl w:val="0"/>
    </w:pPr>
    <w:rPr>
      <w:rFonts w:asciiTheme="minorHAnsi" w:hAnsiTheme="minorHAnsi" w:eastAsiaTheme="minorEastAsia" w:cstheme="minorBidi"/>
      <w:sz w:val="22"/>
      <w:szCs w:val="22"/>
      <w:lang w:eastAsia="en-US"/>
    </w:rPr>
  </w:style>
  <w:style w:type="table" w:customStyle="1" w:styleId="145">
    <w:name w:val="Table Normal1"/>
    <w:semiHidden/>
    <w:unhideWhenUsed/>
    <w:qFormat/>
    <w:uiPriority w:val="2"/>
    <w:pPr>
      <w:widowControl w:val="0"/>
    </w:pPr>
    <w:rPr>
      <w:sz w:val="22"/>
      <w:szCs w:val="22"/>
      <w:lang w:eastAsia="en-US"/>
    </w:rPr>
    <w:tblPr>
      <w:tblLayout w:type="fixed"/>
      <w:tblCellMar>
        <w:top w:w="0" w:type="dxa"/>
        <w:left w:w="0" w:type="dxa"/>
        <w:bottom w:w="0" w:type="dxa"/>
        <w:right w:w="0" w:type="dxa"/>
      </w:tblCellMar>
    </w:tblPr>
  </w:style>
  <w:style w:type="table" w:customStyle="1" w:styleId="146">
    <w:name w:val="Table Normal2"/>
    <w:semiHidden/>
    <w:unhideWhenUsed/>
    <w:qFormat/>
    <w:uiPriority w:val="2"/>
    <w:pPr>
      <w:widowControl w:val="0"/>
    </w:pPr>
    <w:rPr>
      <w:sz w:val="22"/>
      <w:szCs w:val="22"/>
      <w:lang w:eastAsia="en-US"/>
    </w:rPr>
    <w:tblPr>
      <w:tblLayout w:type="fixed"/>
      <w:tblCellMar>
        <w:top w:w="0" w:type="dxa"/>
        <w:left w:w="0" w:type="dxa"/>
        <w:bottom w:w="0" w:type="dxa"/>
        <w:right w:w="0" w:type="dxa"/>
      </w:tblCellMar>
    </w:tblPr>
  </w:style>
  <w:style w:type="character" w:customStyle="1" w:styleId="147">
    <w:name w:val="Unresolved Mention"/>
    <w:basedOn w:val="34"/>
    <w:semiHidden/>
    <w:unhideWhenUsed/>
    <w:qFormat/>
    <w:uiPriority w:val="99"/>
    <w:rPr>
      <w:color w:val="605E5C"/>
      <w:shd w:val="clear" w:color="auto" w:fill="E1DFDD"/>
    </w:rPr>
  </w:style>
  <w:style w:type="paragraph" w:customStyle="1" w:styleId="14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32B03F-0224-4634-9F40-628C0143AF6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1039</Words>
  <Characters>5926</Characters>
  <Lines>49</Lines>
  <Paragraphs>13</Paragraphs>
  <TotalTime>5</TotalTime>
  <ScaleCrop>false</ScaleCrop>
  <LinksUpToDate>false</LinksUpToDate>
  <CharactersWithSpaces>6952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2020-03-18T11:37:00Z</dcterms:created>
  <dc:creator>K2450</dc:creator>
  <cp:lastModifiedBy>HP001</cp:lastModifiedBy>
  <cp:lastPrinted>2018-03-01T03:24:00Z</cp:lastPrinted>
  <dcterms:modified xsi:type="dcterms:W3CDTF">2020-07-21T09:30:59Z</dcterms:modified>
  <dc:title>政府部门财务报告编制操作指南</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