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5F5F3">
      <w:pPr>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p>
    <w:p w14:paraId="6845C057">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14:paraId="41E6C2E6">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重庆市2024年家电以旧换新补贴政策</w:t>
      </w:r>
    </w:p>
    <w:p w14:paraId="32A1745A">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家电“参与单位”</w:t>
      </w:r>
      <w:r>
        <w:rPr>
          <w:rFonts w:hint="default" w:ascii="Times New Roman" w:hAnsi="Times New Roman" w:eastAsia="方正小标宋简体" w:cs="Times New Roman"/>
          <w:color w:val="auto"/>
          <w:sz w:val="44"/>
          <w:szCs w:val="44"/>
        </w:rPr>
        <w:t>承诺书</w:t>
      </w:r>
    </w:p>
    <w:p w14:paraId="281697CD">
      <w:pPr>
        <w:pStyle w:val="7"/>
        <w:pageBreakBefore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color w:val="auto"/>
        </w:rPr>
      </w:pPr>
    </w:p>
    <w:p w14:paraId="149C434D">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自愿</w:t>
      </w:r>
      <w:r>
        <w:rPr>
          <w:rFonts w:hint="default" w:ascii="Times New Roman" w:hAnsi="Times New Roman" w:eastAsia="方正仿宋_GBK" w:cs="Times New Roman"/>
          <w:color w:val="auto"/>
          <w:sz w:val="32"/>
          <w:szCs w:val="32"/>
        </w:rPr>
        <w:t>申请参与</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重庆</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年绿色智能家电</w:t>
      </w:r>
      <w:r>
        <w:rPr>
          <w:rFonts w:hint="default" w:ascii="Times New Roman" w:hAnsi="Times New Roman" w:eastAsia="方正仿宋_GBK" w:cs="Times New Roman"/>
          <w:color w:val="auto"/>
          <w:sz w:val="32"/>
          <w:szCs w:val="32"/>
          <w:lang w:val="en-US" w:eastAsia="zh-CN"/>
        </w:rPr>
        <w:t>以旧换新</w:t>
      </w:r>
      <w:r>
        <w:rPr>
          <w:rFonts w:hint="default" w:ascii="Times New Roman" w:hAnsi="Times New Roman" w:eastAsia="方正仿宋_GBK" w:cs="Times New Roman"/>
          <w:color w:val="auto"/>
          <w:sz w:val="32"/>
          <w:szCs w:val="32"/>
        </w:rPr>
        <w:t>补贴政策（简称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家电补贴政策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），并郑重承诺如下：</w:t>
      </w:r>
    </w:p>
    <w:p w14:paraId="6A56633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承诺严格遵守各项促进绿色智能家电消费补贴政策要求，积极组织本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各门店参与</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家电补贴政策，配合公开展示参与政策的具体门店信息，并在政策实施期间热心解答消费者相关咨询。</w:t>
      </w:r>
    </w:p>
    <w:p w14:paraId="7E3513F9">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承诺提供的</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申请信息真实、完整、准确，如本公司提供了错误或虚假的</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信息，本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将承担全部责任（包括但不限于本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无法获得</w:t>
      </w:r>
      <w:r>
        <w:rPr>
          <w:rFonts w:hint="default" w:ascii="Times New Roman" w:hAnsi="Times New Roman" w:eastAsia="方正仿宋_GBK" w:cs="Times New Roman"/>
          <w:color w:val="auto"/>
          <w:sz w:val="32"/>
          <w:szCs w:val="32"/>
          <w:lang w:val="en-US" w:eastAsia="zh-CN"/>
        </w:rPr>
        <w:t>垫付的</w:t>
      </w:r>
      <w:r>
        <w:rPr>
          <w:rFonts w:hint="default" w:ascii="Times New Roman" w:hAnsi="Times New Roman" w:eastAsia="方正仿宋_GBK" w:cs="Times New Roman"/>
          <w:color w:val="auto"/>
          <w:sz w:val="32"/>
          <w:szCs w:val="32"/>
        </w:rPr>
        <w:t>补贴资金</w:t>
      </w:r>
      <w:r>
        <w:rPr>
          <w:rFonts w:hint="default" w:ascii="Times New Roman" w:hAnsi="Times New Roman" w:eastAsia="方正仿宋_GBK" w:cs="Times New Roman"/>
          <w:color w:val="auto"/>
          <w:sz w:val="32"/>
          <w:szCs w:val="32"/>
          <w:lang w:val="en-US" w:eastAsia="zh-CN"/>
        </w:rPr>
        <w:t>所</w:t>
      </w:r>
      <w:r>
        <w:rPr>
          <w:rFonts w:hint="default" w:ascii="Times New Roman" w:hAnsi="Times New Roman" w:eastAsia="方正仿宋_GBK" w:cs="Times New Roman"/>
          <w:color w:val="auto"/>
          <w:sz w:val="32"/>
          <w:szCs w:val="32"/>
        </w:rPr>
        <w:t>招致</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损失等各类情形），并且如因本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的前述行为给政策实施部门和服务平台造成了任何损失，本</w:t>
      </w:r>
      <w:r>
        <w:rPr>
          <w:rFonts w:hint="default" w:ascii="Times New Roman" w:hAnsi="Times New Roman" w:eastAsia="方正仿宋_GBK" w:cs="Times New Roman"/>
          <w:color w:val="auto"/>
          <w:sz w:val="32"/>
          <w:szCs w:val="32"/>
          <w:lang w:val="en-US" w:eastAsia="zh-CN"/>
        </w:rPr>
        <w:t>“参与单位”愿</w:t>
      </w:r>
      <w:r>
        <w:rPr>
          <w:rFonts w:hint="default" w:ascii="Times New Roman" w:hAnsi="Times New Roman" w:eastAsia="方正仿宋_GBK" w:cs="Times New Roman"/>
          <w:color w:val="auto"/>
          <w:sz w:val="32"/>
          <w:szCs w:val="32"/>
        </w:rPr>
        <w:t>承担赔偿责任。</w:t>
      </w:r>
    </w:p>
    <w:p w14:paraId="58068931">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承诺配套出台相关促销活动方案，</w:t>
      </w:r>
      <w:r>
        <w:rPr>
          <w:rFonts w:hint="default" w:ascii="Times New Roman" w:hAnsi="Times New Roman" w:eastAsia="方正仿宋_GBK" w:cs="Times New Roman"/>
          <w:color w:val="auto"/>
          <w:sz w:val="32"/>
          <w:szCs w:val="32"/>
          <w:lang w:val="en-US" w:eastAsia="zh-CN"/>
        </w:rPr>
        <w:t>协同开展家电产品促销</w:t>
      </w:r>
      <w:r>
        <w:rPr>
          <w:rFonts w:hint="default" w:ascii="Times New Roman" w:hAnsi="Times New Roman" w:eastAsia="方正仿宋_GBK" w:cs="Times New Roman"/>
          <w:color w:val="auto"/>
          <w:sz w:val="32"/>
          <w:szCs w:val="32"/>
        </w:rPr>
        <w:t>。承诺</w:t>
      </w:r>
      <w:r>
        <w:rPr>
          <w:rFonts w:hint="default" w:ascii="Times New Roman" w:hAnsi="Times New Roman" w:eastAsia="方正仿宋_GBK" w:cs="Times New Roman"/>
          <w:color w:val="auto"/>
          <w:sz w:val="32"/>
          <w:szCs w:val="32"/>
          <w:lang w:val="en-US" w:eastAsia="zh-CN"/>
        </w:rPr>
        <w:t>建立具有</w:t>
      </w:r>
      <w:r>
        <w:rPr>
          <w:rFonts w:hint="default" w:ascii="Times New Roman" w:hAnsi="Times New Roman" w:eastAsia="方正仿宋_GBK" w:cs="Times New Roman"/>
          <w:color w:val="auto"/>
          <w:sz w:val="32"/>
          <w:szCs w:val="32"/>
        </w:rPr>
        <w:t>销售、监测、</w:t>
      </w:r>
      <w:r>
        <w:rPr>
          <w:rFonts w:hint="default" w:ascii="Times New Roman" w:hAnsi="Times New Roman" w:eastAsia="方正仿宋_GBK" w:cs="Times New Roman"/>
          <w:color w:val="auto"/>
          <w:sz w:val="32"/>
          <w:szCs w:val="32"/>
          <w:lang w:eastAsia="zh-CN"/>
        </w:rPr>
        <w:t>配货、</w:t>
      </w:r>
      <w:r>
        <w:rPr>
          <w:rFonts w:hint="default" w:ascii="Times New Roman" w:hAnsi="Times New Roman" w:eastAsia="方正仿宋_GBK" w:cs="Times New Roman"/>
          <w:color w:val="auto"/>
          <w:sz w:val="32"/>
          <w:szCs w:val="32"/>
        </w:rPr>
        <w:t>退货</w:t>
      </w:r>
      <w:r>
        <w:rPr>
          <w:rFonts w:hint="default" w:ascii="Times New Roman" w:hAnsi="Times New Roman" w:eastAsia="方正仿宋_GBK" w:cs="Times New Roman"/>
          <w:color w:val="auto"/>
          <w:sz w:val="32"/>
          <w:szCs w:val="32"/>
          <w:lang w:val="en-US" w:eastAsia="zh-CN"/>
        </w:rPr>
        <w:t>等功能</w:t>
      </w:r>
      <w:r>
        <w:rPr>
          <w:rFonts w:hint="default" w:ascii="Times New Roman" w:hAnsi="Times New Roman" w:eastAsia="方正仿宋_GBK" w:cs="Times New Roman"/>
          <w:color w:val="auto"/>
          <w:sz w:val="32"/>
          <w:szCs w:val="32"/>
        </w:rPr>
        <w:t>的独立促销</w:t>
      </w:r>
      <w:r>
        <w:rPr>
          <w:rFonts w:hint="default" w:ascii="Times New Roman" w:hAnsi="Times New Roman" w:eastAsia="方正仿宋_GBK" w:cs="Times New Roman"/>
          <w:color w:val="auto"/>
          <w:sz w:val="32"/>
          <w:szCs w:val="32"/>
          <w:lang w:val="en-US" w:eastAsia="zh-CN"/>
        </w:rPr>
        <w:t>体系</w:t>
      </w:r>
      <w:r>
        <w:rPr>
          <w:rFonts w:hint="default" w:ascii="Times New Roman" w:hAnsi="Times New Roman" w:eastAsia="方正仿宋_GBK" w:cs="Times New Roman"/>
          <w:color w:val="auto"/>
          <w:sz w:val="32"/>
          <w:szCs w:val="32"/>
        </w:rPr>
        <w:t>，便利第三方机构审计监督，帮助消费者通过服务平台应用程序</w:t>
      </w:r>
      <w:r>
        <w:rPr>
          <w:rFonts w:hint="default" w:ascii="Times New Roman" w:hAnsi="Times New Roman" w:eastAsia="方正仿宋_GBK" w:cs="Times New Roman"/>
          <w:color w:val="auto"/>
          <w:sz w:val="32"/>
          <w:szCs w:val="32"/>
          <w:lang w:val="en-US" w:eastAsia="zh-CN"/>
        </w:rPr>
        <w:t>实现</w:t>
      </w:r>
      <w:r>
        <w:rPr>
          <w:rFonts w:hint="default" w:ascii="Times New Roman" w:hAnsi="Times New Roman" w:eastAsia="方正仿宋_GBK" w:cs="Times New Roman"/>
          <w:color w:val="auto"/>
          <w:sz w:val="32"/>
          <w:szCs w:val="32"/>
        </w:rPr>
        <w:t>交易</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消费。</w:t>
      </w:r>
    </w:p>
    <w:p w14:paraId="0665EBDD">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参与</w:t>
      </w:r>
      <w:r>
        <w:rPr>
          <w:rFonts w:hint="default" w:ascii="Times New Roman" w:hAnsi="Times New Roman" w:eastAsia="方正仿宋_GBK" w:cs="Times New Roman"/>
          <w:color w:val="auto"/>
          <w:sz w:val="32"/>
          <w:szCs w:val="32"/>
          <w:lang w:val="en-US" w:eastAsia="zh-CN"/>
        </w:rPr>
        <w:t>活动</w:t>
      </w:r>
      <w:r>
        <w:rPr>
          <w:rFonts w:hint="default" w:ascii="Times New Roman" w:hAnsi="Times New Roman" w:eastAsia="方正仿宋_GBK" w:cs="Times New Roman"/>
          <w:color w:val="auto"/>
          <w:sz w:val="32"/>
          <w:szCs w:val="32"/>
        </w:rPr>
        <w:t>门店支持受理服务平台支付，于公示后7日内与服务平台完成对接，</w:t>
      </w:r>
      <w:r>
        <w:rPr>
          <w:rFonts w:hint="default" w:ascii="Times New Roman" w:hAnsi="Times New Roman" w:eastAsia="方正仿宋_GBK" w:cs="Times New Roman"/>
          <w:color w:val="auto"/>
          <w:sz w:val="32"/>
          <w:szCs w:val="32"/>
          <w:lang w:val="en-US" w:eastAsia="zh-CN"/>
        </w:rPr>
        <w:t>3日内组织合作回收“参与单位”与“爱尚重庆”家电以旧换新回收平台完成对接。</w:t>
      </w:r>
      <w:r>
        <w:rPr>
          <w:rFonts w:hint="default" w:ascii="Times New Roman" w:hAnsi="Times New Roman" w:eastAsia="方正仿宋_GBK" w:cs="Times New Roman"/>
          <w:color w:val="auto"/>
          <w:sz w:val="32"/>
          <w:szCs w:val="32"/>
        </w:rPr>
        <w:t>积极配合政策实施部门和服务平台开展家电补贴政策宣传，并在收银台以明显方式露出</w:t>
      </w:r>
      <w:r>
        <w:rPr>
          <w:rFonts w:hint="default" w:ascii="Times New Roman" w:hAnsi="Times New Roman" w:eastAsia="方正仿宋_GBK" w:cs="Times New Roman"/>
          <w:color w:val="auto"/>
          <w:sz w:val="32"/>
          <w:szCs w:val="32"/>
          <w:lang w:val="en-US" w:eastAsia="zh-CN"/>
        </w:rPr>
        <w:t>参与补贴</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信息。承诺按照政策实施部门和服务平台要求在政策</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前</w:t>
      </w:r>
      <w:r>
        <w:rPr>
          <w:rFonts w:hint="default" w:ascii="Times New Roman" w:hAnsi="Times New Roman" w:eastAsia="方正仿宋_GBK" w:cs="Times New Roman"/>
          <w:color w:val="auto"/>
          <w:sz w:val="32"/>
          <w:szCs w:val="32"/>
          <w:lang w:val="en-US" w:eastAsia="zh-CN"/>
        </w:rPr>
        <w:t>系统性</w:t>
      </w:r>
      <w:r>
        <w:rPr>
          <w:rFonts w:hint="default" w:ascii="Times New Roman" w:hAnsi="Times New Roman" w:eastAsia="方正仿宋_GBK" w:cs="Times New Roman"/>
          <w:color w:val="auto"/>
          <w:sz w:val="32"/>
          <w:szCs w:val="32"/>
        </w:rPr>
        <w:t>对门店店员进行培训，确保店员能够正确回答消费者有关家电补贴政策的咨询，确保门店按时参与家电补贴政策，并在各门店内张贴布放相应的受理标识、海报等宣传广告物料。</w:t>
      </w:r>
    </w:p>
    <w:p w14:paraId="26EEEAC2">
      <w:pPr>
        <w:pageBreakBefore w:val="0"/>
        <w:numPr>
          <w:ilvl w:val="0"/>
          <w:numId w:val="0"/>
        </w:numPr>
        <w:tabs>
          <w:tab w:val="left" w:pos="312"/>
        </w:tabs>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承诺对主动提交规定范围内9类废弃家电产品并换购补贴范围内（11大类）任何一件新家电的消费者，提供上门免费拆旧、旧机折现等服务，并在剔除“参与单位”自身所有优惠折扣成交价基础上，承诺对以旧换新的消费者再叠加2%的优惠补贴（消费者与政府补贴政策同时享受）。</w:t>
      </w:r>
    </w:p>
    <w:p w14:paraId="519F39B9">
      <w:pPr>
        <w:pStyle w:val="4"/>
        <w:pageBreakBefore w:val="0"/>
        <w:numPr>
          <w:ilvl w:val="0"/>
          <w:numId w:val="0"/>
        </w:numPr>
        <w:kinsoku/>
        <w:wordWrap/>
        <w:overflowPunct/>
        <w:topLinePunct w:val="0"/>
        <w:autoSpaceDE/>
        <w:autoSpaceDN/>
        <w:bidi w:val="0"/>
        <w:adjustRightInd/>
        <w:snapToGrid/>
        <w:spacing w:before="0" w:beforeLines="0" w:after="0" w:afterLines="0" w:line="240" w:lineRule="auto"/>
        <w:ind w:firstLine="640" w:firstLineChars="200"/>
        <w:jc w:val="both"/>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color w:val="auto"/>
          <w:sz w:val="32"/>
          <w:szCs w:val="32"/>
          <w:lang w:val="en-US" w:eastAsia="zh-CN"/>
        </w:rPr>
        <w:t>6．承诺若发生退货情形，退换消费者的款项不包含补贴资金，且保证通过原支付渠道退还，若退货发生在财政补贴资金清算后，需及时将与退货相关联的财政补贴资金退还国库。</w:t>
      </w:r>
    </w:p>
    <w:p w14:paraId="32E5F945">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承诺做好</w:t>
      </w:r>
      <w:r>
        <w:rPr>
          <w:rFonts w:hint="default" w:ascii="Times New Roman" w:hAnsi="Times New Roman" w:eastAsia="方正仿宋_GBK" w:cs="Times New Roman"/>
          <w:color w:val="auto"/>
          <w:sz w:val="32"/>
          <w:szCs w:val="32"/>
          <w:lang w:val="en-US" w:eastAsia="zh-CN"/>
        </w:rPr>
        <w:t>享受家电补贴政策</w:t>
      </w:r>
      <w:r>
        <w:rPr>
          <w:rFonts w:hint="default" w:ascii="Times New Roman" w:hAnsi="Times New Roman" w:eastAsia="方正仿宋_GBK" w:cs="Times New Roman"/>
          <w:color w:val="auto"/>
          <w:sz w:val="32"/>
          <w:szCs w:val="32"/>
        </w:rPr>
        <w:t>消费者的服务和受理工作，不增设任何参加家电补贴政策附加条件，不降低服务水平和质量，不得以参与家电补贴政策为由拒绝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七天无理由退货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消费者合法诉求；除政策实施部门或服务平台另有要求外，不得擅自拒绝或限定时间段受理涉及家电补贴政策的交易。根据政策实施部门要求，规范家电补贴政策适用范围，杜绝各种套利行为。除政策实施部门要求外，</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不得自行规定家电补贴政策适用范围。</w:t>
      </w:r>
    </w:p>
    <w:p w14:paraId="43DB62EF">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承诺全力配合政策组织单位及服务平台</w:t>
      </w:r>
      <w:r>
        <w:rPr>
          <w:rFonts w:hint="default" w:ascii="Times New Roman" w:hAnsi="Times New Roman" w:eastAsia="方正仿宋_GBK" w:cs="Times New Roman"/>
          <w:color w:val="auto"/>
          <w:sz w:val="32"/>
          <w:szCs w:val="32"/>
          <w:lang w:val="en-US" w:eastAsia="zh-CN"/>
        </w:rPr>
        <w:t>落实</w:t>
      </w:r>
      <w:r>
        <w:rPr>
          <w:rFonts w:hint="default" w:ascii="Times New Roman" w:hAnsi="Times New Roman" w:eastAsia="方正仿宋_GBK" w:cs="Times New Roman"/>
          <w:color w:val="auto"/>
          <w:sz w:val="32"/>
          <w:szCs w:val="32"/>
        </w:rPr>
        <w:t>相关套利防控措施，严格审核消费者参与资格，预防并制止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黄牛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等恶意套利行为，对于疑似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黄牛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等企图套利人员采取警告、劝退、报警等及时有效的防控措施。若本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未落实</w:t>
      </w:r>
      <w:r>
        <w:rPr>
          <w:rFonts w:hint="default"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要求，将承担由此导致的资金损失。</w:t>
      </w:r>
    </w:p>
    <w:p w14:paraId="0600711F">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承诺不自行参与或要求、唆使、放任、授权本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员工、门店工作人员或任何其他第三方使用包括但不限于虚构交易、刷单、拆单等不正当方式套取家电补贴政策优惠。若本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员工或参与政策的门店涉嫌自行或者勾结外部人员从事前项套利行为的，本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将及时制止并采取充分补救及费用追偿措施，追偿范围包括所涉及的家电补贴政策资金以及政策实施部门和服务平台其他损失</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如律师费、调查费以及取证费用等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，并就相关情况及时告知政策实施部门及服务平台。</w:t>
      </w:r>
      <w:r>
        <w:rPr>
          <w:rFonts w:hint="default" w:ascii="Times New Roman" w:hAnsi="Times New Roman" w:eastAsia="方正仿宋_GBK" w:cs="Times New Roman"/>
          <w:color w:val="auto"/>
          <w:sz w:val="32"/>
          <w:szCs w:val="32"/>
          <w:lang w:val="en-US" w:eastAsia="zh-CN"/>
        </w:rPr>
        <w:t>对是否</w:t>
      </w:r>
      <w:r>
        <w:rPr>
          <w:rFonts w:hint="default" w:ascii="Times New Roman" w:hAnsi="Times New Roman" w:eastAsia="方正仿宋_GBK" w:cs="Times New Roman"/>
          <w:color w:val="auto"/>
          <w:sz w:val="32"/>
          <w:szCs w:val="32"/>
        </w:rPr>
        <w:t>同意相关套利行为的认定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以服务平台系统记录和判定规则为准。若服务平台发现有异常交易，本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同意全力配合查明情况并提供证据材料。</w:t>
      </w:r>
    </w:p>
    <w:p w14:paraId="33A4C268">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承诺诚信经营，不得采用包括但不限于先涨价后折扣等</w:t>
      </w:r>
    </w:p>
    <w:p w14:paraId="200D1EEF">
      <w:pPr>
        <w:pageBreakBefore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手段欺骗消费者。承诺提供的商品或服务内容符合国家法律法规和行业要求，对提供商品、服务的品质依法承担保证责任。</w:t>
      </w:r>
      <w:r>
        <w:rPr>
          <w:rFonts w:hint="default" w:ascii="Times New Roman" w:hAnsi="Times New Roman" w:eastAsia="方正仿宋_GBK" w:cs="Times New Roman"/>
          <w:color w:val="auto"/>
          <w:sz w:val="32"/>
          <w:szCs w:val="32"/>
          <w:lang w:eastAsia="zh-CN"/>
        </w:rPr>
        <w:t>承诺若自身出现违法违规等行为时，自动退出该补贴政策，并承担相应经济损失。</w:t>
      </w:r>
    </w:p>
    <w:p w14:paraId="703315FA">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提供的服务及产品问题或</w:t>
      </w:r>
      <w:r>
        <w:rPr>
          <w:rFonts w:hint="default" w:ascii="Times New Roman" w:hAnsi="Times New Roman" w:eastAsia="方正仿宋_GBK" w:cs="Times New Roman"/>
          <w:color w:val="auto"/>
          <w:sz w:val="32"/>
          <w:szCs w:val="32"/>
          <w:lang w:eastAsia="zh-CN"/>
        </w:rPr>
        <w:t>“参与单位”</w:t>
      </w:r>
      <w:r>
        <w:rPr>
          <w:rFonts w:hint="default" w:ascii="Times New Roman" w:hAnsi="Times New Roman" w:eastAsia="方正仿宋_GBK" w:cs="Times New Roman"/>
          <w:color w:val="auto"/>
          <w:sz w:val="32"/>
          <w:szCs w:val="32"/>
        </w:rPr>
        <w:t>政策门店未根据要求实施政策而引发的客户退换货、投诉和争议等，由本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负责解决，妥善安抚并依法赔偿消费者由此造成的相关损失，保护消费者权益。对于涉及本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的其他投诉及纠纷事宜，</w:t>
      </w: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第一时间主动配合关联方予以处理。若发生媒体投诉，将及时联络政策实施部门、服务平台相关工作人员，达成处置共识后，由双方按统一口径回应媒体，避免不良影响扩大化。</w:t>
      </w:r>
    </w:p>
    <w:p w14:paraId="0777ECD0">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承诺积极配合进行宣传推广：</w:t>
      </w:r>
    </w:p>
    <w:p w14:paraId="029A1874">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（1）政策实施期间，本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将提供电子屏/展架/台卡/店内语音播报/收银员导购员宣传等店内渠道开展全方位宣传，采用服务平台提供的统一宣传VI，同时加强面向老年人群的家电补贴政策宣传辅导。宣传广告位、点位等相关费用由</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自行承担。</w:t>
      </w:r>
    </w:p>
    <w:p w14:paraId="302B25D8">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（2）严格遵守政策实施部门及服务平台有关媒体宣传要求，未经许可，不得擅自使用政策实施部门及服务平台相关名称、标识和品牌。</w:t>
      </w:r>
    </w:p>
    <w:p w14:paraId="55FE8E90">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（3）授权政策实施部门和服务平台为本次政策实施之目的</w:t>
      </w:r>
    </w:p>
    <w:p w14:paraId="3EABF23C">
      <w:pPr>
        <w:pageBreakBefore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而</w:t>
      </w:r>
      <w:r>
        <w:rPr>
          <w:rFonts w:hint="default" w:ascii="Times New Roman" w:hAnsi="Times New Roman" w:eastAsia="方正仿宋_GBK" w:cs="Times New Roman"/>
          <w:color w:val="auto"/>
          <w:sz w:val="32"/>
          <w:szCs w:val="32"/>
        </w:rPr>
        <w:t>使用本公司商户名称、品牌及相关商标标识进行市场宣传和推广，并将配合提供相关VI规范。同时，经提前告知本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后，政策实施部门和服务平台可进一步将前述元素转授予本次政策实施的相关合作方、承办方使用。</w:t>
      </w:r>
    </w:p>
    <w:p w14:paraId="49857B90">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（4）补贴政策结束后，将根据政策实施部门和服务平台要求提供相关门店电子发票信息、宣传照片等材料，用于开展结项验收及审计</w:t>
      </w:r>
      <w:r>
        <w:rPr>
          <w:rFonts w:hint="default" w:ascii="Times New Roman" w:hAnsi="Times New Roman" w:eastAsia="方正仿宋_GBK" w:cs="Times New Roman"/>
          <w:color w:val="auto"/>
          <w:sz w:val="32"/>
          <w:szCs w:val="32"/>
          <w:lang w:val="en-US" w:eastAsia="zh-CN"/>
        </w:rPr>
        <w:t>清算</w:t>
      </w:r>
      <w:r>
        <w:rPr>
          <w:rFonts w:hint="default" w:ascii="Times New Roman" w:hAnsi="Times New Roman" w:eastAsia="方正仿宋_GBK" w:cs="Times New Roman"/>
          <w:color w:val="auto"/>
          <w:sz w:val="32"/>
          <w:szCs w:val="32"/>
        </w:rPr>
        <w:t>等工作。</w:t>
      </w:r>
    </w:p>
    <w:p w14:paraId="76A7282F">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承诺将积极配合政府部门以数据核查、第三方审计等方式进行</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审计监督等工作，包括但不限于及时提供参与家电补贴政策的交易具体消费清单、电子发票信息、资金明细、销售数据和退货数据明细等原始资料和财务凭证。</w:t>
      </w:r>
    </w:p>
    <w:p w14:paraId="27EFA790">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w:t>
      </w:r>
      <w:r>
        <w:rPr>
          <w:rFonts w:hint="default" w:ascii="Times New Roman" w:hAnsi="Times New Roman" w:eastAsia="方正仿宋_GBK" w:cs="Times New Roman"/>
          <w:color w:val="auto"/>
          <w:sz w:val="32"/>
          <w:szCs w:val="32"/>
          <w:lang w:val="en-US" w:eastAsia="zh-CN"/>
        </w:rPr>
        <w:t>当</w:t>
      </w:r>
      <w:r>
        <w:rPr>
          <w:rFonts w:hint="default" w:ascii="Times New Roman" w:hAnsi="Times New Roman" w:eastAsia="方正仿宋_GBK" w:cs="Times New Roman"/>
          <w:color w:val="auto"/>
          <w:sz w:val="32"/>
          <w:szCs w:val="32"/>
        </w:rPr>
        <w:t>老年人或困难群体在参与补贴政策过程中</w:t>
      </w:r>
      <w:r>
        <w:rPr>
          <w:rFonts w:hint="default" w:ascii="Times New Roman" w:hAnsi="Times New Roman" w:eastAsia="方正仿宋_GBK" w:cs="Times New Roman"/>
          <w:color w:val="auto"/>
          <w:sz w:val="32"/>
          <w:szCs w:val="32"/>
          <w:lang w:val="en-US" w:eastAsia="zh-CN"/>
        </w:rPr>
        <w:t>无法通过支付平台支付款项享受补贴政策时，安排专人</w:t>
      </w:r>
      <w:r>
        <w:rPr>
          <w:rFonts w:hint="default" w:ascii="Times New Roman" w:hAnsi="Times New Roman" w:eastAsia="方正仿宋_GBK" w:cs="Times New Roman"/>
          <w:color w:val="auto"/>
          <w:sz w:val="32"/>
          <w:szCs w:val="32"/>
        </w:rPr>
        <w:t>提供</w:t>
      </w:r>
      <w:r>
        <w:rPr>
          <w:rFonts w:hint="default" w:ascii="Times New Roman" w:hAnsi="Times New Roman" w:eastAsia="方正仿宋_GBK" w:cs="Times New Roman"/>
          <w:color w:val="auto"/>
          <w:sz w:val="32"/>
          <w:szCs w:val="32"/>
          <w:lang w:val="en-US" w:eastAsia="zh-CN"/>
        </w:rPr>
        <w:t>必要的耐心服务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帮助特殊群体享受补贴政策</w:t>
      </w:r>
      <w:r>
        <w:rPr>
          <w:rFonts w:hint="default" w:ascii="Times New Roman" w:hAnsi="Times New Roman" w:eastAsia="方正仿宋_GBK" w:cs="Times New Roman"/>
          <w:color w:val="auto"/>
          <w:sz w:val="32"/>
          <w:szCs w:val="32"/>
        </w:rPr>
        <w:t>。</w:t>
      </w:r>
    </w:p>
    <w:p w14:paraId="3E272A8A">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承诺指定专人负责处理包括但不限于日常沟通、宣传推广、客户投诉等家电补贴政策中涉及的各项事宜。</w:t>
      </w:r>
    </w:p>
    <w:p w14:paraId="793400B1">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部门/职务：                                            </w:t>
      </w:r>
    </w:p>
    <w:p w14:paraId="123420B0">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联 系 人：                                             </w:t>
      </w:r>
    </w:p>
    <w:p w14:paraId="423D9333">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联系电话： </w:t>
      </w:r>
    </w:p>
    <w:p w14:paraId="7149476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知晓并同意，如违反以上任何承诺，政策实施部门和服务平台有权随时取消本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所有门店参与政策的资格,并丧失后续参与家电补贴政策的资格，且本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同意政策实施部门和服务平台可进一步采取包括但不限于以下任一或同时采取以下全部措施，追究本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相关违约责任：</w:t>
      </w:r>
    </w:p>
    <w:p w14:paraId="2213BDB4">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（1）要求本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全额退还经政策实施部门和服务平台认定的违约行为所涉家电补贴政策资金。</w:t>
      </w:r>
    </w:p>
    <w:p w14:paraId="3D50F782">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（2）要求本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赔偿违约行为所导致的一切损失。</w:t>
      </w:r>
    </w:p>
    <w:p w14:paraId="59C49431">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（3）政策实施部门有权会同相关部门将本</w:t>
      </w: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依法列入不诚信单位名单。</w:t>
      </w:r>
    </w:p>
    <w:p w14:paraId="1257B530">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14:paraId="337431C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本函自落款之日起生效，并持续有效。</w:t>
      </w:r>
    </w:p>
    <w:p w14:paraId="5368F83D">
      <w:pPr>
        <w:pStyle w:val="4"/>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Times New Roman" w:hAnsi="Times New Roman" w:eastAsia="方正仿宋_GBK" w:cs="Times New Roman"/>
        </w:rPr>
      </w:pPr>
    </w:p>
    <w:p w14:paraId="0D3D33DC">
      <w:pPr>
        <w:pageBreakBefore w:val="0"/>
        <w:kinsoku/>
        <w:wordWrap/>
        <w:overflowPunct/>
        <w:topLinePunct w:val="0"/>
        <w:autoSpaceDE/>
        <w:autoSpaceDN/>
        <w:bidi w:val="0"/>
        <w:adjustRightInd/>
        <w:snapToGrid/>
        <w:spacing w:beforeLines="0" w:afterLines="0" w:line="240" w:lineRule="auto"/>
        <w:ind w:firstLine="4163" w:firstLineChars="130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“参与单位”</w:t>
      </w:r>
      <w:r>
        <w:rPr>
          <w:rFonts w:hint="default" w:ascii="Times New Roman" w:hAnsi="Times New Roman" w:eastAsia="方正仿宋_GBK" w:cs="Times New Roman"/>
          <w:color w:val="auto"/>
          <w:sz w:val="32"/>
          <w:szCs w:val="32"/>
        </w:rPr>
        <w:t xml:space="preserve">名称（盖章）：             </w:t>
      </w:r>
    </w:p>
    <w:p w14:paraId="4A58BE3C">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法定代表人（签字）：</w:t>
      </w:r>
      <w:r>
        <w:rPr>
          <w:rFonts w:hint="default" w:ascii="Times New Roman" w:hAnsi="Times New Roman" w:eastAsia="方正仿宋_GBK" w:cs="Times New Roman"/>
          <w:color w:val="auto"/>
        </w:rPr>
        <w:t xml:space="preserve"> </w:t>
      </w:r>
    </w:p>
    <w:p w14:paraId="1DDFED92">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 xml:space="preserve">                    　　　　　　　　    </w:t>
      </w:r>
      <w:r>
        <w:rPr>
          <w:rFonts w:hint="default" w:ascii="Times New Roman" w:hAnsi="Times New Roman" w:eastAsia="方正仿宋_GBK" w:cs="Times New Roman"/>
          <w:color w:val="auto"/>
          <w:sz w:val="32"/>
          <w:szCs w:val="32"/>
          <w:lang w:val="en-US" w:eastAsia="zh-CN"/>
        </w:rPr>
        <w:t>2024年  月  日</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rPr>
        <w:t xml:space="preserve">     </w:t>
      </w:r>
    </w:p>
    <w:p w14:paraId="1764F631">
      <w:pPr>
        <w:spacing w:line="600" w:lineRule="exact"/>
        <w:ind w:firstLine="645"/>
        <w:rPr>
          <w:rFonts w:hint="default" w:ascii="Times New Roman" w:hAnsi="Times New Roman" w:eastAsia="方正仿宋_GBK" w:cs="Times New Roman"/>
          <w:color w:val="auto"/>
        </w:rPr>
      </w:pPr>
    </w:p>
    <w:p w14:paraId="47F8EAF1">
      <w:pPr>
        <w:spacing w:line="600" w:lineRule="exact"/>
        <w:ind w:firstLine="0"/>
        <w:rPr>
          <w:rFonts w:hint="default" w:ascii="Times New Roman" w:hAnsi="Times New Roman" w:eastAsia="方正仿宋_GBK" w:cs="Times New Roman"/>
          <w:color w:val="auto"/>
        </w:rPr>
        <w:sectPr>
          <w:footerReference r:id="rId3" w:type="default"/>
          <w:pgSz w:w="11906" w:h="16838"/>
          <w:pgMar w:top="2098" w:right="1531" w:bottom="1984" w:left="1531" w:header="720" w:footer="1474" w:gutter="0"/>
          <w:cols w:space="720" w:num="1"/>
          <w:rtlGutter w:val="1"/>
          <w:docGrid w:type="linesAndChars" w:linePitch="579" w:charSpace="-200"/>
        </w:sectPr>
      </w:pPr>
    </w:p>
    <w:p w14:paraId="2124AE3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9F7D1">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9600" cy="262890"/>
              <wp:effectExtent l="0" t="0" r="0" b="0"/>
              <wp:wrapNone/>
              <wp:docPr id="1" name="矩形 1"/>
              <wp:cNvGraphicFramePr/>
              <a:graphic xmlns:a="http://schemas.openxmlformats.org/drawingml/2006/main">
                <a:graphicData uri="http://schemas.microsoft.com/office/word/2010/wordprocessingShape">
                  <wps:wsp>
                    <wps:cNvSpPr/>
                    <wps:spPr>
                      <a:xfrm>
                        <a:off x="0" y="0"/>
                        <a:ext cx="609600" cy="263143"/>
                      </a:xfrm>
                      <a:prstGeom prst="rect">
                        <a:avLst/>
                      </a:prstGeom>
                      <a:noFill/>
                      <a:ln w="9525" cap="flat" cmpd="sng">
                        <a:noFill/>
                        <a:prstDash val="solid"/>
                        <a:round/>
                      </a:ln>
                      <a:effectLst/>
                    </wps:spPr>
                    <wps:txbx>
                      <w:txbxContent>
                        <w:p w14:paraId="3E30D9D5">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0.7pt;width:48pt;mso-position-horizontal:outside;mso-position-horizontal-relative:margin;mso-wrap-style:none;z-index:251659264;mso-width-relative:page;mso-height-relative:page;" filled="f" stroked="f" coordsize="21600,21600" o:gfxdata="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P5060QAAAAMBAAAPAAAAAAAAAAEAIAAAACIAAABkcnMvZG93bnJl&#10;di54bWxQSwECFAAUAAAACACHTuJAOFYdzAQCAAD/AwAADgAAAAAAAAABACAAAAAgAQAAZHJzL2Uy&#10;b0RvYy54bWxQSwUGAAAAAAYABgBZAQAAlgUAAAAA&#10;">
              <v:path/>
              <v:fill on="f" focussize="0,0"/>
              <v:stroke on="f" joinstyle="round"/>
              <v:imagedata o:title=""/>
              <o:lock v:ext="edit" aspectratio="f"/>
              <v:textbox inset="0mm,0mm,0mm,0mm" style="mso-fit-shape-to-text:t;">
                <w:txbxContent>
                  <w:p w14:paraId="3E30D9D5">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DJhZWNkY2Q0NDRhOWZmMjIzNzA3YjExODRjNTMifQ=="/>
  </w:docVars>
  <w:rsids>
    <w:rsidRoot w:val="3FCF154C"/>
    <w:rsid w:val="3FCF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4"/>
    <w:basedOn w:val="3"/>
    <w:next w:val="1"/>
    <w:qFormat/>
    <w:uiPriority w:val="0"/>
    <w:pPr>
      <w:keepNext/>
      <w:keepLines/>
      <w:widowControl w:val="0"/>
      <w:spacing w:before="280" w:after="290" w:line="376" w:lineRule="atLeast"/>
      <w:outlineLvl w:val="3"/>
    </w:pPr>
    <w:rPr>
      <w:rFonts w:ascii="Times New Roman" w:hAnsi="Times New Roman" w:eastAsia="宋体" w:cs="Times New Roman"/>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pPr>
    <w:rPr>
      <w:sz w:val="18"/>
      <w:szCs w:val="18"/>
    </w:rPr>
  </w:style>
  <w:style w:type="paragraph" w:customStyle="1" w:styleId="7">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2024-08-19T08:37:00Z</dcterms:created>
  <dc:creator>w</dc:creator>
  <cp:lastModifiedBy>w</cp:lastModifiedBy>
  <dcterms:modified xsi:type="dcterms:W3CDTF">2024-08-19T08:38:55Z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341DA6B7DDAE4F4C86E65B899E52C7F2_11</vt:lpwstr>
  </property>
</Properties>
</file>