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pPr>
      <w:bookmarkStart w:id="1" w:name="_GoBack"/>
      <w:r>
        <w:rPr>
          <w:rFonts w:hint="eastAsia" w:ascii="方正小标宋_GBK" w:hAnsi="方正小标宋_GBK" w:eastAsia="方正小标宋_GBK" w:cs="方正小标宋_GBK"/>
          <w:sz w:val="44"/>
          <w:szCs w:val="44"/>
        </w:rPr>
        <w:t>国土空间规划领域政务公开标准目录</w:t>
      </w:r>
    </w:p>
    <w:bookmarkEnd w:id="1"/>
    <w:tbl>
      <w:tblPr>
        <w:tblStyle w:val="12"/>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5"/>
        <w:gridCol w:w="720"/>
        <w:gridCol w:w="288"/>
        <w:gridCol w:w="12"/>
        <w:gridCol w:w="15"/>
        <w:gridCol w:w="965"/>
        <w:gridCol w:w="2126"/>
        <w:gridCol w:w="1985"/>
        <w:gridCol w:w="850"/>
        <w:gridCol w:w="851"/>
        <w:gridCol w:w="2410"/>
        <w:gridCol w:w="567"/>
        <w:gridCol w:w="567"/>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23" w:hRule="atLeast"/>
          <w:tblHeader/>
        </w:trPr>
        <w:tc>
          <w:tcPr>
            <w:tcW w:w="405" w:type="dxa"/>
            <w:vMerge w:val="restart"/>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bookmarkStart w:id="0" w:name="_Hlk51855584"/>
            <w:r>
              <w:rPr>
                <w:rFonts w:hint="eastAsia" w:ascii="方正黑体_GBK" w:hAnsi="方正黑体_GBK" w:eastAsia="方正黑体_GBK" w:cs="方正黑体_GBK"/>
                <w:color w:val="000000"/>
                <w:kern w:val="0"/>
                <w:sz w:val="18"/>
                <w:szCs w:val="18"/>
              </w:rPr>
              <w:t>序 号</w:t>
            </w:r>
          </w:p>
        </w:tc>
        <w:tc>
          <w:tcPr>
            <w:tcW w:w="2000" w:type="dxa"/>
            <w:gridSpan w:val="5"/>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公开事项</w:t>
            </w:r>
          </w:p>
        </w:tc>
        <w:tc>
          <w:tcPr>
            <w:tcW w:w="2126" w:type="dxa"/>
            <w:vMerge w:val="restart"/>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公开内容（要素）</w:t>
            </w:r>
          </w:p>
        </w:tc>
        <w:tc>
          <w:tcPr>
            <w:tcW w:w="1985" w:type="dxa"/>
            <w:vMerge w:val="restart"/>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公开依据</w:t>
            </w:r>
          </w:p>
        </w:tc>
        <w:tc>
          <w:tcPr>
            <w:tcW w:w="850" w:type="dxa"/>
            <w:vMerge w:val="restart"/>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w:t>
            </w:r>
          </w:p>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时限</w:t>
            </w:r>
          </w:p>
        </w:tc>
        <w:tc>
          <w:tcPr>
            <w:tcW w:w="851" w:type="dxa"/>
            <w:vMerge w:val="restart"/>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w:t>
            </w:r>
          </w:p>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主体</w:t>
            </w:r>
          </w:p>
        </w:tc>
        <w:tc>
          <w:tcPr>
            <w:tcW w:w="2410" w:type="dxa"/>
            <w:vMerge w:val="restart"/>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公开渠道和载体</w:t>
            </w:r>
          </w:p>
        </w:tc>
        <w:tc>
          <w:tcPr>
            <w:tcW w:w="1134" w:type="dxa"/>
            <w:gridSpan w:val="2"/>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公开对象</w:t>
            </w:r>
          </w:p>
        </w:tc>
        <w:tc>
          <w:tcPr>
            <w:tcW w:w="1417" w:type="dxa"/>
            <w:gridSpan w:val="2"/>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公开方式</w:t>
            </w:r>
          </w:p>
        </w:tc>
        <w:tc>
          <w:tcPr>
            <w:tcW w:w="1276" w:type="dxa"/>
            <w:gridSpan w:val="2"/>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67" w:hRule="atLeast"/>
          <w:tblHeader/>
        </w:trPr>
        <w:tc>
          <w:tcPr>
            <w:tcW w:w="405" w:type="dxa"/>
            <w:vMerge w:val="continue"/>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720" w:type="dxa"/>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一级</w:t>
            </w:r>
          </w:p>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事项</w:t>
            </w:r>
          </w:p>
        </w:tc>
        <w:tc>
          <w:tcPr>
            <w:tcW w:w="1280" w:type="dxa"/>
            <w:gridSpan w:val="4"/>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二级</w:t>
            </w:r>
          </w:p>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事项</w:t>
            </w:r>
          </w:p>
        </w:tc>
        <w:tc>
          <w:tcPr>
            <w:tcW w:w="2126" w:type="dxa"/>
            <w:vMerge w:val="continue"/>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1985" w:type="dxa"/>
            <w:vMerge w:val="continue"/>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850" w:type="dxa"/>
            <w:vMerge w:val="continue"/>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851" w:type="dxa"/>
            <w:vMerge w:val="continue"/>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2410" w:type="dxa"/>
            <w:vMerge w:val="continue"/>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567" w:type="dxa"/>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全社 会</w:t>
            </w:r>
          </w:p>
        </w:tc>
        <w:tc>
          <w:tcPr>
            <w:tcW w:w="567" w:type="dxa"/>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特定 群体</w:t>
            </w:r>
          </w:p>
        </w:tc>
        <w:tc>
          <w:tcPr>
            <w:tcW w:w="708" w:type="dxa"/>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主动</w:t>
            </w:r>
          </w:p>
        </w:tc>
        <w:tc>
          <w:tcPr>
            <w:tcW w:w="709" w:type="dxa"/>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依申请公开</w:t>
            </w:r>
          </w:p>
        </w:tc>
        <w:tc>
          <w:tcPr>
            <w:tcW w:w="567" w:type="dxa"/>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县级</w:t>
            </w:r>
          </w:p>
        </w:tc>
        <w:tc>
          <w:tcPr>
            <w:tcW w:w="709" w:type="dxa"/>
            <w:shd w:val="clear" w:color="auto" w:fill="FFFFFF"/>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40" w:hRule="atLeast"/>
        </w:trPr>
        <w:tc>
          <w:tcPr>
            <w:tcW w:w="405"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1</w:t>
            </w:r>
          </w:p>
        </w:tc>
        <w:tc>
          <w:tcPr>
            <w:tcW w:w="720" w:type="dxa"/>
            <w:vMerge w:val="restart"/>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公共服务</w:t>
            </w:r>
          </w:p>
        </w:tc>
        <w:tc>
          <w:tcPr>
            <w:tcW w:w="1280" w:type="dxa"/>
            <w:gridSpan w:val="4"/>
            <w:shd w:val="clear" w:color="auto" w:fill="FFFFFF"/>
            <w:vAlign w:val="center"/>
          </w:tcPr>
          <w:p>
            <w:pPr>
              <w:overflowPunct w:val="0"/>
              <w:snapToGrid w:val="0"/>
              <w:spacing w:line="200" w:lineRule="exact"/>
              <w:jc w:val="center"/>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法规文件</w:t>
            </w:r>
          </w:p>
        </w:tc>
        <w:tc>
          <w:tcPr>
            <w:tcW w:w="2126"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城乡规划领域相关法律、法规、规章、规范性文件</w:t>
            </w:r>
          </w:p>
        </w:tc>
        <w:tc>
          <w:tcPr>
            <w:tcW w:w="1985"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1.《中华人民共和国城乡规划法》；2.《中华人民共 和国政府信息公开条例》。</w:t>
            </w:r>
          </w:p>
        </w:tc>
        <w:tc>
          <w:tcPr>
            <w:tcW w:w="850"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信息形成 或者变更之日起20个工作日内</w:t>
            </w:r>
          </w:p>
        </w:tc>
        <w:tc>
          <w:tcPr>
            <w:tcW w:w="851"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自然资源</w:t>
            </w:r>
          </w:p>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主管部门</w:t>
            </w:r>
          </w:p>
        </w:tc>
        <w:tc>
          <w:tcPr>
            <w:tcW w:w="2410" w:type="dxa"/>
            <w:shd w:val="clear" w:color="auto" w:fill="FFFFFF"/>
            <w:vAlign w:val="center"/>
          </w:tcPr>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■政府门户网站  口政府公报</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■政务新媒体  □发布会/听证会</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口广播电视  ■纸质载体</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■公开查阅点■政府服务中心</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口便民服务站□入户/现场</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口社区/企事业单位/村公示栏（电子屏）</w:t>
            </w:r>
          </w:p>
          <w:p>
            <w:pPr>
              <w:overflowPunct w:val="0"/>
              <w:snapToGrid w:val="0"/>
              <w:spacing w:line="200" w:lineRule="exact"/>
              <w:rPr>
                <w:rFonts w:ascii="方正书宋_GBK" w:hAnsi="Times New Roman" w:eastAsia="方正书宋_GBK" w:cs="Times New Roman"/>
                <w:color w:val="000000"/>
                <w:kern w:val="0"/>
                <w:sz w:val="18"/>
                <w:szCs w:val="18"/>
                <w:lang w:val="zh-TW" w:bidi="zh-TW"/>
              </w:rPr>
            </w:pPr>
            <w:r>
              <w:rPr>
                <w:rFonts w:hint="eastAsia" w:ascii="方正书宋_GBK" w:hAnsi="Times New Roman" w:eastAsia="方正书宋_GBK" w:cs="Times New Roman"/>
                <w:color w:val="000000"/>
                <w:kern w:val="0"/>
                <w:sz w:val="18"/>
                <w:szCs w:val="18"/>
                <w:lang w:val="zh-TW" w:bidi="zh-TW"/>
              </w:rPr>
              <w:t>口精准推送  口其他</w:t>
            </w:r>
          </w:p>
        </w:tc>
        <w:tc>
          <w:tcPr>
            <w:tcW w:w="567"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w:t>
            </w:r>
          </w:p>
        </w:tc>
        <w:tc>
          <w:tcPr>
            <w:tcW w:w="567" w:type="dxa"/>
            <w:shd w:val="clear" w:color="auto" w:fill="FFFFFF"/>
          </w:tcPr>
          <w:p>
            <w:pPr>
              <w:overflowPunct w:val="0"/>
              <w:snapToGrid w:val="0"/>
              <w:spacing w:line="200" w:lineRule="exact"/>
              <w:jc w:val="left"/>
              <w:rPr>
                <w:rFonts w:ascii="方正书宋_GBK" w:hAnsi="方正黑体_GBK" w:eastAsia="方正书宋_GBK" w:cs="方正黑体_GBK"/>
                <w:color w:val="000000"/>
                <w:kern w:val="0"/>
                <w:sz w:val="18"/>
                <w:szCs w:val="18"/>
              </w:rPr>
            </w:pPr>
          </w:p>
        </w:tc>
        <w:tc>
          <w:tcPr>
            <w:tcW w:w="708"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w:t>
            </w:r>
          </w:p>
        </w:tc>
        <w:tc>
          <w:tcPr>
            <w:tcW w:w="709" w:type="dxa"/>
            <w:shd w:val="clear" w:color="auto" w:fill="FFFFFF"/>
          </w:tcPr>
          <w:p>
            <w:pPr>
              <w:overflowPunct w:val="0"/>
              <w:snapToGrid w:val="0"/>
              <w:spacing w:line="200" w:lineRule="exact"/>
              <w:jc w:val="left"/>
              <w:rPr>
                <w:rFonts w:ascii="方正书宋_GBK" w:hAnsi="方正黑体_GBK" w:eastAsia="方正书宋_GBK" w:cs="方正黑体_GBK"/>
                <w:color w:val="000000"/>
                <w:kern w:val="0"/>
                <w:sz w:val="18"/>
                <w:szCs w:val="18"/>
              </w:rPr>
            </w:pPr>
          </w:p>
        </w:tc>
        <w:tc>
          <w:tcPr>
            <w:tcW w:w="567"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w:t>
            </w:r>
          </w:p>
        </w:tc>
        <w:tc>
          <w:tcPr>
            <w:tcW w:w="709" w:type="dxa"/>
            <w:shd w:val="clear" w:color="auto" w:fill="FFFFFF"/>
            <w:vAlign w:val="center"/>
          </w:tcPr>
          <w:p>
            <w:pPr>
              <w:overflowPunct w:val="0"/>
              <w:snapToGrid w:val="0"/>
              <w:spacing w:line="200" w:lineRule="exact"/>
              <w:jc w:val="left"/>
              <w:rPr>
                <w:rFonts w:ascii="方正书宋_GBK" w:hAnsi="方正黑体_GBK" w:eastAsia="方正书宋_GBK" w:cs="方正黑体_GBK"/>
                <w:color w:val="000000"/>
                <w:kern w:val="0"/>
                <w:sz w:val="18"/>
                <w:szCs w:val="18"/>
              </w:rPr>
            </w:pPr>
            <w:r>
              <w:rPr>
                <w:rFonts w:hint="eastAsia" w:ascii="方正书宋_GBK" w:hAnsi="方正黑体_GBK" w:eastAsia="方正书宋_GBK" w:cs="方正黑体_GBK"/>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73" w:hRule="atLeast"/>
        </w:trPr>
        <w:tc>
          <w:tcPr>
            <w:tcW w:w="405" w:type="dxa"/>
            <w:shd w:val="clear" w:color="auto" w:fill="FFFFFF"/>
            <w:vAlign w:val="center"/>
          </w:tcPr>
          <w:p>
            <w:pPr>
              <w:pStyle w:val="35"/>
              <w:spacing w:line="280" w:lineRule="exact"/>
              <w:jc w:val="center"/>
              <w:rPr>
                <w:rFonts w:ascii="方正书宋_GBK" w:hAnsi="Times New Roman" w:eastAsia="方正书宋_GBK" w:cs="Times New Roman"/>
                <w:sz w:val="18"/>
                <w:szCs w:val="18"/>
                <w:lang w:val="en-US" w:eastAsia="zh-CN"/>
              </w:rPr>
            </w:pPr>
            <w:r>
              <w:rPr>
                <w:rFonts w:hint="eastAsia" w:ascii="方正书宋_GBK" w:hAnsi="Times New Roman" w:eastAsia="方正书宋_GBK" w:cs="Times New Roman"/>
                <w:sz w:val="18"/>
                <w:szCs w:val="18"/>
                <w:lang w:val="en-US" w:eastAsia="zh-CN"/>
              </w:rPr>
              <w:t>2</w:t>
            </w:r>
          </w:p>
        </w:tc>
        <w:tc>
          <w:tcPr>
            <w:tcW w:w="720" w:type="dxa"/>
            <w:vMerge w:val="continue"/>
            <w:shd w:val="clear" w:color="auto" w:fill="FFFFFF"/>
            <w:vAlign w:val="center"/>
          </w:tcPr>
          <w:p>
            <w:pPr>
              <w:spacing w:line="280" w:lineRule="exact"/>
              <w:jc w:val="center"/>
              <w:rPr>
                <w:rFonts w:ascii="方正书宋_GBK" w:hAnsi="Times New Roman" w:eastAsia="方正书宋_GBK"/>
                <w:sz w:val="18"/>
                <w:szCs w:val="18"/>
              </w:rPr>
            </w:pPr>
          </w:p>
        </w:tc>
        <w:tc>
          <w:tcPr>
            <w:tcW w:w="1280" w:type="dxa"/>
            <w:gridSpan w:val="4"/>
            <w:shd w:val="clear" w:color="auto" w:fill="FFFFFF"/>
            <w:vAlign w:val="center"/>
          </w:tcPr>
          <w:p>
            <w:pPr>
              <w:pStyle w:val="35"/>
              <w:spacing w:line="302"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政民互动</w:t>
            </w:r>
          </w:p>
        </w:tc>
        <w:tc>
          <w:tcPr>
            <w:tcW w:w="2126" w:type="dxa"/>
            <w:shd w:val="clear" w:color="auto" w:fill="FFFFFF"/>
            <w:vAlign w:val="center"/>
          </w:tcPr>
          <w:p>
            <w:pPr>
              <w:pStyle w:val="35"/>
              <w:spacing w:line="312" w:lineRule="exact"/>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城乡规划事项的意见征集、咨询、</w:t>
            </w:r>
            <w:r>
              <w:rPr>
                <w:rFonts w:hint="eastAsia" w:ascii="方正书宋_GBK" w:hAnsi="Times New Roman" w:eastAsia="方正书宋_GBK" w:cs="Times New Roman"/>
                <w:color w:val="000000"/>
                <w:sz w:val="18"/>
                <w:szCs w:val="18"/>
                <w:lang w:eastAsia="zh-CN"/>
              </w:rPr>
              <w:t>建议</w:t>
            </w:r>
            <w:r>
              <w:rPr>
                <w:rFonts w:hint="eastAsia" w:ascii="方正书宋_GBK" w:hAnsi="Times New Roman" w:eastAsia="方正书宋_GBK" w:cs="Times New Roman"/>
                <w:color w:val="000000"/>
                <w:sz w:val="18"/>
                <w:szCs w:val="18"/>
              </w:rPr>
              <w:t>等</w:t>
            </w:r>
          </w:p>
        </w:tc>
        <w:tc>
          <w:tcPr>
            <w:tcW w:w="1985" w:type="dxa"/>
            <w:shd w:val="clear" w:color="auto" w:fill="FFFFFF"/>
            <w:vAlign w:val="center"/>
          </w:tcPr>
          <w:p>
            <w:pPr>
              <w:pStyle w:val="35"/>
              <w:jc w:val="both"/>
              <w:rPr>
                <w:rFonts w:ascii="方正书宋_GBK" w:hAnsi="Times New Roman" w:eastAsia="方正书宋_GBK" w:cs="Times New Roman"/>
                <w:sz w:val="18"/>
                <w:szCs w:val="18"/>
                <w:lang w:eastAsia="zh-CN"/>
              </w:rPr>
            </w:pP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240" w:lineRule="auto"/>
              <w:jc w:val="center"/>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实时公开</w:t>
            </w:r>
          </w:p>
        </w:tc>
        <w:tc>
          <w:tcPr>
            <w:tcW w:w="851" w:type="dxa"/>
            <w:shd w:val="clear" w:color="auto" w:fill="FFFFFF"/>
            <w:vAlign w:val="center"/>
          </w:tcPr>
          <w:p>
            <w:pPr>
              <w:pStyle w:val="35"/>
              <w:spacing w:line="312"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自然资源</w:t>
            </w:r>
          </w:p>
          <w:p>
            <w:pPr>
              <w:pStyle w:val="35"/>
              <w:spacing w:line="312"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lang w:eastAsia="zh-CN"/>
              </w:rPr>
              <w:t>主</w:t>
            </w:r>
            <w:r>
              <w:rPr>
                <w:rFonts w:hint="eastAsia" w:ascii="方正书宋_GBK" w:hAnsi="Times New Roman" w:eastAsia="方正书宋_GBK" w:cs="Times New Roman"/>
                <w:color w:val="000000"/>
                <w:sz w:val="18"/>
                <w:szCs w:val="18"/>
              </w:rPr>
              <w:t>管部门</w:t>
            </w:r>
          </w:p>
        </w:tc>
        <w:tc>
          <w:tcPr>
            <w:tcW w:w="2410" w:type="dxa"/>
            <w:shd w:val="clear" w:color="auto" w:fill="FFFFFF"/>
            <w:vAlign w:val="center"/>
          </w:tcPr>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■政府门户网站  □政府公报</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■政务新媒体  ■发布会/听证会</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■广播电视  口纸质载体</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■公开査阅点■政府服务中心</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 xml:space="preserve">口便民服务站■入户/现场 </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口社区/企事业单位/村公示栏（电子屏）</w:t>
            </w:r>
          </w:p>
          <w:p>
            <w:pPr>
              <w:pStyle w:val="35"/>
              <w:spacing w:line="29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口精准推送  口其他</w:t>
            </w:r>
            <w:r>
              <w:rPr>
                <w:rFonts w:hint="eastAsia" w:ascii="方正书宋_GBK" w:hAnsi="Times New Roman" w:eastAsia="方正书宋_GBK" w:cs="Times New Roman"/>
                <w:color w:val="000000"/>
                <w:sz w:val="18"/>
                <w:szCs w:val="18"/>
                <w:lang w:eastAsia="zh-CN"/>
              </w:rPr>
              <w:tab/>
            </w:r>
          </w:p>
        </w:tc>
        <w:tc>
          <w:tcPr>
            <w:tcW w:w="567" w:type="dxa"/>
            <w:shd w:val="clear" w:color="auto" w:fill="FFFFFF"/>
            <w:vAlign w:val="center"/>
          </w:tcPr>
          <w:p>
            <w:pPr>
              <w:pStyle w:val="35"/>
              <w:spacing w:line="240" w:lineRule="auto"/>
              <w:jc w:val="center"/>
              <w:rPr>
                <w:rFonts w:ascii="方正书宋_GBK" w:hAnsi="Times New Roman" w:eastAsia="方正书宋_GBK" w:cs="Times New Roman"/>
                <w:sz w:val="18"/>
                <w:szCs w:val="18"/>
              </w:rPr>
            </w:pPr>
            <w:r>
              <w:rPr>
                <w:rFonts w:hint="eastAsia" w:ascii="方正书宋_GBK" w:hAnsi="Times New Roman" w:eastAsia="方正书宋_GBK" w:cs="Times New Roman"/>
                <w:b/>
                <w:bCs/>
                <w:color w:val="000000"/>
                <w:sz w:val="18"/>
                <w:szCs w:val="18"/>
              </w:rPr>
              <w:t>√</w:t>
            </w:r>
          </w:p>
        </w:tc>
        <w:tc>
          <w:tcPr>
            <w:tcW w:w="567" w:type="dxa"/>
            <w:shd w:val="clear" w:color="auto" w:fill="FFFFFF"/>
          </w:tcPr>
          <w:p>
            <w:pPr>
              <w:pStyle w:val="35"/>
              <w:spacing w:line="312" w:lineRule="exact"/>
              <w:jc w:val="center"/>
              <w:rPr>
                <w:rFonts w:ascii="方正书宋_GBK" w:hAnsi="Times New Roman" w:eastAsia="方正书宋_GBK" w:cs="Times New Roman"/>
                <w:color w:val="000000"/>
                <w:sz w:val="18"/>
                <w:szCs w:val="18"/>
              </w:rPr>
            </w:pPr>
          </w:p>
        </w:tc>
        <w:tc>
          <w:tcPr>
            <w:tcW w:w="708" w:type="dxa"/>
            <w:shd w:val="clear" w:color="auto" w:fill="FFFFFF"/>
            <w:vAlign w:val="center"/>
          </w:tcPr>
          <w:p>
            <w:pPr>
              <w:pStyle w:val="35"/>
              <w:spacing w:line="240" w:lineRule="auto"/>
              <w:jc w:val="center"/>
              <w:rPr>
                <w:rFonts w:ascii="方正书宋_GBK" w:hAnsi="Times New Roman" w:eastAsia="方正书宋_GBK" w:cs="Times New Roman"/>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tcPr>
          <w:p>
            <w:pPr>
              <w:pStyle w:val="35"/>
              <w:spacing w:line="312" w:lineRule="exact"/>
              <w:jc w:val="center"/>
              <w:rPr>
                <w:rFonts w:ascii="方正书宋_GBK" w:hAnsi="Times New Roman" w:eastAsia="方正书宋_GBK" w:cs="Times New Roman"/>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vAlign w:val="center"/>
          </w:tcPr>
          <w:p>
            <w:pPr>
              <w:pStyle w:val="35"/>
              <w:spacing w:line="312"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3</w:t>
            </w:r>
          </w:p>
        </w:tc>
        <w:tc>
          <w:tcPr>
            <w:tcW w:w="720" w:type="dxa"/>
            <w:vMerge w:val="continue"/>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办事服务</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行政许可的事项、依据、 条件、数量、 程序、期限以及申请行 政许可需要提交的全部材料目录</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rPr>
              <w:t>《中华人民共 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实时公开</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92"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政府公报</w:t>
            </w:r>
          </w:p>
          <w:p>
            <w:pPr>
              <w:pStyle w:val="35"/>
              <w:spacing w:line="292"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发布会/听</w:t>
            </w:r>
            <w:r>
              <w:rPr>
                <w:rFonts w:hint="eastAsia" w:ascii="方正书宋_GBK" w:hAnsi="Times New Roman" w:eastAsia="方正书宋_GBK" w:cs="Times New Roman"/>
                <w:color w:val="000000"/>
                <w:sz w:val="18"/>
                <w:szCs w:val="18"/>
                <w:lang w:val="en-US" w:eastAsia="zh-CN"/>
              </w:rPr>
              <w:t>证</w:t>
            </w:r>
            <w:r>
              <w:rPr>
                <w:rFonts w:hint="eastAsia" w:ascii="方正书宋_GBK" w:hAnsi="Times New Roman" w:eastAsia="方正书宋_GBK" w:cs="Times New Roman"/>
                <w:color w:val="000000"/>
                <w:sz w:val="18"/>
                <w:szCs w:val="18"/>
              </w:rPr>
              <w:t xml:space="preserve">会 </w:t>
            </w:r>
          </w:p>
          <w:p>
            <w:pPr>
              <w:pStyle w:val="35"/>
              <w:spacing w:line="292"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□纸</w:t>
            </w:r>
            <w:r>
              <w:rPr>
                <w:rFonts w:hint="eastAsia" w:ascii="方正书宋_GBK" w:hAnsi="Times New Roman" w:eastAsia="方正书宋_GBK" w:cs="Times New Roman"/>
                <w:color w:val="000000"/>
                <w:sz w:val="18"/>
                <w:szCs w:val="18"/>
              </w:rPr>
              <w:t>质载体</w:t>
            </w:r>
          </w:p>
          <w:p>
            <w:pPr>
              <w:pStyle w:val="35"/>
              <w:spacing w:line="292"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■公开查阅点■政府服务中心</w:t>
            </w:r>
          </w:p>
          <w:p>
            <w:pPr>
              <w:pStyle w:val="35"/>
              <w:spacing w:line="292"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92"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29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其他</w:t>
            </w:r>
            <w:r>
              <w:rPr>
                <w:rFonts w:hint="eastAsia" w:ascii="方正书宋_GBK" w:hAnsi="Times New Roman" w:eastAsia="方正书宋_GBK" w:cs="Times New Roman"/>
                <w:color w:val="000000"/>
                <w:sz w:val="18"/>
                <w:szCs w:val="18"/>
                <w:u w:val="single"/>
              </w:rPr>
              <w:tab/>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vAlign w:val="center"/>
          </w:tcPr>
          <w:p>
            <w:pPr>
              <w:jc w:val="center"/>
              <w:rPr>
                <w:rFonts w:ascii="方正书宋_GBK" w:hAnsi="Times New Roman" w:eastAsia="方正书宋_GBK"/>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31"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sz w:val="18"/>
                <w:szCs w:val="18"/>
                <w:lang w:val="en-US" w:eastAsia="zh-CN"/>
              </w:rPr>
              <w:t>4</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eastAsia="zh-CN"/>
              </w:rPr>
              <w:t>规划编制</w:t>
            </w: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城市、 镇总体规划及同级</w:t>
            </w:r>
            <w:r>
              <w:rPr>
                <w:rFonts w:hint="eastAsia" w:ascii="方正书宋_GBK" w:hAnsi="Times New Roman" w:eastAsia="方正书宋_GBK" w:cs="Times New Roman"/>
                <w:color w:val="000000"/>
                <w:sz w:val="18"/>
                <w:szCs w:val="18"/>
                <w:lang w:eastAsia="zh-CN"/>
              </w:rPr>
              <w:t>的</w:t>
            </w:r>
            <w:r>
              <w:rPr>
                <w:rFonts w:hint="eastAsia" w:ascii="方正书宋_GBK" w:hAnsi="Times New Roman" w:eastAsia="方正书宋_GBK" w:cs="Times New Roman"/>
                <w:color w:val="000000"/>
                <w:sz w:val="18"/>
                <w:szCs w:val="18"/>
              </w:rPr>
              <w:t>土地利 用规划</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规划</w:t>
            </w:r>
            <w:r>
              <w:rPr>
                <w:rFonts w:hint="eastAsia" w:ascii="方正书宋_GBK" w:hAnsi="Times New Roman" w:eastAsia="方正书宋_GBK" w:cs="Times New Roman"/>
                <w:color w:val="000000"/>
                <w:sz w:val="18"/>
                <w:szCs w:val="18"/>
                <w:lang w:val="en-US" w:eastAsia="zh-CN"/>
              </w:rPr>
              <w:t>批</w:t>
            </w:r>
            <w:r>
              <w:rPr>
                <w:rFonts w:hint="eastAsia" w:ascii="方正书宋_GBK" w:hAnsi="Times New Roman" w:eastAsia="方正书宋_GBK" w:cs="Times New Roman"/>
                <w:color w:val="000000"/>
                <w:sz w:val="18"/>
                <w:szCs w:val="18"/>
              </w:rPr>
              <w:t>准文件、脱密后的文本及图纸等</w:t>
            </w:r>
          </w:p>
        </w:tc>
        <w:tc>
          <w:tcPr>
            <w:tcW w:w="1985" w:type="dxa"/>
            <w:shd w:val="clear" w:color="auto" w:fill="FFFFFF"/>
            <w:vAlign w:val="center"/>
          </w:tcPr>
          <w:p>
            <w:pPr>
              <w:pStyle w:val="35"/>
              <w:spacing w:line="28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《中华人民共和国土地管理 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 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信息形成或者变更之日起20个工作日内</w:t>
            </w:r>
          </w:p>
        </w:tc>
        <w:tc>
          <w:tcPr>
            <w:tcW w:w="851" w:type="dxa"/>
            <w:shd w:val="clear" w:color="auto" w:fill="FFFFFF"/>
            <w:vAlign w:val="center"/>
          </w:tcPr>
          <w:p>
            <w:pPr>
              <w:pStyle w:val="35"/>
              <w:spacing w:line="2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发布会/听证会</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口纸质载体</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■公开查阅点■政府服务中心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2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□其他</w:t>
            </w:r>
            <w:r>
              <w:rPr>
                <w:rFonts w:hint="eastAsia" w:ascii="方正书宋_GBK" w:hAnsi="Times New Roman" w:eastAsia="方正书宋_GBK" w:cs="Times New Roman"/>
                <w:color w:val="000000"/>
                <w:sz w:val="18"/>
                <w:szCs w:val="18"/>
                <w:u w:val="single"/>
              </w:rPr>
              <w:tab/>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sz w:val="18"/>
                <w:szCs w:val="18"/>
                <w:lang w:val="en-US" w:eastAsia="zh-CN"/>
              </w:rPr>
              <w:t>5</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乡规划 及同级 的土地 利用规 划</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脱密后的文本及图纸等</w:t>
            </w:r>
          </w:p>
        </w:tc>
        <w:tc>
          <w:tcPr>
            <w:tcW w:w="1985" w:type="dxa"/>
            <w:shd w:val="clear" w:color="auto" w:fill="FFFFFF"/>
            <w:vAlign w:val="center"/>
          </w:tcPr>
          <w:p>
            <w:pPr>
              <w:pStyle w:val="35"/>
              <w:spacing w:line="28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 和国土地管理法》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 日起20个工作日内</w:t>
            </w:r>
          </w:p>
        </w:tc>
        <w:tc>
          <w:tcPr>
            <w:tcW w:w="851" w:type="dxa"/>
            <w:shd w:val="clear" w:color="auto" w:fill="FFFFFF"/>
            <w:vAlign w:val="center"/>
          </w:tcPr>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口纸质载体</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■公开查阅点■政府服务中心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口便民服务站□入户/现场 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口其他</w:t>
            </w:r>
            <w:r>
              <w:rPr>
                <w:rFonts w:hint="eastAsia" w:ascii="方正书宋_GBK" w:hAnsi="Times New Roman" w:eastAsia="方正书宋_GBK" w:cs="Times New Roman"/>
                <w:color w:val="000000"/>
                <w:sz w:val="18"/>
                <w:szCs w:val="18"/>
                <w:u w:val="single"/>
              </w:rPr>
              <w:tab/>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6</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城市、 镇详细规划</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脱密后的文本及图表等</w:t>
            </w:r>
          </w:p>
        </w:tc>
        <w:tc>
          <w:tcPr>
            <w:tcW w:w="1985" w:type="dxa"/>
            <w:shd w:val="clear" w:color="auto" w:fill="FFFFFF"/>
            <w:vAlign w:val="center"/>
          </w:tcPr>
          <w:p>
            <w:pPr>
              <w:pStyle w:val="35"/>
              <w:spacing w:line="28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 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 起20个工作日内</w:t>
            </w:r>
          </w:p>
        </w:tc>
        <w:tc>
          <w:tcPr>
            <w:tcW w:w="851" w:type="dxa"/>
            <w:shd w:val="clear" w:color="auto" w:fill="FFFFFF"/>
            <w:vAlign w:val="center"/>
          </w:tcPr>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主管部门、乡镇街道</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□发布会/听证会</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口纸质载体</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■公开查阅点■政府服务中心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□其他</w:t>
            </w:r>
            <w:r>
              <w:rPr>
                <w:rFonts w:hint="eastAsia" w:ascii="方正书宋_GBK" w:hAnsi="Times New Roman" w:eastAsia="方正书宋_GBK" w:cs="Times New Roman"/>
                <w:color w:val="000000"/>
                <w:sz w:val="18"/>
                <w:szCs w:val="18"/>
              </w:rPr>
              <w:tab/>
            </w:r>
            <w:r>
              <w:rPr>
                <w:rFonts w:hint="eastAsia" w:ascii="方正书宋_GBK" w:hAnsi="Times New Roman" w:eastAsia="方正书宋_GBK" w:cs="Times New Roman"/>
                <w:color w:val="000000"/>
                <w:sz w:val="18"/>
                <w:szCs w:val="18"/>
              </w:rPr>
              <w:tab/>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b/>
                <w:bCs/>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b/>
                <w:bCs/>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b/>
                <w:bCs/>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7</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部分村 庄编制 完成的 村庄规 划、村土地利 用规划</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脱密后的文本及附图等</w:t>
            </w:r>
          </w:p>
        </w:tc>
        <w:tc>
          <w:tcPr>
            <w:tcW w:w="1985" w:type="dxa"/>
            <w:shd w:val="clear" w:color="auto" w:fill="FFFFFF"/>
            <w:vAlign w:val="center"/>
          </w:tcPr>
          <w:p>
            <w:pPr>
              <w:pStyle w:val="35"/>
              <w:spacing w:line="26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 国土地管理法》；2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 国城乡规划法》；3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 条例》；4</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《国土资源部关于有序开展村土地利用规划编制工作的指导意见》</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 起20个工作日内</w:t>
            </w:r>
          </w:p>
        </w:tc>
        <w:tc>
          <w:tcPr>
            <w:tcW w:w="851" w:type="dxa"/>
            <w:shd w:val="clear" w:color="auto" w:fill="FFFFFF"/>
            <w:vAlign w:val="center"/>
          </w:tcPr>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口纸质载体</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■公开查阅点■政府服务中心</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□其他</w:t>
            </w:r>
            <w:r>
              <w:rPr>
                <w:rFonts w:hint="eastAsia" w:ascii="方正书宋_GBK" w:hAnsi="Times New Roman" w:eastAsia="方正书宋_GBK" w:cs="Times New Roman"/>
                <w:color w:val="000000"/>
                <w:sz w:val="18"/>
                <w:szCs w:val="18"/>
              </w:rPr>
              <w:tab/>
            </w:r>
            <w:r>
              <w:rPr>
                <w:rFonts w:hint="eastAsia" w:ascii="方正书宋_GBK" w:hAnsi="Times New Roman" w:eastAsia="方正书宋_GBK" w:cs="Times New Roman"/>
                <w:color w:val="000000"/>
                <w:sz w:val="18"/>
                <w:szCs w:val="18"/>
              </w:rPr>
              <w:tab/>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b/>
                <w:bCs/>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b/>
                <w:bCs/>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743"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sz w:val="18"/>
                <w:szCs w:val="18"/>
                <w:lang w:val="en-US" w:eastAsia="zh-CN"/>
              </w:rPr>
              <w:t>8</w:t>
            </w:r>
          </w:p>
        </w:tc>
        <w:tc>
          <w:tcPr>
            <w:tcW w:w="720" w:type="dxa"/>
            <w:shd w:val="clear" w:color="auto" w:fill="FFFFFF"/>
            <w:vAlign w:val="center"/>
          </w:tcPr>
          <w:p>
            <w:pPr>
              <w:pStyle w:val="35"/>
              <w:spacing w:line="200" w:lineRule="exact"/>
              <w:jc w:val="center"/>
              <w:rPr>
                <w:rFonts w:ascii="方正书宋_GBK" w:hAnsi="Times New Roman" w:eastAsia="方正书宋_GBK" w:cs="Times New Roman"/>
                <w:sz w:val="18"/>
                <w:szCs w:val="18"/>
                <w:lang w:eastAsia="zh-CN"/>
              </w:rPr>
            </w:pPr>
            <w:r>
              <w:rPr>
                <w:rFonts w:hint="eastAsia" w:ascii="方正书宋_GBK" w:hAnsi="Times New Roman" w:eastAsia="方正书宋_GBK" w:cs="Times New Roman"/>
                <w:sz w:val="18"/>
                <w:szCs w:val="18"/>
                <w:lang w:eastAsia="zh-CN"/>
              </w:rPr>
              <w:t>规划</w:t>
            </w:r>
          </w:p>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eastAsia="zh-CN"/>
              </w:rPr>
              <w:t>编制</w:t>
            </w: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专业专项规划</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脱密后的文本及附图等</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val="en-US" w:eastAsia="zh-CN"/>
              </w:rPr>
              <w:t>中共重庆市委 重庆市人民政府关于建立重庆市国土空间规划体系做好新时代国土空间规划的意见</w:t>
            </w: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w:t>
            </w:r>
            <w:r>
              <w:rPr>
                <w:rFonts w:hint="eastAsia" w:ascii="方正书宋_GBK" w:hAnsi="Times New Roman" w:eastAsia="方正书宋_GBK" w:cs="Times New Roman"/>
                <w:color w:val="000000"/>
                <w:sz w:val="18"/>
                <w:szCs w:val="18"/>
                <w:lang w:eastAsia="zh-CN"/>
              </w:rPr>
              <w:t>个</w:t>
            </w:r>
            <w:r>
              <w:rPr>
                <w:rFonts w:hint="eastAsia" w:ascii="方正书宋_GBK" w:hAnsi="Times New Roman" w:eastAsia="方正书宋_GBK" w:cs="Times New Roman"/>
                <w:color w:val="000000"/>
                <w:sz w:val="18"/>
                <w:szCs w:val="18"/>
              </w:rPr>
              <w:t>工作</w:t>
            </w:r>
            <w:r>
              <w:rPr>
                <w:rFonts w:hint="eastAsia" w:ascii="方正书宋_GBK" w:hAnsi="Times New Roman" w:eastAsia="方正书宋_GBK" w:cs="Times New Roman"/>
                <w:color w:val="000000"/>
                <w:sz w:val="18"/>
                <w:szCs w:val="18"/>
                <w:lang w:val="en-US" w:eastAsia="zh-CN"/>
              </w:rPr>
              <w:t>日</w:t>
            </w:r>
            <w:r>
              <w:rPr>
                <w:rFonts w:hint="eastAsia" w:ascii="方正书宋_GBK" w:hAnsi="Times New Roman" w:eastAsia="方正书宋_GBK" w:cs="Times New Roman"/>
                <w:color w:val="000000"/>
                <w:sz w:val="18"/>
                <w:szCs w:val="18"/>
              </w:rPr>
              <w:t>内</w:t>
            </w:r>
          </w:p>
        </w:tc>
        <w:tc>
          <w:tcPr>
            <w:tcW w:w="851" w:type="dxa"/>
            <w:shd w:val="clear" w:color="auto" w:fill="FFFFFF"/>
            <w:vAlign w:val="center"/>
          </w:tcPr>
          <w:p>
            <w:pPr>
              <w:pStyle w:val="35"/>
              <w:spacing w:line="2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val="en-US" w:eastAsia="zh-CN"/>
              </w:rPr>
              <w:t>编制部门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val="en-US" w:eastAsia="zh-CN"/>
              </w:rPr>
              <w:t>政府门户网站  □政府公报</w:t>
            </w:r>
          </w:p>
          <w:p>
            <w:pPr>
              <w:pStyle w:val="35"/>
              <w:spacing w:line="200" w:lineRule="exact"/>
              <w:jc w:val="both"/>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 xml:space="preserve">■政务新媒体  □发布会/听证会 </w:t>
            </w:r>
          </w:p>
          <w:p>
            <w:pPr>
              <w:pStyle w:val="35"/>
              <w:spacing w:line="200" w:lineRule="exact"/>
              <w:jc w:val="both"/>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口广播电视  口纸质载体</w:t>
            </w:r>
          </w:p>
          <w:p>
            <w:pPr>
              <w:pStyle w:val="35"/>
              <w:spacing w:line="200" w:lineRule="exact"/>
              <w:jc w:val="both"/>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■公开查阅点■政府服务中心</w:t>
            </w:r>
          </w:p>
          <w:p>
            <w:pPr>
              <w:pStyle w:val="35"/>
              <w:spacing w:line="200" w:lineRule="exact"/>
              <w:jc w:val="both"/>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 xml:space="preserve">口便民服务站□入户/现场 </w:t>
            </w:r>
          </w:p>
          <w:p>
            <w:pPr>
              <w:pStyle w:val="35"/>
              <w:spacing w:line="200" w:lineRule="exact"/>
              <w:jc w:val="both"/>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口社区/企事业单位/村公示栏（电子屏）</w:t>
            </w:r>
          </w:p>
          <w:p>
            <w:pPr>
              <w:pStyle w:val="35"/>
              <w:spacing w:line="2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 xml:space="preserve">口精准推送  □其他    </w:t>
            </w:r>
            <w:r>
              <w:rPr>
                <w:rFonts w:hint="eastAsia" w:ascii="方正书宋_GBK" w:hAnsi="Times New Roman" w:eastAsia="方正书宋_GBK" w:cs="Times New Roman"/>
                <w:color w:val="000000"/>
                <w:sz w:val="18"/>
                <w:szCs w:val="18"/>
                <w:lang w:val="en-US" w:eastAsia="zh-CN"/>
              </w:rPr>
              <w:tab/>
            </w:r>
          </w:p>
        </w:tc>
        <w:tc>
          <w:tcPr>
            <w:tcW w:w="567" w:type="dxa"/>
            <w:shd w:val="clear" w:color="auto" w:fill="FFFFFF"/>
            <w:vAlign w:val="center"/>
          </w:tcPr>
          <w:p>
            <w:pPr>
              <w:pStyle w:val="35"/>
              <w:spacing w:line="240" w:lineRule="auto"/>
              <w:ind w:firstLine="220"/>
              <w:rPr>
                <w:rFonts w:ascii="方正书宋_GBK" w:hAnsi="Times New Roman" w:eastAsia="方正书宋_GBK"/>
                <w:b/>
                <w:bCs/>
                <w:sz w:val="18"/>
                <w:szCs w:val="18"/>
              </w:rPr>
            </w:pPr>
            <w:r>
              <w:rPr>
                <w:rFonts w:hint="eastAsia" w:ascii="方正书宋_GBK" w:hAnsi="Times New Roman" w:eastAsia="方正书宋_GBK"/>
                <w:b/>
                <w:bCs/>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b/>
                <w:bCs/>
                <w:sz w:val="18"/>
                <w:szCs w:val="18"/>
              </w:rPr>
            </w:pPr>
            <w:r>
              <w:rPr>
                <w:rFonts w:hint="eastAsia" w:ascii="方正书宋_GBK" w:hAnsi="Times New Roman" w:eastAsia="方正书宋_GBK"/>
                <w:b/>
                <w:bCs/>
                <w:sz w:val="18"/>
                <w:szCs w:val="18"/>
              </w:rPr>
              <w:t>√</w:t>
            </w:r>
          </w:p>
        </w:tc>
        <w:tc>
          <w:tcPr>
            <w:tcW w:w="709" w:type="dxa"/>
            <w:shd w:val="clear" w:color="auto" w:fill="FFFFFF"/>
            <w:vAlign w:val="center"/>
          </w:tcPr>
          <w:p>
            <w:pPr>
              <w:jc w:val="center"/>
              <w:rPr>
                <w:rFonts w:ascii="方正书宋_GBK" w:hAnsi="Times New Roman" w:eastAsia="方正书宋_GBK"/>
                <w:b/>
                <w:bCs/>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84"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9</w:t>
            </w:r>
          </w:p>
        </w:tc>
        <w:tc>
          <w:tcPr>
            <w:tcW w:w="720" w:type="dxa"/>
            <w:vMerge w:val="restart"/>
            <w:shd w:val="clear" w:color="auto" w:fill="FFFFFF"/>
            <w:vAlign w:val="center"/>
          </w:tcPr>
          <w:p>
            <w:pPr>
              <w:pStyle w:val="35"/>
              <w:spacing w:line="200" w:lineRule="exact"/>
              <w:jc w:val="center"/>
              <w:rPr>
                <w:rFonts w:ascii="方正书宋_GBK" w:hAnsi="Times New Roman" w:eastAsia="方正书宋_GBK" w:cs="Times New Roman"/>
                <w:sz w:val="18"/>
                <w:szCs w:val="18"/>
                <w:lang w:eastAsia="zh-CN"/>
              </w:rPr>
            </w:pPr>
            <w:r>
              <w:rPr>
                <w:rFonts w:hint="eastAsia" w:ascii="方正书宋_GBK" w:hAnsi="Times New Roman" w:eastAsia="方正书宋_GBK" w:cs="Times New Roman"/>
                <w:sz w:val="18"/>
                <w:szCs w:val="18"/>
                <w:lang w:eastAsia="zh-CN"/>
              </w:rPr>
              <w:t>规划</w:t>
            </w:r>
          </w:p>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eastAsia="zh-CN"/>
              </w:rPr>
              <w:t>许可</w:t>
            </w: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建设项目选址意见 书</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新办、变更、延 续、补证、注销 的办理情况（涉密项目除外）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 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信息形成或者变更之日起20个工作</w:t>
            </w:r>
            <w:r>
              <w:rPr>
                <w:rFonts w:hint="eastAsia" w:ascii="方正书宋_GBK" w:hAnsi="Times New Roman" w:eastAsia="方正书宋_GBK" w:cs="Times New Roman"/>
                <w:color w:val="000000"/>
                <w:sz w:val="18"/>
                <w:szCs w:val="18"/>
                <w:lang w:val="en-US" w:eastAsia="zh-CN"/>
              </w:rPr>
              <w:t>日</w:t>
            </w:r>
            <w:r>
              <w:rPr>
                <w:rFonts w:hint="eastAsia" w:ascii="方正书宋_GBK" w:hAnsi="Times New Roman" w:eastAsia="方正书宋_GBK" w:cs="Times New Roman"/>
                <w:color w:val="000000"/>
                <w:sz w:val="18"/>
                <w:szCs w:val="18"/>
              </w:rPr>
              <w:t>内</w:t>
            </w:r>
          </w:p>
        </w:tc>
        <w:tc>
          <w:tcPr>
            <w:tcW w:w="851" w:type="dxa"/>
            <w:shd w:val="clear" w:color="auto" w:fill="FFFFFF"/>
            <w:vAlign w:val="center"/>
          </w:tcPr>
          <w:p>
            <w:pPr>
              <w:pStyle w:val="35"/>
              <w:spacing w:line="2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lang w:val="zh-CN" w:eastAsia="zh-CN" w:bidi="zh-CN"/>
              </w:rPr>
              <w:t>□</w:t>
            </w:r>
            <w:r>
              <w:rPr>
                <w:rFonts w:hint="eastAsia" w:ascii="方正书宋_GBK" w:hAnsi="Times New Roman" w:eastAsia="方正书宋_GBK" w:cs="Times New Roman"/>
                <w:color w:val="000000"/>
                <w:sz w:val="18"/>
                <w:szCs w:val="18"/>
              </w:rPr>
              <w:t>发布会/听证会</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口公开查阅点■政府服务中心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口其他</w:t>
            </w:r>
            <w:r>
              <w:rPr>
                <w:rFonts w:hint="eastAsia" w:ascii="方正书宋_GBK" w:hAnsi="Times New Roman" w:eastAsia="方正书宋_GBK" w:cs="Times New Roman"/>
                <w:color w:val="000000"/>
                <w:sz w:val="18"/>
                <w:szCs w:val="18"/>
                <w:u w:val="single"/>
              </w:rPr>
              <w:tab/>
            </w:r>
          </w:p>
        </w:tc>
        <w:tc>
          <w:tcPr>
            <w:tcW w:w="567" w:type="dxa"/>
            <w:shd w:val="clear" w:color="auto" w:fill="FFFFFF"/>
            <w:vAlign w:val="center"/>
          </w:tcPr>
          <w:p>
            <w:pPr>
              <w:pStyle w:val="35"/>
              <w:spacing w:line="240" w:lineRule="auto"/>
              <w:ind w:firstLine="220"/>
              <w:rPr>
                <w:rFonts w:ascii="方正书宋_GBK" w:hAnsi="Times New Roman" w:eastAsia="方正书宋_GBK"/>
                <w:b/>
                <w:bCs/>
                <w:sz w:val="18"/>
                <w:szCs w:val="18"/>
              </w:rPr>
            </w:pPr>
            <w:r>
              <w:rPr>
                <w:rFonts w:hint="eastAsia" w:ascii="方正书宋_GBK" w:hAnsi="Times New Roman" w:eastAsia="方正书宋_GBK"/>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b/>
                <w:bCs/>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b/>
                <w:bCs/>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04" w:hRule="atLeast"/>
        </w:trPr>
        <w:tc>
          <w:tcPr>
            <w:tcW w:w="405" w:type="dxa"/>
            <w:vMerge w:val="restart"/>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10</w:t>
            </w:r>
          </w:p>
        </w:tc>
        <w:tc>
          <w:tcPr>
            <w:tcW w:w="720" w:type="dxa"/>
            <w:vMerge w:val="continue"/>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288" w:type="dxa"/>
            <w:vMerge w:val="restart"/>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建设用地规划许可证</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建设用地改变用途审核</w:t>
            </w:r>
          </w:p>
        </w:tc>
        <w:tc>
          <w:tcPr>
            <w:tcW w:w="2126" w:type="dxa"/>
            <w:shd w:val="clear" w:color="auto" w:fill="FFFFFF"/>
            <w:vAlign w:val="center"/>
          </w:tcPr>
          <w:p>
            <w:pPr>
              <w:pStyle w:val="35"/>
              <w:spacing w:line="200" w:lineRule="exact"/>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新办、变更、延 续、补证、注销的办理情况</w:t>
            </w:r>
          </w:p>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（涉密项目除 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 或者变更之日起20个工作日内</w:t>
            </w:r>
          </w:p>
        </w:tc>
        <w:tc>
          <w:tcPr>
            <w:tcW w:w="851" w:type="dxa"/>
            <w:shd w:val="clear" w:color="auto" w:fill="FFFFFF"/>
            <w:vAlign w:val="center"/>
          </w:tcPr>
          <w:p>
            <w:pPr>
              <w:pStyle w:val="35"/>
              <w:spacing w:line="2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b/>
                <w:bCs/>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b/>
                <w:bCs/>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b/>
                <w:bCs/>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vMerge w:val="continue"/>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vMerge w:val="continue"/>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288" w:type="dxa"/>
            <w:vMerge w:val="continue"/>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建设用地（含临时用地）规划许可证核发</w:t>
            </w:r>
          </w:p>
        </w:tc>
        <w:tc>
          <w:tcPr>
            <w:tcW w:w="2126" w:type="dxa"/>
            <w:shd w:val="clear" w:color="auto" w:fill="FFFFFF"/>
            <w:vAlign w:val="center"/>
          </w:tcPr>
          <w:p>
            <w:pPr>
              <w:pStyle w:val="35"/>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新办、变更、延 续、补证、注销的办理情况</w:t>
            </w:r>
          </w:p>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（涉密项目除 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 或者变更之日起20个工作日内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vMerge w:val="restart"/>
            <w:shd w:val="clear" w:color="auto" w:fill="FFFFFF"/>
            <w:vAlign w:val="center"/>
          </w:tcPr>
          <w:p>
            <w:pPr>
              <w:pStyle w:val="35"/>
              <w:spacing w:line="240" w:lineRule="auto"/>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11</w:t>
            </w:r>
          </w:p>
        </w:tc>
        <w:tc>
          <w:tcPr>
            <w:tcW w:w="720" w:type="dxa"/>
            <w:vMerge w:val="restart"/>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eastAsia="zh-CN"/>
              </w:rPr>
              <w:t>规划许可</w:t>
            </w:r>
          </w:p>
        </w:tc>
        <w:tc>
          <w:tcPr>
            <w:tcW w:w="288" w:type="dxa"/>
            <w:vMerge w:val="restart"/>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建设工程规划许</w:t>
            </w:r>
            <w:r>
              <w:rPr>
                <w:rFonts w:hint="eastAsia" w:ascii="方正书宋_GBK" w:hAnsi="Times New Roman" w:eastAsia="方正书宋_GBK" w:cs="Times New Roman"/>
                <w:color w:val="000000"/>
                <w:sz w:val="18"/>
                <w:szCs w:val="18"/>
                <w:lang w:val="en-US" w:eastAsia="zh-CN"/>
              </w:rPr>
              <w:t>可</w:t>
            </w:r>
            <w:r>
              <w:rPr>
                <w:rFonts w:hint="eastAsia" w:ascii="方正书宋_GBK" w:hAnsi="Times New Roman" w:eastAsia="方正书宋_GBK" w:cs="Times New Roman"/>
                <w:color w:val="000000"/>
                <w:sz w:val="18"/>
                <w:szCs w:val="18"/>
              </w:rPr>
              <w:t>证</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建设工程（含临时建设）规划许可证核发</w:t>
            </w:r>
          </w:p>
        </w:tc>
        <w:tc>
          <w:tcPr>
            <w:tcW w:w="2126" w:type="dxa"/>
            <w:shd w:val="clear" w:color="auto" w:fill="FFFFFF"/>
            <w:vAlign w:val="center"/>
          </w:tcPr>
          <w:p>
            <w:pPr>
              <w:pStyle w:val="35"/>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新办、变更、延 续、补证、注销 的办理情况</w:t>
            </w:r>
          </w:p>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（涉密项目除 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 或者变更之日起20个工作日内</w:t>
            </w:r>
          </w:p>
        </w:tc>
        <w:tc>
          <w:tcPr>
            <w:tcW w:w="851" w:type="dxa"/>
            <w:shd w:val="clear" w:color="auto" w:fill="FFFFFF"/>
            <w:vAlign w:val="center"/>
          </w:tcPr>
          <w:p>
            <w:pPr>
              <w:pStyle w:val="35"/>
              <w:spacing w:line="312"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自然资源主管部门、</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val="en-US" w:eastAsia="zh-CN"/>
              </w:rPr>
              <w:t>乡镇街道</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vMerge w:val="continue"/>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vMerge w:val="continue"/>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288" w:type="dxa"/>
            <w:vMerge w:val="continue"/>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建设工程规划条件核实合格证核发</w:t>
            </w:r>
          </w:p>
        </w:tc>
        <w:tc>
          <w:tcPr>
            <w:tcW w:w="2126" w:type="dxa"/>
            <w:shd w:val="clear" w:color="auto" w:fill="FFFFFF"/>
            <w:vAlign w:val="center"/>
          </w:tcPr>
          <w:p>
            <w:pPr>
              <w:pStyle w:val="35"/>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新办、变更、延 续、补证、注销 的办理情况</w:t>
            </w:r>
          </w:p>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（涉密项目除 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 或者变更之日起20个工作日内</w:t>
            </w:r>
          </w:p>
        </w:tc>
        <w:tc>
          <w:tcPr>
            <w:tcW w:w="851" w:type="dxa"/>
            <w:shd w:val="clear" w:color="auto" w:fill="FFFFFF"/>
            <w:vAlign w:val="center"/>
          </w:tcPr>
          <w:p>
            <w:pPr>
              <w:pStyle w:val="35"/>
              <w:spacing w:line="312"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r>
              <w:rPr>
                <w:rFonts w:hint="eastAsia" w:ascii="方正书宋_GBK" w:hAnsi="Times New Roman" w:eastAsia="方正书宋_GBK" w:cs="Times New Roman"/>
                <w:color w:val="000000"/>
                <w:sz w:val="18"/>
                <w:szCs w:val="18"/>
                <w:lang w:val="en-US" w:eastAsia="zh-CN"/>
              </w:rPr>
              <w:t>乡镇街道</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28"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12</w:t>
            </w:r>
          </w:p>
        </w:tc>
        <w:tc>
          <w:tcPr>
            <w:tcW w:w="720" w:type="dxa"/>
            <w:vMerge w:val="continue"/>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乡村建设规划许可证</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新办、变更、延 续、补证、注销 的办理情况</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13</w:t>
            </w:r>
          </w:p>
        </w:tc>
        <w:tc>
          <w:tcPr>
            <w:tcW w:w="720" w:type="dxa"/>
            <w:vMerge w:val="continue"/>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历史建筑实施原址保护审批</w:t>
            </w:r>
          </w:p>
        </w:tc>
        <w:tc>
          <w:tcPr>
            <w:tcW w:w="2126" w:type="dxa"/>
            <w:shd w:val="clear" w:color="auto" w:fill="FFFFFF"/>
            <w:vAlign w:val="center"/>
          </w:tcPr>
          <w:p>
            <w:pPr>
              <w:pStyle w:val="35"/>
              <w:spacing w:line="240" w:lineRule="exact"/>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新办、变更、延 续、补证、注销的办理情况</w:t>
            </w:r>
          </w:p>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（涉密项目除 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《历史文化名城名镇名村保护条例》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 或者变更之日起20 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14</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历史文化街区、名镇、名村核心保护范围内拆除历史建筑以外的建筑物、构筑物或者其他设施审批</w:t>
            </w:r>
          </w:p>
        </w:tc>
        <w:tc>
          <w:tcPr>
            <w:tcW w:w="2126" w:type="dxa"/>
            <w:shd w:val="clear" w:color="auto" w:fill="FFFFFF"/>
            <w:vAlign w:val="center"/>
          </w:tcPr>
          <w:p>
            <w:pPr>
              <w:pStyle w:val="35"/>
              <w:spacing w:line="240" w:lineRule="exact"/>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新办、变更、延 续、补证、注销 的办理情况</w:t>
            </w:r>
          </w:p>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（涉密项目除 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《历史文化名城名镇名村保护条例》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 或者变更之日起20 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2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15</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历史建筑外部修缮装饰、添加设施以及改变历史建筑的结构或者使用性质审批</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新办、变更、延 续、补证、注销 的办理情况</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 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《历史文化名城名镇名村保护条例》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 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2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cs="Times New Roman"/>
                <w:b/>
                <w:bCs/>
                <w:color w:val="000000"/>
                <w:sz w:val="18"/>
                <w:szCs w:val="18"/>
              </w:rPr>
            </w:pPr>
            <w:r>
              <w:rPr>
                <w:rFonts w:hint="eastAsia" w:ascii="方正书宋_GBK" w:hAnsi="Times New Roman" w:eastAsia="方正书宋_GBK"/>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b/>
                <w:bCs/>
                <w:color w:val="000000"/>
                <w:sz w:val="18"/>
                <w:szCs w:val="18"/>
              </w:rPr>
            </w:pPr>
            <w:r>
              <w:rPr>
                <w:rFonts w:hint="eastAsia" w:ascii="方正书宋_GBK" w:hAnsi="Times New Roman" w:eastAsia="方正书宋_GBK"/>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b/>
                <w:bCs/>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74"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16</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历史建筑异地保护或者拆除审批</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新办、变更、延 续、补证、注销的办理情况（涉密项目除 外）</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《历史文化名城名镇名村保护条例》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 或者变更之日起20 个工作日内</w:t>
            </w:r>
          </w:p>
        </w:tc>
        <w:tc>
          <w:tcPr>
            <w:tcW w:w="851" w:type="dxa"/>
            <w:shd w:val="clear" w:color="auto" w:fill="FFFFFF"/>
            <w:vAlign w:val="center"/>
          </w:tcPr>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17</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行政处罚基本信息</w:t>
            </w:r>
          </w:p>
        </w:tc>
        <w:tc>
          <w:tcPr>
            <w:tcW w:w="2126" w:type="dxa"/>
            <w:shd w:val="clear" w:color="auto" w:fill="FFFFFF"/>
            <w:vAlign w:val="center"/>
          </w:tcPr>
          <w:p>
            <w:pPr>
              <w:pStyle w:val="35"/>
              <w:spacing w:line="320" w:lineRule="exact"/>
              <w:jc w:val="both"/>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1.机构职能、权责清单；2.执法程序或行政强制流程图；3.执法依据；</w:t>
            </w:r>
          </w:p>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4.行政处罚自由裁量基准；5.监督投诉方式； 6.救济渠道。</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 个工作日内</w:t>
            </w:r>
          </w:p>
        </w:tc>
        <w:tc>
          <w:tcPr>
            <w:tcW w:w="851" w:type="dxa"/>
            <w:shd w:val="clear" w:color="auto" w:fill="FFFFFF"/>
            <w:vAlign w:val="center"/>
          </w:tcPr>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52"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18</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对规划城镇建设用地外建设单位或者个人违法建设，拒不停止或者拒不改正、逾期未履行处罚决定的处罚</w:t>
            </w:r>
          </w:p>
        </w:tc>
        <w:tc>
          <w:tcPr>
            <w:tcW w:w="2126" w:type="dxa"/>
            <w:shd w:val="clear" w:color="auto" w:fill="FFFFFF"/>
            <w:vAlign w:val="center"/>
          </w:tcPr>
          <w:p>
            <w:pPr>
              <w:pStyle w:val="35"/>
              <w:spacing w:line="313"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20" w:lineRule="exact"/>
              <w:jc w:val="both"/>
              <w:rPr>
                <w:rFonts w:ascii="方正书宋_GBK" w:hAnsi="Times New Roman" w:eastAsia="方正书宋_GBK" w:cs="Times New Roman"/>
                <w:color w:val="000000"/>
                <w:sz w:val="18"/>
                <w:szCs w:val="18"/>
                <w:lang w:val="en-US" w:eastAsia="zh-CN"/>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18</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对规划城镇建设用地外未按照规定在施工现场公示经审定的建设工程规划许可证和建设工程施工图的总平面图的处罚</w:t>
            </w:r>
          </w:p>
        </w:tc>
        <w:tc>
          <w:tcPr>
            <w:tcW w:w="2126" w:type="dxa"/>
            <w:shd w:val="clear" w:color="auto" w:fill="FFFFFF"/>
            <w:vAlign w:val="center"/>
          </w:tcPr>
          <w:p>
            <w:pPr>
              <w:pStyle w:val="35"/>
              <w:spacing w:line="313"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20" w:lineRule="exact"/>
              <w:jc w:val="both"/>
              <w:rPr>
                <w:rFonts w:ascii="方正书宋_GBK" w:hAnsi="Times New Roman" w:eastAsia="方正书宋_GBK" w:cs="Times New Roman"/>
                <w:color w:val="000000"/>
                <w:sz w:val="18"/>
                <w:szCs w:val="18"/>
                <w:lang w:val="en-US" w:eastAsia="zh-CN"/>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310"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对规划城镇建设用地外建设单位或者个人违法建设，拒不停止或者拒不改正、逾期未履行处罚决定的处罚</w:t>
            </w:r>
          </w:p>
        </w:tc>
        <w:tc>
          <w:tcPr>
            <w:tcW w:w="2126" w:type="dxa"/>
            <w:shd w:val="clear" w:color="auto" w:fill="FFFFFF"/>
            <w:vAlign w:val="center"/>
          </w:tcPr>
          <w:p>
            <w:pPr>
              <w:pStyle w:val="35"/>
              <w:spacing w:line="313"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20" w:lineRule="exact"/>
              <w:jc w:val="both"/>
              <w:rPr>
                <w:rFonts w:ascii="方正书宋_GBK" w:hAnsi="Times New Roman" w:eastAsia="方正书宋_GBK" w:cs="Times New Roman"/>
                <w:color w:val="000000"/>
                <w:sz w:val="18"/>
                <w:szCs w:val="18"/>
                <w:lang w:val="en-US" w:eastAsia="zh-CN"/>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541"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p>
        </w:tc>
        <w:tc>
          <w:tcPr>
            <w:tcW w:w="992" w:type="dxa"/>
            <w:gridSpan w:val="3"/>
            <w:shd w:val="clear" w:color="auto" w:fill="FFFFFF"/>
            <w:vAlign w:val="center"/>
          </w:tcPr>
          <w:p>
            <w:pPr>
              <w:pStyle w:val="35"/>
              <w:spacing w:line="280"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对规划城镇建设用地外未按照规定在施工现场公示经审定的建设工程规划许可证和建设工程施工图的总平面图的处罚</w:t>
            </w:r>
          </w:p>
        </w:tc>
        <w:tc>
          <w:tcPr>
            <w:tcW w:w="2126" w:type="dxa"/>
            <w:shd w:val="clear" w:color="auto" w:fill="FFFFFF"/>
            <w:vAlign w:val="center"/>
          </w:tcPr>
          <w:p>
            <w:pPr>
              <w:pStyle w:val="35"/>
              <w:spacing w:line="313"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20" w:lineRule="exact"/>
              <w:jc w:val="both"/>
              <w:rPr>
                <w:rFonts w:ascii="方正书宋_GBK" w:hAnsi="Times New Roman" w:eastAsia="方正书宋_GBK" w:cs="Times New Roman"/>
                <w:color w:val="000000"/>
                <w:sz w:val="18"/>
                <w:szCs w:val="18"/>
                <w:lang w:val="en-US" w:eastAsia="zh-CN"/>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对规划城镇建设用地外专门管理区域外的违法建筑查处权</w:t>
            </w:r>
          </w:p>
        </w:tc>
        <w:tc>
          <w:tcPr>
            <w:tcW w:w="2126" w:type="dxa"/>
            <w:shd w:val="clear" w:color="auto" w:fill="FFFFFF"/>
            <w:vAlign w:val="center"/>
          </w:tcPr>
          <w:p>
            <w:pPr>
              <w:pStyle w:val="35"/>
              <w:spacing w:line="313"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20" w:lineRule="exact"/>
              <w:jc w:val="both"/>
              <w:rPr>
                <w:rFonts w:ascii="方正书宋_GBK" w:hAnsi="Times New Roman" w:eastAsia="方正书宋_GBK" w:cs="Times New Roman"/>
                <w:color w:val="000000"/>
                <w:sz w:val="18"/>
                <w:szCs w:val="18"/>
                <w:lang w:val="en-US" w:eastAsia="zh-CN"/>
              </w:rPr>
            </w:pPr>
          </w:p>
        </w:tc>
        <w:tc>
          <w:tcPr>
            <w:tcW w:w="1985" w:type="dxa"/>
            <w:shd w:val="clear" w:color="auto" w:fill="FFFFFF"/>
            <w:vAlign w:val="center"/>
          </w:tcPr>
          <w:p>
            <w:pPr>
              <w:pStyle w:val="35"/>
              <w:spacing w:line="28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94"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p>
        </w:tc>
        <w:tc>
          <w:tcPr>
            <w:tcW w:w="992" w:type="dxa"/>
            <w:gridSpan w:val="3"/>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对规划城镇建设用地外在历史文化名城、名镇、名村保护范围内破坏传统格局和历史风貌等违法行为的处罚</w:t>
            </w:r>
          </w:p>
        </w:tc>
        <w:tc>
          <w:tcPr>
            <w:tcW w:w="2126" w:type="dxa"/>
            <w:shd w:val="clear" w:color="auto" w:fill="FFFFFF"/>
            <w:vAlign w:val="center"/>
          </w:tcPr>
          <w:p>
            <w:pPr>
              <w:pStyle w:val="35"/>
              <w:spacing w:line="26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260" w:lineRule="exact"/>
              <w:jc w:val="both"/>
              <w:rPr>
                <w:rFonts w:ascii="方正书宋_GBK" w:hAnsi="Times New Roman" w:eastAsia="方正书宋_GBK" w:cs="Times New Roman"/>
                <w:color w:val="000000"/>
                <w:sz w:val="18"/>
                <w:szCs w:val="18"/>
                <w:lang w:val="en-US" w:eastAsia="zh-CN"/>
              </w:rPr>
            </w:pPr>
          </w:p>
        </w:tc>
        <w:tc>
          <w:tcPr>
            <w:tcW w:w="1985" w:type="dxa"/>
            <w:shd w:val="clear" w:color="auto" w:fill="FFFFFF"/>
            <w:vAlign w:val="center"/>
          </w:tcPr>
          <w:p>
            <w:pPr>
              <w:pStyle w:val="35"/>
              <w:spacing w:line="26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 xml:space="preserve"> 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2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对规划城镇建设用地外在历史建筑上刻划、涂污的处罚</w:t>
            </w:r>
          </w:p>
        </w:tc>
        <w:tc>
          <w:tcPr>
            <w:tcW w:w="2126" w:type="dxa"/>
            <w:shd w:val="clear" w:color="auto" w:fill="FFFFFF"/>
            <w:vAlign w:val="center"/>
          </w:tcPr>
          <w:p>
            <w:pPr>
              <w:pStyle w:val="35"/>
              <w:spacing w:line="24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12" w:lineRule="exact"/>
              <w:jc w:val="both"/>
              <w:rPr>
                <w:rFonts w:ascii="方正书宋_GBK" w:hAnsi="Times New Roman" w:eastAsia="方正书宋_GBK" w:cs="Times New Roman"/>
                <w:color w:val="000000"/>
                <w:sz w:val="18"/>
                <w:szCs w:val="18"/>
              </w:rPr>
            </w:pPr>
          </w:p>
        </w:tc>
        <w:tc>
          <w:tcPr>
            <w:tcW w:w="1985" w:type="dxa"/>
            <w:shd w:val="clear" w:color="auto" w:fill="FFFFFF"/>
            <w:vAlign w:val="center"/>
          </w:tcPr>
          <w:p>
            <w:pPr>
              <w:pStyle w:val="35"/>
              <w:spacing w:line="26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 xml:space="preserve"> 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85"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对规划城镇建设用地外影响传统格局、历史风貌或者历史建筑等违法行为的处罚</w:t>
            </w:r>
          </w:p>
        </w:tc>
        <w:tc>
          <w:tcPr>
            <w:tcW w:w="2126" w:type="dxa"/>
            <w:shd w:val="clear" w:color="auto" w:fill="FFFFFF"/>
            <w:vAlign w:val="center"/>
          </w:tcPr>
          <w:p>
            <w:pPr>
              <w:pStyle w:val="35"/>
              <w:spacing w:line="24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12" w:lineRule="exact"/>
              <w:jc w:val="both"/>
              <w:rPr>
                <w:rFonts w:ascii="方正书宋_GBK" w:hAnsi="Times New Roman" w:eastAsia="方正书宋_GBK" w:cs="Times New Roman"/>
                <w:color w:val="000000"/>
                <w:sz w:val="18"/>
                <w:szCs w:val="18"/>
              </w:rPr>
            </w:pPr>
          </w:p>
        </w:tc>
        <w:tc>
          <w:tcPr>
            <w:tcW w:w="1985" w:type="dxa"/>
            <w:shd w:val="clear" w:color="auto" w:fill="FFFFFF"/>
            <w:vAlign w:val="center"/>
          </w:tcPr>
          <w:p>
            <w:pPr>
              <w:pStyle w:val="35"/>
              <w:spacing w:line="28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对规划城镇建设用地外损坏或者擅自迁移、拆除历史建筑的处罚</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tc>
        <w:tc>
          <w:tcPr>
            <w:tcW w:w="1985" w:type="dxa"/>
            <w:shd w:val="clear" w:color="auto" w:fill="FFFFFF"/>
            <w:vAlign w:val="center"/>
          </w:tcPr>
          <w:p>
            <w:pPr>
              <w:pStyle w:val="35"/>
              <w:spacing w:line="260" w:lineRule="exact"/>
              <w:jc w:val="both"/>
              <w:rPr>
                <w:rFonts w:ascii="方正书宋_GBK" w:hAnsi="Times New Roman" w:eastAsia="PMingLiU" w:cs="Times New Roman"/>
                <w:color w:val="000000"/>
                <w:sz w:val="18"/>
                <w:szCs w:val="18"/>
              </w:rPr>
            </w:pPr>
          </w:p>
          <w:p>
            <w:pPr>
              <w:pStyle w:val="35"/>
              <w:spacing w:line="260" w:lineRule="exact"/>
              <w:jc w:val="both"/>
              <w:rPr>
                <w:rFonts w:ascii="方正书宋_GBK" w:hAnsi="Times New Roman" w:eastAsia="PMingLiU" w:cs="Times New Roman"/>
                <w:color w:val="000000"/>
                <w:sz w:val="18"/>
                <w:szCs w:val="18"/>
              </w:rPr>
            </w:pPr>
          </w:p>
          <w:p>
            <w:pPr>
              <w:pStyle w:val="35"/>
              <w:spacing w:line="26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p>
            <w:pPr>
              <w:pStyle w:val="35"/>
              <w:spacing w:line="260" w:lineRule="exact"/>
              <w:jc w:val="both"/>
              <w:rPr>
                <w:rFonts w:ascii="方正书宋_GBK" w:hAnsi="Times New Roman" w:eastAsia="方正书宋_GBK" w:cs="Times New Roman"/>
                <w:color w:val="000000"/>
                <w:sz w:val="18"/>
                <w:szCs w:val="18"/>
                <w:lang w:eastAsia="zh-CN"/>
              </w:rPr>
            </w:pPr>
          </w:p>
          <w:p>
            <w:pPr>
              <w:pStyle w:val="35"/>
              <w:spacing w:line="260" w:lineRule="exact"/>
              <w:jc w:val="both"/>
              <w:rPr>
                <w:rFonts w:ascii="方正书宋_GBK" w:hAnsi="Times New Roman" w:eastAsia="方正书宋_GBK" w:cs="Times New Roman"/>
                <w:color w:val="000000"/>
                <w:sz w:val="18"/>
                <w:szCs w:val="18"/>
                <w:lang w:eastAsia="zh-CN"/>
              </w:rPr>
            </w:pPr>
          </w:p>
          <w:p>
            <w:pPr>
              <w:pStyle w:val="35"/>
              <w:spacing w:line="260" w:lineRule="exact"/>
              <w:jc w:val="both"/>
              <w:rPr>
                <w:rFonts w:ascii="方正书宋_GBK" w:hAnsi="Times New Roman" w:eastAsia="方正书宋_GBK" w:cs="Times New Roman"/>
                <w:color w:val="000000"/>
                <w:sz w:val="18"/>
                <w:szCs w:val="18"/>
                <w:lang w:eastAsia="zh-CN"/>
              </w:rPr>
            </w:pPr>
          </w:p>
        </w:tc>
        <w:tc>
          <w:tcPr>
            <w:tcW w:w="850" w:type="dxa"/>
            <w:shd w:val="clear" w:color="auto" w:fill="FFFFFF"/>
            <w:vAlign w:val="center"/>
          </w:tcPr>
          <w:p>
            <w:pPr>
              <w:pStyle w:val="35"/>
              <w:spacing w:line="260"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26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6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66"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对规划城镇建设用地外擅自设置、移动、涂改或者损毁历史文化街区、名镇、名村标志牌的处罚</w:t>
            </w:r>
          </w:p>
        </w:tc>
        <w:tc>
          <w:tcPr>
            <w:tcW w:w="2126" w:type="dxa"/>
            <w:shd w:val="clear" w:color="auto" w:fill="FFFFFF"/>
            <w:vAlign w:val="center"/>
          </w:tcPr>
          <w:p>
            <w:pPr>
              <w:pStyle w:val="35"/>
              <w:spacing w:line="24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12" w:lineRule="exact"/>
              <w:jc w:val="both"/>
              <w:rPr>
                <w:rFonts w:ascii="方正书宋_GBK" w:hAnsi="Times New Roman" w:eastAsia="方正书宋_GBK" w:cs="Times New Roman"/>
                <w:color w:val="000000"/>
                <w:sz w:val="18"/>
                <w:szCs w:val="18"/>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 xml:space="preserve"> 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388"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对城乡规划编制单位违反规划资质管理的处罚</w:t>
            </w:r>
          </w:p>
        </w:tc>
        <w:tc>
          <w:tcPr>
            <w:tcW w:w="2126" w:type="dxa"/>
            <w:shd w:val="clear" w:color="auto" w:fill="FFFFFF"/>
            <w:vAlign w:val="center"/>
          </w:tcPr>
          <w:p>
            <w:pPr>
              <w:pStyle w:val="35"/>
              <w:spacing w:line="24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12" w:lineRule="exact"/>
              <w:jc w:val="both"/>
              <w:rPr>
                <w:rFonts w:ascii="方正书宋_GBK" w:hAnsi="Times New Roman" w:eastAsia="方正书宋_GBK" w:cs="Times New Roman"/>
                <w:color w:val="000000"/>
                <w:sz w:val="18"/>
                <w:szCs w:val="18"/>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41"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0"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对以欺骗手段申请或取得城乡规划编制单位资质证书的处罚</w:t>
            </w:r>
          </w:p>
        </w:tc>
        <w:tc>
          <w:tcPr>
            <w:tcW w:w="2126" w:type="dxa"/>
            <w:shd w:val="clear" w:color="auto" w:fill="FFFFFF"/>
            <w:vAlign w:val="center"/>
          </w:tcPr>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1.行政相对人名称；2.行政相对人统一社会信用代码；3.案件名称；4.行政处罚决定书文号；5.处罚事由；6.处罚依据；7.处罚内容；8.处罚机关名称；9.处罚日期。</w:t>
            </w:r>
          </w:p>
        </w:tc>
        <w:tc>
          <w:tcPr>
            <w:tcW w:w="1985" w:type="dxa"/>
            <w:shd w:val="clear" w:color="auto" w:fill="FFFFFF"/>
            <w:vAlign w:val="center"/>
          </w:tcPr>
          <w:p>
            <w:pPr>
              <w:pStyle w:val="35"/>
              <w:spacing w:line="30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pacing w:val="-11"/>
                <w:sz w:val="18"/>
                <w:szCs w:val="18"/>
                <w:lang w:eastAsia="zh-CN"/>
              </w:rPr>
              <w:t>中华人 民共和国城乡规划法》；2</w:t>
            </w:r>
            <w:r>
              <w:rPr>
                <w:rFonts w:hint="eastAsia" w:ascii="方正书宋_GBK" w:hAnsi="Times New Roman" w:eastAsia="方正书宋_GBK" w:cs="Times New Roman"/>
                <w:color w:val="000000"/>
                <w:spacing w:val="-11"/>
                <w:sz w:val="18"/>
                <w:szCs w:val="18"/>
                <w:lang w:val="en-US" w:eastAsia="zh-CN"/>
              </w:rPr>
              <w:t>.</w:t>
            </w:r>
            <w:r>
              <w:rPr>
                <w:rFonts w:hint="eastAsia" w:ascii="方正书宋_GBK" w:hAnsi="Times New Roman" w:eastAsia="方正书宋_GBK" w:cs="Times New Roman"/>
                <w:color w:val="000000"/>
                <w:spacing w:val="-11"/>
                <w:sz w:val="18"/>
                <w:szCs w:val="18"/>
                <w:lang w:eastAsia="zh-CN"/>
              </w:rPr>
              <w:t>《中 华人民共和国政府 信息公开条例》；3</w:t>
            </w:r>
            <w:r>
              <w:rPr>
                <w:rFonts w:hint="eastAsia" w:ascii="方正书宋_GBK" w:hAnsi="Times New Roman" w:eastAsia="方正书宋_GBK" w:cs="Times New Roman"/>
                <w:color w:val="000000"/>
                <w:spacing w:val="-11"/>
                <w:sz w:val="18"/>
                <w:szCs w:val="18"/>
                <w:lang w:val="en-US" w:eastAsia="zh-CN"/>
              </w:rPr>
              <w:t>.</w:t>
            </w:r>
            <w:r>
              <w:rPr>
                <w:rFonts w:hint="eastAsia" w:ascii="方正书宋_GBK" w:hAnsi="Times New Roman" w:eastAsia="方正书宋_GBK" w:cs="Times New Roman"/>
                <w:color w:val="000000"/>
                <w:spacing w:val="-11"/>
                <w:sz w:val="18"/>
                <w:szCs w:val="18"/>
                <w:lang w:eastAsia="zh-CN"/>
              </w:rPr>
              <w:t>《</w:t>
            </w:r>
            <w:r>
              <w:rPr>
                <w:rFonts w:hint="eastAsia" w:ascii="方正书宋_GBK" w:hAnsi="Times New Roman" w:eastAsia="方正书宋_GBK" w:cs="Times New Roman"/>
                <w:color w:val="000000"/>
                <w:spacing w:val="-11"/>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pacing w:val="-11"/>
                <w:sz w:val="18"/>
                <w:szCs w:val="18"/>
                <w:lang w:eastAsia="zh-CN"/>
              </w:rPr>
              <w:t>》。</w:t>
            </w:r>
          </w:p>
        </w:tc>
        <w:tc>
          <w:tcPr>
            <w:tcW w:w="850" w:type="dxa"/>
            <w:shd w:val="clear" w:color="auto" w:fill="FFFFFF"/>
            <w:vAlign w:val="center"/>
          </w:tcPr>
          <w:p>
            <w:pPr>
              <w:pStyle w:val="35"/>
              <w:spacing w:line="300"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30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jc w:val="center"/>
              <w:rPr>
                <w:rFonts w:ascii="方正书宋_GBK" w:hAnsi="Times New Roman" w:eastAsia="方正书宋_GBK"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p>
        </w:tc>
        <w:tc>
          <w:tcPr>
            <w:tcW w:w="288"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92"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对规划城镇建设用地外已取得相关规划手续而未取得建设工程规划许可证或者未按照建设工程规划许可证的规定进行建设的处罚</w:t>
            </w:r>
          </w:p>
          <w:p>
            <w:pPr>
              <w:pStyle w:val="35"/>
              <w:spacing w:line="307" w:lineRule="exact"/>
              <w:jc w:val="center"/>
              <w:rPr>
                <w:rFonts w:ascii="方正书宋_GBK" w:hAnsi="Times New Roman" w:eastAsia="方正书宋_GBK" w:cs="Times New Roman"/>
                <w:color w:val="000000"/>
                <w:sz w:val="18"/>
                <w:szCs w:val="18"/>
              </w:rPr>
            </w:pPr>
          </w:p>
        </w:tc>
        <w:tc>
          <w:tcPr>
            <w:tcW w:w="2126" w:type="dxa"/>
            <w:shd w:val="clear" w:color="auto" w:fill="FFFFFF"/>
            <w:vAlign w:val="center"/>
          </w:tcPr>
          <w:p>
            <w:pPr>
              <w:pStyle w:val="35"/>
              <w:spacing w:line="24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12" w:lineRule="exact"/>
              <w:jc w:val="both"/>
              <w:rPr>
                <w:rFonts w:ascii="方正书宋_GBK" w:hAnsi="Times New Roman" w:eastAsia="方正书宋_GBK" w:cs="Times New Roman"/>
                <w:color w:val="000000"/>
                <w:sz w:val="18"/>
                <w:szCs w:val="18"/>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325"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280"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300" w:type="dxa"/>
            <w:gridSpan w:val="2"/>
            <w:shd w:val="clear" w:color="auto" w:fill="FFFFFF"/>
            <w:vAlign w:val="center"/>
          </w:tcPr>
          <w:p>
            <w:pPr>
              <w:pStyle w:val="35"/>
              <w:spacing w:line="280"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80" w:type="dxa"/>
            <w:gridSpan w:val="2"/>
            <w:shd w:val="clear" w:color="auto" w:fill="FFFFFF"/>
            <w:vAlign w:val="center"/>
          </w:tcPr>
          <w:p>
            <w:pPr>
              <w:pStyle w:val="35"/>
              <w:spacing w:line="280"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对规划城镇建设用地外未按批准内容进行临时建设、临时建（构）筑物超过批准期限不拆除的处罚</w:t>
            </w:r>
          </w:p>
        </w:tc>
        <w:tc>
          <w:tcPr>
            <w:tcW w:w="2126" w:type="dxa"/>
            <w:shd w:val="clear" w:color="auto" w:fill="FFFFFF"/>
            <w:vAlign w:val="center"/>
          </w:tcPr>
          <w:p>
            <w:pPr>
              <w:pStyle w:val="35"/>
              <w:snapToGrid w:val="0"/>
              <w:spacing w:line="28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280" w:lineRule="exact"/>
              <w:jc w:val="both"/>
              <w:rPr>
                <w:rFonts w:ascii="方正书宋_GBK" w:hAnsi="Times New Roman" w:eastAsia="方正书宋_GBK" w:cs="Times New Roman"/>
                <w:color w:val="000000"/>
                <w:sz w:val="18"/>
                <w:szCs w:val="18"/>
              </w:rPr>
            </w:pPr>
          </w:p>
        </w:tc>
        <w:tc>
          <w:tcPr>
            <w:tcW w:w="1985" w:type="dxa"/>
            <w:shd w:val="clear" w:color="auto" w:fill="FFFFFF"/>
            <w:vAlign w:val="center"/>
          </w:tcPr>
          <w:p>
            <w:pPr>
              <w:pStyle w:val="35"/>
              <w:spacing w:line="28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《中华人 民共和国城乡规划法》；2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《中 华人民共和国政府 信息公开条例》；3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280"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 xml:space="preserve"> 个工作日内</w:t>
            </w:r>
          </w:p>
        </w:tc>
        <w:tc>
          <w:tcPr>
            <w:tcW w:w="851" w:type="dxa"/>
            <w:shd w:val="clear" w:color="auto" w:fill="FFFFFF"/>
            <w:vAlign w:val="center"/>
          </w:tcPr>
          <w:p>
            <w:pPr>
              <w:pStyle w:val="35"/>
              <w:spacing w:line="28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8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300" w:type="dxa"/>
            <w:gridSpan w:val="2"/>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80" w:type="dxa"/>
            <w:gridSpan w:val="2"/>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对建设单位未按期报送竣工验收资料的处罚</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tc>
        <w:tc>
          <w:tcPr>
            <w:tcW w:w="1985" w:type="dxa"/>
            <w:shd w:val="clear" w:color="auto" w:fill="FFFFFF"/>
            <w:vAlign w:val="center"/>
          </w:tcPr>
          <w:p>
            <w:pPr>
              <w:pStyle w:val="35"/>
              <w:spacing w:line="312" w:lineRule="exact"/>
              <w:jc w:val="both"/>
              <w:rPr>
                <w:rFonts w:ascii="方正书宋_GBK" w:hAnsi="Times New Roman" w:eastAsia="PMingLiU" w:cs="Times New Roman"/>
                <w:color w:val="000000"/>
                <w:sz w:val="18"/>
                <w:szCs w:val="18"/>
              </w:rPr>
            </w:pPr>
          </w:p>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p>
            <w:pPr>
              <w:pStyle w:val="35"/>
              <w:spacing w:line="312" w:lineRule="exact"/>
              <w:jc w:val="both"/>
              <w:rPr>
                <w:rFonts w:ascii="方正书宋_GBK" w:hAnsi="Times New Roman" w:eastAsia="方正书宋_GBK" w:cs="Times New Roman"/>
                <w:color w:val="000000"/>
                <w:sz w:val="18"/>
                <w:szCs w:val="18"/>
                <w:lang w:eastAsia="zh-CN"/>
              </w:rPr>
            </w:pPr>
          </w:p>
          <w:p>
            <w:pPr>
              <w:pStyle w:val="35"/>
              <w:spacing w:line="312" w:lineRule="exact"/>
              <w:jc w:val="both"/>
              <w:rPr>
                <w:rFonts w:ascii="方正书宋_GBK" w:hAnsi="Times New Roman" w:eastAsia="方正书宋_GBK" w:cs="Times New Roman"/>
                <w:color w:val="000000"/>
                <w:sz w:val="18"/>
                <w:szCs w:val="18"/>
                <w:lang w:eastAsia="zh-CN"/>
              </w:rPr>
            </w:pP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jc w:val="center"/>
              <w:rPr>
                <w:rFonts w:ascii="方正书宋_GBK" w:hAnsi="Times New Roman" w:eastAsia="方正书宋_GBK"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311"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300" w:type="dxa"/>
            <w:gridSpan w:val="2"/>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80" w:type="dxa"/>
            <w:gridSpan w:val="2"/>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对未经批准擅自建立相对独立的平面坐标系统的处罚</w:t>
            </w:r>
          </w:p>
        </w:tc>
        <w:tc>
          <w:tcPr>
            <w:tcW w:w="2126" w:type="dxa"/>
            <w:shd w:val="clear" w:color="auto" w:fill="FFFFFF"/>
            <w:vAlign w:val="center"/>
          </w:tcPr>
          <w:p>
            <w:pPr>
              <w:pStyle w:val="35"/>
              <w:snapToGrid w:val="0"/>
              <w:spacing w:line="20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p>
            <w:pPr>
              <w:pStyle w:val="35"/>
              <w:spacing w:line="312" w:lineRule="exact"/>
              <w:jc w:val="both"/>
              <w:rPr>
                <w:rFonts w:ascii="方正书宋_GBK" w:hAnsi="Times New Roman" w:eastAsia="方正书宋_GBK" w:cs="Times New Roman"/>
                <w:color w:val="000000"/>
                <w:sz w:val="18"/>
                <w:szCs w:val="18"/>
              </w:rPr>
            </w:pP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jc w:val="center"/>
              <w:rPr>
                <w:rFonts w:ascii="方正书宋_GBK" w:hAnsi="Times New Roman" w:eastAsia="方正书宋_GBK"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83"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315"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65"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对规划城镇建设用地外擅自改变建设工程规划许可证及其附件、附图内容实施外立面建设的处罚</w:t>
            </w:r>
          </w:p>
          <w:p>
            <w:pPr>
              <w:pStyle w:val="35"/>
              <w:spacing w:line="307" w:lineRule="exact"/>
              <w:jc w:val="center"/>
              <w:rPr>
                <w:rFonts w:ascii="方正书宋_GBK" w:hAnsi="Times New Roman" w:eastAsia="方正书宋_GBK" w:cs="Times New Roman"/>
                <w:color w:val="000000"/>
                <w:sz w:val="18"/>
                <w:szCs w:val="18"/>
              </w:rPr>
            </w:pP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315"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65"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对有关设计单位严重违反规划条件或者规划设计要求进行设计的处罚</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 xml:space="preserve"> 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315"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65"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对擅自改变城乡规划主管部门核发的乡村建设规划许可证及附件、附图的许可内容进行建设的处罚</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 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主管部门、乡镇街道</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60" w:hRule="atLeast"/>
        </w:trPr>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lang w:val="en-US" w:eastAsia="zh-CN"/>
              </w:rPr>
              <w:t>行政处罚</w:t>
            </w:r>
          </w:p>
        </w:tc>
        <w:tc>
          <w:tcPr>
            <w:tcW w:w="315" w:type="dxa"/>
            <w:gridSpan w:val="3"/>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lang w:val="en-US" w:eastAsia="zh-CN"/>
              </w:rPr>
              <w:t>事后公开</w:t>
            </w:r>
          </w:p>
        </w:tc>
        <w:tc>
          <w:tcPr>
            <w:tcW w:w="965" w:type="dxa"/>
            <w:shd w:val="clear" w:color="auto" w:fill="FFFFFF"/>
            <w:vAlign w:val="center"/>
          </w:tcPr>
          <w:p>
            <w:pPr>
              <w:pStyle w:val="35"/>
              <w:spacing w:line="280"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对历史建筑保护责任人未按规定履行保护责任，造成历史建筑有损毁危险的处罚</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rPr>
              <w:t>行政相对人名称</w:t>
            </w:r>
            <w:r>
              <w:rPr>
                <w:rFonts w:hint="eastAsia" w:ascii="方正书宋_GBK" w:hAnsi="Times New Roman" w:eastAsia="方正书宋_GBK" w:cs="Times New Roman"/>
                <w:color w:val="000000"/>
                <w:sz w:val="18"/>
                <w:szCs w:val="18"/>
                <w:lang w:eastAsia="zh-CN"/>
              </w:rPr>
              <w:t>；2.行政相对人统一社会信用代码；3.案件名称；4.行政处罚决定书文号；5.处罚事由；6.处罚依据；7.处罚内容；8.处罚机关名称；9.处罚日期。</w:t>
            </w:r>
          </w:p>
        </w:tc>
        <w:tc>
          <w:tcPr>
            <w:tcW w:w="1985" w:type="dxa"/>
            <w:shd w:val="clear" w:color="auto" w:fill="FFFFFF"/>
            <w:vAlign w:val="center"/>
          </w:tcPr>
          <w:p>
            <w:pPr>
              <w:pStyle w:val="35"/>
              <w:spacing w:line="28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 民共和国城乡规划法》</w:t>
            </w: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 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lang w:eastAsia="zh-CN"/>
              </w:rPr>
              <w:t>《</w:t>
            </w:r>
            <w:r>
              <w:rPr>
                <w:rFonts w:hint="eastAsia" w:ascii="方正书宋_GBK" w:hAnsi="Times New Roman" w:eastAsia="方正书宋_GBK" w:cs="Times New Roman"/>
                <w:color w:val="000000"/>
                <w:sz w:val="18"/>
                <w:szCs w:val="18"/>
                <w:lang w:val="en-US" w:eastAsia="zh-CN"/>
              </w:rPr>
              <w:t>重庆市全面推行行政执法公示制度执法全过程记录制度重大执法决定法制审核制度实施方案</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处罚决定作出之日起7</w:t>
            </w:r>
            <w:r>
              <w:rPr>
                <w:rFonts w:hint="eastAsia" w:ascii="方正书宋_GBK" w:hAnsi="Times New Roman" w:eastAsia="方正书宋_GBK" w:cs="Times New Roman"/>
                <w:color w:val="000000"/>
                <w:sz w:val="18"/>
                <w:szCs w:val="18"/>
              </w:rPr>
              <w:t>个工作日内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19</w:t>
            </w:r>
          </w:p>
        </w:tc>
        <w:tc>
          <w:tcPr>
            <w:tcW w:w="72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行政</w:t>
            </w:r>
          </w:p>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lang w:val="en-US" w:eastAsia="zh-CN"/>
              </w:rPr>
              <w:t>强制</w:t>
            </w: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sz w:val="18"/>
                <w:szCs w:val="18"/>
              </w:rPr>
              <w:t>在乡、村庄规划区内未依法取得乡村建设规划许可证或者未按照乡村建设规划许可证的规定进行建设的强制</w:t>
            </w:r>
          </w:p>
        </w:tc>
        <w:tc>
          <w:tcPr>
            <w:tcW w:w="2126"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lang w:val="en-US" w:eastAsia="zh-CN"/>
              </w:rPr>
              <w:t>执法事项</w:t>
            </w:r>
            <w:r>
              <w:rPr>
                <w:rFonts w:hint="eastAsia" w:ascii="方正书宋_GBK" w:hAnsi="Times New Roman" w:eastAsia="方正书宋_GBK" w:cs="Times New Roman"/>
                <w:color w:val="000000"/>
                <w:sz w:val="18"/>
                <w:szCs w:val="18"/>
              </w:rPr>
              <w:t>、依据</w:t>
            </w:r>
            <w:r>
              <w:rPr>
                <w:rFonts w:hint="eastAsia" w:ascii="方正书宋_GBK" w:hAnsi="Times New Roman" w:eastAsia="方正书宋_GBK" w:cs="Times New Roman"/>
                <w:color w:val="000000"/>
                <w:sz w:val="18"/>
                <w:szCs w:val="18"/>
                <w:lang w:eastAsia="zh-CN"/>
              </w:rPr>
              <w:t>、程序、当事人、强制决定书文号、强制类型事项、强制日期、强制机关。</w:t>
            </w:r>
          </w:p>
        </w:tc>
        <w:tc>
          <w:tcPr>
            <w:tcW w:w="1985" w:type="dxa"/>
            <w:shd w:val="clear" w:color="auto" w:fill="FFFFFF"/>
            <w:vAlign w:val="center"/>
          </w:tcPr>
          <w:p>
            <w:pPr>
              <w:pStyle w:val="35"/>
              <w:spacing w:line="26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1</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《中华人民共和国城乡规划法》</w:t>
            </w:r>
            <w:r>
              <w:rPr>
                <w:rFonts w:hint="eastAsia" w:ascii="方正书宋_GBK" w:hAnsi="Times New Roman" w:eastAsia="方正书宋_GBK" w:cs="Times New Roman"/>
                <w:color w:val="000000"/>
                <w:sz w:val="18"/>
                <w:szCs w:val="18"/>
                <w:lang w:eastAsia="zh-CN"/>
              </w:rPr>
              <w:t>；</w:t>
            </w:r>
          </w:p>
          <w:p>
            <w:pPr>
              <w:pStyle w:val="35"/>
              <w:spacing w:line="260" w:lineRule="exact"/>
              <w:jc w:val="both"/>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2</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；3</w:t>
            </w:r>
            <w:r>
              <w:rPr>
                <w:rFonts w:hint="eastAsia" w:ascii="方正书宋_GBK" w:hAnsi="Times New Roman" w:eastAsia="方正书宋_GBK" w:cs="Times New Roman"/>
                <w:color w:val="000000"/>
                <w:sz w:val="18"/>
                <w:szCs w:val="18"/>
                <w:lang w:val="en-US" w:eastAsia="zh-CN"/>
              </w:rPr>
              <w:t>.</w:t>
            </w: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val="en-US" w:eastAsia="zh-CN"/>
              </w:rPr>
              <w:t>中共重庆市委 重庆市人民政府关于建立重庆市国土空间规划体系做好新时代国土空间规划的意见</w:t>
            </w: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 个工作</w:t>
            </w:r>
            <w:r>
              <w:rPr>
                <w:rFonts w:hint="eastAsia" w:ascii="方正书宋_GBK" w:hAnsi="Times New Roman" w:eastAsia="方正书宋_GBK" w:cs="Times New Roman"/>
                <w:color w:val="000000"/>
                <w:sz w:val="18"/>
                <w:szCs w:val="18"/>
                <w:lang w:val="en-US" w:eastAsia="zh-CN"/>
              </w:rPr>
              <w:t>日</w:t>
            </w:r>
            <w:r>
              <w:rPr>
                <w:rFonts w:hint="eastAsia" w:ascii="方正书宋_GBK" w:hAnsi="Times New Roman" w:eastAsia="方正书宋_GBK" w:cs="Times New Roman"/>
                <w:color w:val="000000"/>
                <w:sz w:val="18"/>
                <w:szCs w:val="18"/>
              </w:rPr>
              <w:t>内</w:t>
            </w:r>
          </w:p>
        </w:tc>
        <w:tc>
          <w:tcPr>
            <w:tcW w:w="851" w:type="dxa"/>
            <w:shd w:val="clear" w:color="auto" w:fill="FFFFFF"/>
            <w:vAlign w:val="center"/>
          </w:tcPr>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作出强制决定的机关</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b/>
                <w:bCs/>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r>
              <w:rPr>
                <w:rFonts w:hint="eastAsia" w:ascii="方正书宋_GBK" w:hAnsi="Times New Roman" w:eastAsia="方正书宋_GBK" w:cs="Times New Roman"/>
                <w:b/>
                <w:bCs/>
                <w:color w:val="000000"/>
                <w:sz w:val="18"/>
                <w:szCs w:val="18"/>
              </w:rPr>
              <w:t>√</w:t>
            </w:r>
          </w:p>
        </w:tc>
        <w:tc>
          <w:tcPr>
            <w:tcW w:w="709" w:type="dxa"/>
            <w:shd w:val="clear" w:color="auto" w:fill="FFFFFF"/>
          </w:tcPr>
          <w:p>
            <w:pPr>
              <w:rPr>
                <w:rFonts w:ascii="方正书宋_GBK" w:hAnsi="Times New Roman" w:eastAsia="方正书宋_GBK"/>
                <w:color w:val="000000"/>
                <w:sz w:val="18"/>
                <w:szCs w:val="18"/>
              </w:rPr>
            </w:pP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b/>
                <w:bCs/>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405"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lang w:val="en-US" w:eastAsia="zh-CN"/>
              </w:rPr>
            </w:pPr>
            <w:r>
              <w:rPr>
                <w:rFonts w:hint="eastAsia" w:ascii="方正书宋_GBK" w:hAnsi="Times New Roman" w:eastAsia="方正书宋_GBK" w:cs="Times New Roman"/>
                <w:color w:val="000000"/>
                <w:sz w:val="18"/>
                <w:szCs w:val="18"/>
                <w:lang w:val="en-US" w:eastAsia="zh-CN"/>
              </w:rPr>
              <w:t>20</w:t>
            </w:r>
          </w:p>
        </w:tc>
        <w:tc>
          <w:tcPr>
            <w:tcW w:w="720" w:type="dxa"/>
            <w:shd w:val="clear" w:color="auto" w:fill="FFFFFF"/>
            <w:vAlign w:val="center"/>
          </w:tcPr>
          <w:p>
            <w:pPr>
              <w:pStyle w:val="35"/>
              <w:spacing w:line="326" w:lineRule="exact"/>
              <w:ind w:left="160" w:firstLine="20"/>
              <w:rPr>
                <w:rFonts w:ascii="方正书宋_GBK" w:hAnsi="Times New Roman" w:eastAsia="方正书宋_GBK" w:cs="Times New Roman"/>
                <w:sz w:val="18"/>
                <w:szCs w:val="18"/>
              </w:rPr>
            </w:pPr>
            <w:r>
              <w:rPr>
                <w:rFonts w:hint="eastAsia" w:ascii="方正书宋_GBK" w:hAnsi="Times New Roman" w:eastAsia="方正书宋_GBK"/>
                <w:sz w:val="18"/>
                <w:szCs w:val="18"/>
              </w:rPr>
              <w:t>城乡规划查询服务</w:t>
            </w:r>
          </w:p>
        </w:tc>
        <w:tc>
          <w:tcPr>
            <w:tcW w:w="1280" w:type="dxa"/>
            <w:gridSpan w:val="4"/>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p>
        </w:tc>
        <w:tc>
          <w:tcPr>
            <w:tcW w:w="2126" w:type="dxa"/>
            <w:shd w:val="clear" w:color="auto" w:fill="FFFFFF"/>
            <w:vAlign w:val="center"/>
          </w:tcPr>
          <w:p>
            <w:pPr>
              <w:spacing w:line="240" w:lineRule="exact"/>
              <w:rPr>
                <w:rFonts w:ascii="方正书宋_GBK" w:hAnsi="Times New Roman" w:eastAsia="方正书宋_GBK" w:cs="Times New Roman"/>
                <w:color w:val="000000"/>
                <w:sz w:val="18"/>
                <w:szCs w:val="18"/>
              </w:rPr>
            </w:pPr>
            <w:r>
              <w:rPr>
                <w:rFonts w:hint="eastAsia" w:ascii="方正书宋_GBK" w:hAnsi="Times New Roman" w:eastAsia="方正书宋_GBK"/>
                <w:spacing w:val="-6"/>
                <w:sz w:val="18"/>
                <w:szCs w:val="18"/>
              </w:rPr>
              <w:t>为申请人提供城乡规划和交通规划编制及规划许可方面的基础资料、统计信息、分析报告、城乡规划和交通规划实施监测报告以及承办社会法人针对城乡规划和交通规划相关问题建议受理及回复。</w:t>
            </w:r>
          </w:p>
        </w:tc>
        <w:tc>
          <w:tcPr>
            <w:tcW w:w="1985" w:type="dxa"/>
            <w:shd w:val="clear" w:color="auto" w:fill="FFFFFF"/>
            <w:vAlign w:val="center"/>
          </w:tcPr>
          <w:p>
            <w:pPr>
              <w:pStyle w:val="35"/>
              <w:spacing w:line="312" w:lineRule="exact"/>
              <w:jc w:val="both"/>
              <w:rPr>
                <w:rFonts w:ascii="方正书宋_GBK" w:hAnsi="Times New Roman" w:eastAsia="方正书宋_GBK" w:cs="Times New Roman"/>
                <w:color w:val="000000"/>
                <w:sz w:val="18"/>
                <w:szCs w:val="18"/>
                <w:lang w:eastAsia="zh-CN"/>
              </w:rPr>
            </w:pPr>
            <w:r>
              <w:rPr>
                <w:rStyle w:val="23"/>
                <w:rFonts w:hint="default" w:ascii="方正书宋_GBK" w:hAnsi="Times New Roman" w:eastAsia="方正书宋_GBK"/>
                <w:sz w:val="18"/>
                <w:szCs w:val="18"/>
              </w:rPr>
              <w:t>1</w:t>
            </w:r>
            <w:r>
              <w:rPr>
                <w:rStyle w:val="23"/>
                <w:rFonts w:hint="default" w:ascii="方正书宋_GBK" w:hAnsi="Times New Roman" w:eastAsia="方正书宋_GBK"/>
                <w:sz w:val="18"/>
                <w:szCs w:val="18"/>
                <w:lang w:val="en-US" w:eastAsia="zh-CN"/>
              </w:rPr>
              <w:t>.</w:t>
            </w:r>
            <w:r>
              <w:rPr>
                <w:rStyle w:val="23"/>
                <w:rFonts w:hint="default" w:ascii="方正书宋_GBK" w:hAnsi="Times New Roman" w:eastAsia="方正书宋_GBK"/>
                <w:sz w:val="18"/>
                <w:szCs w:val="18"/>
              </w:rPr>
              <w:t>《重庆市城乡规划条例》；2</w:t>
            </w:r>
            <w:r>
              <w:rPr>
                <w:rStyle w:val="23"/>
                <w:rFonts w:hint="default" w:ascii="方正书宋_GBK" w:hAnsi="Times New Roman" w:eastAsia="方正书宋_GBK"/>
                <w:sz w:val="18"/>
                <w:szCs w:val="18"/>
                <w:lang w:val="en-US" w:eastAsia="zh-CN"/>
              </w:rPr>
              <w:t>.</w:t>
            </w:r>
            <w:r>
              <w:rPr>
                <w:rFonts w:hint="eastAsia" w:ascii="方正书宋_GBK" w:hAnsi="Times New Roman" w:eastAsia="方正书宋_GBK" w:cs="Times New Roman"/>
                <w:color w:val="000000"/>
                <w:sz w:val="18"/>
                <w:szCs w:val="18"/>
              </w:rPr>
              <w:t>《中华人民共和国政府信息公开条例》</w:t>
            </w:r>
            <w:r>
              <w:rPr>
                <w:rFonts w:hint="eastAsia" w:ascii="方正书宋_GBK" w:hAnsi="Times New Roman" w:eastAsia="方正书宋_GBK" w:cs="Times New Roman"/>
                <w:color w:val="000000"/>
                <w:sz w:val="18"/>
                <w:szCs w:val="18"/>
                <w:lang w:eastAsia="zh-CN"/>
              </w:rPr>
              <w:t>。</w:t>
            </w:r>
          </w:p>
        </w:tc>
        <w:tc>
          <w:tcPr>
            <w:tcW w:w="850" w:type="dxa"/>
            <w:shd w:val="clear" w:color="auto" w:fill="FFFFFF"/>
            <w:vAlign w:val="center"/>
          </w:tcPr>
          <w:p>
            <w:pPr>
              <w:pStyle w:val="35"/>
              <w:spacing w:line="307" w:lineRule="exact"/>
              <w:jc w:val="center"/>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信息形成或者变更之日起20 个工作</w:t>
            </w:r>
            <w:r>
              <w:rPr>
                <w:rFonts w:hint="eastAsia" w:ascii="方正书宋_GBK" w:hAnsi="Times New Roman" w:eastAsia="方正书宋_GBK" w:cs="Times New Roman"/>
                <w:color w:val="000000"/>
                <w:sz w:val="18"/>
                <w:szCs w:val="18"/>
                <w:lang w:val="en-US" w:eastAsia="zh-CN"/>
              </w:rPr>
              <w:t>日</w:t>
            </w:r>
            <w:r>
              <w:rPr>
                <w:rFonts w:hint="eastAsia" w:ascii="方正书宋_GBK" w:hAnsi="Times New Roman" w:eastAsia="方正书宋_GBK" w:cs="Times New Roman"/>
                <w:color w:val="000000"/>
                <w:sz w:val="18"/>
                <w:szCs w:val="18"/>
              </w:rPr>
              <w:t>内</w:t>
            </w:r>
          </w:p>
        </w:tc>
        <w:tc>
          <w:tcPr>
            <w:tcW w:w="851" w:type="dxa"/>
            <w:shd w:val="clear" w:color="auto" w:fill="FFFFFF"/>
            <w:vAlign w:val="center"/>
          </w:tcPr>
          <w:p>
            <w:pPr>
              <w:pStyle w:val="35"/>
              <w:spacing w:line="312"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自然资源</w:t>
            </w:r>
          </w:p>
          <w:p>
            <w:pPr>
              <w:pStyle w:val="35"/>
              <w:spacing w:line="240" w:lineRule="exact"/>
              <w:jc w:val="center"/>
              <w:rPr>
                <w:rFonts w:ascii="方正书宋_GBK" w:hAnsi="Times New Roman" w:eastAsia="方正书宋_GBK" w:cs="Times New Roman"/>
                <w:color w:val="000000"/>
                <w:sz w:val="18"/>
                <w:szCs w:val="18"/>
                <w:lang w:eastAsia="zh-CN"/>
              </w:rPr>
            </w:pPr>
            <w:r>
              <w:rPr>
                <w:rFonts w:hint="eastAsia" w:ascii="方正书宋_GBK" w:hAnsi="Times New Roman" w:eastAsia="方正书宋_GBK" w:cs="Times New Roman"/>
                <w:color w:val="000000"/>
                <w:sz w:val="18"/>
                <w:szCs w:val="18"/>
                <w:lang w:eastAsia="zh-CN"/>
              </w:rPr>
              <w:t>主管部门</w:t>
            </w:r>
          </w:p>
        </w:tc>
        <w:tc>
          <w:tcPr>
            <w:tcW w:w="2410" w:type="dxa"/>
            <w:shd w:val="clear" w:color="auto" w:fill="FFFFFF"/>
            <w:vAlign w:val="center"/>
          </w:tcPr>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政府门户网站</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□政府公报</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w:t>
            </w:r>
            <w:r>
              <w:rPr>
                <w:rFonts w:hint="eastAsia" w:ascii="方正书宋_GBK" w:hAnsi="Times New Roman" w:eastAsia="方正书宋_GBK" w:cs="Times New Roman"/>
                <w:color w:val="000000"/>
                <w:sz w:val="18"/>
                <w:szCs w:val="18"/>
                <w:lang w:eastAsia="zh-CN"/>
              </w:rPr>
              <w:t>政务新媒体</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□发布会/听证会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口广播电视</w:t>
            </w:r>
            <w:r>
              <w:rPr>
                <w:rFonts w:hint="eastAsia" w:ascii="方正书宋_GBK" w:hAnsi="Times New Roman" w:eastAsia="方正书宋_GBK" w:cs="Times New Roman"/>
                <w:color w:val="000000"/>
                <w:sz w:val="18"/>
                <w:szCs w:val="18"/>
                <w:lang w:val="en-US" w:eastAsia="zh-CN"/>
              </w:rPr>
              <w:t xml:space="preserve">  </w:t>
            </w:r>
            <w:r>
              <w:rPr>
                <w:rFonts w:hint="eastAsia" w:ascii="方正书宋_GBK" w:hAnsi="Times New Roman" w:eastAsia="方正书宋_GBK" w:cs="Times New Roman"/>
                <w:color w:val="000000"/>
                <w:sz w:val="18"/>
                <w:szCs w:val="18"/>
              </w:rPr>
              <w:t xml:space="preserve">口纸质载体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口公开查阅点</w:t>
            </w:r>
            <w:r>
              <w:rPr>
                <w:rFonts w:hint="eastAsia" w:ascii="方正书宋_GBK" w:hAnsi="Times New Roman" w:eastAsia="方正书宋_GBK" w:cs="Times New Roman"/>
                <w:color w:val="000000"/>
                <w:sz w:val="18"/>
                <w:szCs w:val="18"/>
                <w:lang w:val="zh-CN" w:eastAsia="zh-CN" w:bidi="zh-CN"/>
              </w:rPr>
              <w:t>■政</w:t>
            </w:r>
            <w:r>
              <w:rPr>
                <w:rFonts w:hint="eastAsia" w:ascii="方正书宋_GBK" w:hAnsi="Times New Roman" w:eastAsia="方正书宋_GBK" w:cs="Times New Roman"/>
                <w:color w:val="000000"/>
                <w:sz w:val="18"/>
                <w:szCs w:val="18"/>
              </w:rPr>
              <w:t xml:space="preserve">府服务中心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 xml:space="preserve">口便民服务站□入户/现场 </w:t>
            </w:r>
          </w:p>
          <w:p>
            <w:pPr>
              <w:pStyle w:val="35"/>
              <w:spacing w:line="200" w:lineRule="exact"/>
              <w:jc w:val="both"/>
              <w:rPr>
                <w:rFonts w:ascii="方正书宋_GBK" w:hAnsi="Times New Roman" w:eastAsia="方正书宋_GBK" w:cs="Times New Roman"/>
                <w:sz w:val="18"/>
                <w:szCs w:val="18"/>
              </w:rPr>
            </w:pPr>
            <w:r>
              <w:rPr>
                <w:rFonts w:hint="eastAsia" w:ascii="方正书宋_GBK" w:hAnsi="Times New Roman" w:eastAsia="方正书宋_GBK" w:cs="Times New Roman"/>
                <w:color w:val="000000"/>
                <w:sz w:val="18"/>
                <w:szCs w:val="18"/>
              </w:rPr>
              <w:t>口社区/企事业单位/村公示栏（电子屏）</w:t>
            </w:r>
          </w:p>
          <w:p>
            <w:pPr>
              <w:pStyle w:val="35"/>
              <w:spacing w:line="300" w:lineRule="exact"/>
              <w:jc w:val="both"/>
              <w:rPr>
                <w:rFonts w:ascii="方正书宋_GBK" w:hAnsi="Times New Roman" w:eastAsia="方正书宋_GBK" w:cs="Times New Roman"/>
                <w:color w:val="000000"/>
                <w:sz w:val="18"/>
                <w:szCs w:val="18"/>
              </w:rPr>
            </w:pPr>
            <w:r>
              <w:rPr>
                <w:rFonts w:hint="eastAsia" w:ascii="方正书宋_GBK" w:hAnsi="Times New Roman" w:eastAsia="方正书宋_GBK" w:cs="Times New Roman"/>
                <w:color w:val="000000"/>
                <w:sz w:val="18"/>
                <w:szCs w:val="18"/>
              </w:rPr>
              <w:t>口精准推送□其他</w:t>
            </w:r>
            <w:r>
              <w:rPr>
                <w:rFonts w:hint="eastAsia" w:ascii="方正书宋_GBK" w:hAnsi="Times New Roman" w:eastAsia="方正书宋_GBK" w:cs="Times New Roman"/>
                <w:color w:val="000000"/>
                <w:sz w:val="18"/>
                <w:szCs w:val="18"/>
                <w:u w:val="single"/>
                <w:lang w:eastAsia="zh-CN"/>
              </w:rPr>
              <w:t xml:space="preserve">     </w:t>
            </w:r>
            <w:r>
              <w:rPr>
                <w:rFonts w:hint="eastAsia" w:ascii="方正书宋_GBK" w:hAnsi="Times New Roman" w:eastAsia="方正书宋_GBK" w:cs="Times New Roman"/>
                <w:color w:val="000000"/>
                <w:sz w:val="18"/>
                <w:szCs w:val="18"/>
                <w:lang w:eastAsia="zh-CN"/>
              </w:rPr>
              <w:t xml:space="preserve">   </w:t>
            </w:r>
          </w:p>
        </w:tc>
        <w:tc>
          <w:tcPr>
            <w:tcW w:w="567" w:type="dxa"/>
            <w:shd w:val="clear" w:color="auto" w:fill="FFFFFF"/>
            <w:vAlign w:val="center"/>
          </w:tcPr>
          <w:p>
            <w:pPr>
              <w:pStyle w:val="35"/>
              <w:spacing w:line="240" w:lineRule="auto"/>
              <w:ind w:firstLine="220"/>
              <w:rPr>
                <w:rFonts w:ascii="方正书宋_GBK" w:hAnsi="Times New Roman" w:eastAsia="方正书宋_GBK"/>
                <w:sz w:val="18"/>
                <w:szCs w:val="18"/>
              </w:rPr>
            </w:pPr>
            <w:r>
              <w:rPr>
                <w:rFonts w:hint="eastAsia" w:ascii="方正书宋_GBK" w:hAnsi="Times New Roman" w:eastAsia="方正书宋_GBK"/>
                <w:sz w:val="18"/>
                <w:szCs w:val="18"/>
              </w:rPr>
              <w:t>√</w:t>
            </w:r>
          </w:p>
        </w:tc>
        <w:tc>
          <w:tcPr>
            <w:tcW w:w="567" w:type="dxa"/>
            <w:shd w:val="clear" w:color="auto" w:fill="FFFFFF"/>
          </w:tcPr>
          <w:p>
            <w:pPr>
              <w:rPr>
                <w:rFonts w:ascii="方正书宋_GBK" w:hAnsi="Times New Roman" w:eastAsia="方正书宋_GBK"/>
                <w:color w:val="000000"/>
                <w:sz w:val="18"/>
                <w:szCs w:val="18"/>
              </w:rPr>
            </w:pPr>
          </w:p>
        </w:tc>
        <w:tc>
          <w:tcPr>
            <w:tcW w:w="708" w:type="dxa"/>
            <w:shd w:val="clear" w:color="auto" w:fill="FFFFFF"/>
            <w:vAlign w:val="center"/>
          </w:tcPr>
          <w:p>
            <w:pPr>
              <w:pStyle w:val="35"/>
              <w:spacing w:line="240" w:lineRule="auto"/>
              <w:ind w:firstLine="260"/>
              <w:rPr>
                <w:rFonts w:ascii="方正书宋_GBK" w:hAnsi="Times New Roman" w:eastAsia="方正书宋_GBK"/>
                <w:sz w:val="18"/>
                <w:szCs w:val="18"/>
              </w:rPr>
            </w:pPr>
          </w:p>
        </w:tc>
        <w:tc>
          <w:tcPr>
            <w:tcW w:w="709" w:type="dxa"/>
            <w:shd w:val="clear" w:color="auto" w:fill="FFFFFF"/>
            <w:vAlign w:val="center"/>
          </w:tcPr>
          <w:p>
            <w:pPr>
              <w:rPr>
                <w:rFonts w:ascii="方正书宋_GBK" w:hAnsi="Times New Roman" w:eastAsia="方正书宋_GBK"/>
                <w:color w:val="000000"/>
                <w:sz w:val="18"/>
                <w:szCs w:val="18"/>
              </w:rPr>
            </w:pPr>
            <w:r>
              <w:rPr>
                <w:rFonts w:hint="eastAsia" w:ascii="方正书宋_GBK" w:hAnsi="Times New Roman" w:eastAsia="方正书宋_GBK"/>
                <w:sz w:val="18"/>
                <w:szCs w:val="18"/>
              </w:rPr>
              <w:t>√</w:t>
            </w:r>
          </w:p>
        </w:tc>
        <w:tc>
          <w:tcPr>
            <w:tcW w:w="567" w:type="dxa"/>
            <w:shd w:val="clear" w:color="auto" w:fill="FFFFFF"/>
            <w:vAlign w:val="center"/>
          </w:tcPr>
          <w:p>
            <w:pPr>
              <w:pStyle w:val="35"/>
              <w:spacing w:line="240" w:lineRule="auto"/>
              <w:jc w:val="center"/>
              <w:rPr>
                <w:rFonts w:ascii="方正书宋_GBK" w:hAnsi="Times New Roman" w:eastAsia="方正书宋_GBK" w:cs="Times New Roman"/>
                <w:color w:val="000000"/>
                <w:sz w:val="18"/>
                <w:szCs w:val="18"/>
              </w:rPr>
            </w:pPr>
            <w:r>
              <w:rPr>
                <w:rFonts w:hint="eastAsia" w:ascii="方正书宋_GBK" w:hAnsi="Times New Roman" w:eastAsia="方正书宋_GBK"/>
                <w:color w:val="000000"/>
                <w:sz w:val="18"/>
                <w:szCs w:val="18"/>
              </w:rPr>
              <w:t>√</w:t>
            </w:r>
          </w:p>
        </w:tc>
        <w:tc>
          <w:tcPr>
            <w:tcW w:w="709" w:type="dxa"/>
            <w:shd w:val="clear" w:color="auto" w:fill="FFFFFF"/>
            <w:vAlign w:val="center"/>
          </w:tcPr>
          <w:p>
            <w:pPr>
              <w:jc w:val="center"/>
              <w:rPr>
                <w:rFonts w:ascii="方正书宋_GBK" w:hAnsi="Times New Roman" w:eastAsia="方正书宋_GBK" w:cs="Times New Roman"/>
                <w:color w:val="000000"/>
                <w:sz w:val="18"/>
                <w:szCs w:val="18"/>
              </w:rPr>
            </w:pPr>
            <w:r>
              <w:rPr>
                <w:rFonts w:hint="eastAsia" w:ascii="方正书宋_GBK" w:hAnsi="Times New Roman" w:eastAsia="方正书宋_GBK"/>
                <w:color w:val="000000"/>
                <w:sz w:val="18"/>
                <w:szCs w:val="18"/>
              </w:rPr>
              <w:t>√</w:t>
            </w:r>
          </w:p>
        </w:tc>
      </w:tr>
      <w:bookmarkEnd w:id="0"/>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Noto Sans Mono CJK JP Regular">
    <w:altName w:val="Arial"/>
    <w:panose1 w:val="00000000000000000000"/>
    <w:charset w:val="00"/>
    <w:family w:val="swiss"/>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新宋体" w:hAnsi="新宋体" w:eastAsia="新宋体" w:cs="新宋体"/>
                              <w:sz w:val="30"/>
                              <w:szCs w:val="30"/>
                            </w:rPr>
                            <w:fldChar w:fldCharType="begin"/>
                          </w:r>
                          <w:r>
                            <w:rPr>
                              <w:rFonts w:hint="eastAsia" w:ascii="新宋体" w:hAnsi="新宋体" w:eastAsia="新宋体" w:cs="新宋体"/>
                              <w:sz w:val="30"/>
                              <w:szCs w:val="30"/>
                            </w:rPr>
                            <w:instrText xml:space="preserve"> PAGE  \* MERGEFORMAT </w:instrText>
                          </w:r>
                          <w:r>
                            <w:rPr>
                              <w:rFonts w:hint="eastAsia" w:ascii="新宋体" w:hAnsi="新宋体" w:eastAsia="新宋体" w:cs="新宋体"/>
                              <w:sz w:val="30"/>
                              <w:szCs w:val="30"/>
                            </w:rPr>
                            <w:fldChar w:fldCharType="separate"/>
                          </w:r>
                          <w:r>
                            <w:rPr>
                              <w:rFonts w:hint="eastAsia" w:ascii="新宋体" w:hAnsi="新宋体" w:eastAsia="新宋体" w:cs="新宋体"/>
                              <w:sz w:val="30"/>
                              <w:szCs w:val="30"/>
                            </w:rPr>
                            <w:t>1</w:t>
                          </w:r>
                          <w:r>
                            <w:rPr>
                              <w:rFonts w:hint="eastAsia" w:ascii="新宋体" w:hAnsi="新宋体" w:eastAsia="新宋体" w:cs="新宋体"/>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新宋体" w:hAnsi="新宋体" w:eastAsia="新宋体" w:cs="新宋体"/>
                        <w:sz w:val="30"/>
                        <w:szCs w:val="30"/>
                      </w:rPr>
                      <w:fldChar w:fldCharType="begin"/>
                    </w:r>
                    <w:r>
                      <w:rPr>
                        <w:rFonts w:hint="eastAsia" w:ascii="新宋体" w:hAnsi="新宋体" w:eastAsia="新宋体" w:cs="新宋体"/>
                        <w:sz w:val="30"/>
                        <w:szCs w:val="30"/>
                      </w:rPr>
                      <w:instrText xml:space="preserve"> PAGE  \* MERGEFORMAT </w:instrText>
                    </w:r>
                    <w:r>
                      <w:rPr>
                        <w:rFonts w:hint="eastAsia" w:ascii="新宋体" w:hAnsi="新宋体" w:eastAsia="新宋体" w:cs="新宋体"/>
                        <w:sz w:val="30"/>
                        <w:szCs w:val="30"/>
                      </w:rPr>
                      <w:fldChar w:fldCharType="separate"/>
                    </w:r>
                    <w:r>
                      <w:rPr>
                        <w:rFonts w:hint="eastAsia" w:ascii="新宋体" w:hAnsi="新宋体" w:eastAsia="新宋体" w:cs="新宋体"/>
                        <w:sz w:val="30"/>
                        <w:szCs w:val="30"/>
                      </w:rPr>
                      <w:t>1</w:t>
                    </w:r>
                    <w:r>
                      <w:rPr>
                        <w:rFonts w:hint="eastAsia" w:ascii="新宋体" w:hAnsi="新宋体" w:eastAsia="新宋体" w:cs="新宋体"/>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D"/>
    <w:rsid w:val="00061F55"/>
    <w:rsid w:val="0013104B"/>
    <w:rsid w:val="00317E18"/>
    <w:rsid w:val="0034116E"/>
    <w:rsid w:val="003E0638"/>
    <w:rsid w:val="004F0535"/>
    <w:rsid w:val="00603132"/>
    <w:rsid w:val="00681A7A"/>
    <w:rsid w:val="007473D7"/>
    <w:rsid w:val="008405BB"/>
    <w:rsid w:val="008F2160"/>
    <w:rsid w:val="00954BDF"/>
    <w:rsid w:val="00BA7090"/>
    <w:rsid w:val="00BD593D"/>
    <w:rsid w:val="00C440F4"/>
    <w:rsid w:val="00D542AD"/>
    <w:rsid w:val="00FA0530"/>
    <w:rsid w:val="4DDA7057"/>
    <w:rsid w:val="65445A10"/>
    <w:rsid w:val="6BC1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4"/>
    <w:qFormat/>
    <w:uiPriority w:val="0"/>
    <w:pPr>
      <w:spacing w:after="120"/>
    </w:pPr>
    <w:rPr>
      <w:szCs w:val="24"/>
    </w:rPr>
  </w:style>
  <w:style w:type="paragraph" w:styleId="3">
    <w:name w:val="Document Map"/>
    <w:basedOn w:val="1"/>
    <w:link w:val="15"/>
    <w:qFormat/>
    <w:uiPriority w:val="0"/>
    <w:rPr>
      <w:rFonts w:ascii="宋体" w:hAnsi="Calibri" w:eastAsia="宋体" w:cs="Times New Roman"/>
      <w:sz w:val="18"/>
      <w:szCs w:val="18"/>
    </w:rPr>
  </w:style>
  <w:style w:type="paragraph" w:styleId="4">
    <w:name w:val="Balloon Text"/>
    <w:basedOn w:val="1"/>
    <w:link w:val="16"/>
    <w:qFormat/>
    <w:uiPriority w:val="0"/>
    <w:rPr>
      <w:rFonts w:ascii="Calibri" w:hAnsi="Calibri" w:eastAsia="宋体" w:cs="Times New Roman"/>
      <w:sz w:val="18"/>
      <w:szCs w:val="18"/>
    </w:rPr>
  </w:style>
  <w:style w:type="paragraph" w:styleId="5">
    <w:name w:val="footer"/>
    <w:basedOn w:val="1"/>
    <w:link w:val="17"/>
    <w:qFormat/>
    <w:uiPriority w:val="99"/>
    <w:pPr>
      <w:tabs>
        <w:tab w:val="center" w:pos="4153"/>
        <w:tab w:val="right" w:pos="8306"/>
      </w:tabs>
      <w:snapToGrid w:val="0"/>
      <w:jc w:val="left"/>
    </w:pPr>
    <w:rPr>
      <w:sz w:val="18"/>
      <w:szCs w:val="24"/>
    </w:r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sz w:val="24"/>
      <w:szCs w:val="24"/>
    </w:r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99"/>
    <w:rPr>
      <w:color w:val="0000FF"/>
      <w:u w:val="single"/>
    </w:rPr>
  </w:style>
  <w:style w:type="table" w:styleId="13">
    <w:name w:val="Table Grid"/>
    <w:basedOn w:val="12"/>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正文文本 字符"/>
    <w:basedOn w:val="8"/>
    <w:link w:val="2"/>
    <w:qFormat/>
    <w:uiPriority w:val="0"/>
    <w:rPr>
      <w:szCs w:val="24"/>
    </w:rPr>
  </w:style>
  <w:style w:type="character" w:customStyle="1" w:styleId="15">
    <w:name w:val="文档结构图 字符"/>
    <w:basedOn w:val="8"/>
    <w:link w:val="3"/>
    <w:qFormat/>
    <w:uiPriority w:val="0"/>
    <w:rPr>
      <w:rFonts w:ascii="宋体" w:hAnsi="Calibri" w:eastAsia="宋体" w:cs="Times New Roman"/>
      <w:sz w:val="18"/>
      <w:szCs w:val="18"/>
    </w:rPr>
  </w:style>
  <w:style w:type="character" w:customStyle="1" w:styleId="16">
    <w:name w:val="批注框文本 字符"/>
    <w:basedOn w:val="8"/>
    <w:link w:val="4"/>
    <w:qFormat/>
    <w:uiPriority w:val="0"/>
    <w:rPr>
      <w:rFonts w:ascii="Calibri" w:hAnsi="Calibri" w:eastAsia="宋体" w:cs="Times New Roman"/>
      <w:sz w:val="18"/>
      <w:szCs w:val="18"/>
    </w:rPr>
  </w:style>
  <w:style w:type="character" w:customStyle="1" w:styleId="17">
    <w:name w:val="页脚 字符"/>
    <w:basedOn w:val="8"/>
    <w:link w:val="5"/>
    <w:qFormat/>
    <w:uiPriority w:val="99"/>
    <w:rPr>
      <w:sz w:val="18"/>
      <w:szCs w:val="24"/>
    </w:rPr>
  </w:style>
  <w:style w:type="character" w:customStyle="1" w:styleId="18">
    <w:name w:val="页眉 字符"/>
    <w:basedOn w:val="8"/>
    <w:link w:val="6"/>
    <w:qFormat/>
    <w:uiPriority w:val="99"/>
    <w:rPr>
      <w:sz w:val="18"/>
      <w:szCs w:val="24"/>
    </w:rPr>
  </w:style>
  <w:style w:type="paragraph" w:customStyle="1" w:styleId="19">
    <w:name w:val="Table Paragraph"/>
    <w:basedOn w:val="1"/>
    <w:qFormat/>
    <w:uiPriority w:val="99"/>
    <w:pPr>
      <w:autoSpaceDE w:val="0"/>
      <w:autoSpaceDN w:val="0"/>
      <w:jc w:val="left"/>
    </w:pPr>
    <w:rPr>
      <w:rFonts w:ascii="Noto Sans Mono CJK JP Regular" w:hAnsi="Noto Sans Mono CJK JP Regular" w:eastAsia="等线" w:cs="Noto Sans Mono CJK JP Regular"/>
      <w:kern w:val="0"/>
      <w:sz w:val="22"/>
      <w:lang w:eastAsia="en-US"/>
    </w:rPr>
  </w:style>
  <w:style w:type="paragraph" w:customStyle="1" w:styleId="20">
    <w:name w:val="正文文本 (7)"/>
    <w:basedOn w:val="1"/>
    <w:link w:val="43"/>
    <w:qFormat/>
    <w:uiPriority w:val="0"/>
    <w:pPr>
      <w:shd w:val="clear" w:color="auto" w:fill="FFFFFF"/>
      <w:spacing w:line="216" w:lineRule="exact"/>
      <w:jc w:val="distribute"/>
    </w:pPr>
    <w:rPr>
      <w:rFonts w:ascii="MingLiU" w:hAnsi="MingLiU" w:eastAsia="MingLiU" w:cs="宋体"/>
      <w:spacing w:val="20"/>
      <w:sz w:val="16"/>
      <w:szCs w:val="16"/>
    </w:rPr>
  </w:style>
  <w:style w:type="paragraph" w:customStyle="1" w:styleId="21">
    <w:name w:val="正文文本 (3)"/>
    <w:basedOn w:val="1"/>
    <w:link w:val="44"/>
    <w:qFormat/>
    <w:uiPriority w:val="0"/>
    <w:pPr>
      <w:shd w:val="clear" w:color="auto" w:fill="FFFFFF"/>
      <w:spacing w:before="60" w:after="1340" w:line="280" w:lineRule="exact"/>
      <w:jc w:val="right"/>
    </w:pPr>
    <w:rPr>
      <w:rFonts w:ascii="MingLiU" w:hAnsi="MingLiU" w:eastAsia="MingLiU" w:cs="宋体"/>
      <w:spacing w:val="20"/>
      <w:sz w:val="28"/>
      <w:szCs w:val="28"/>
    </w:rPr>
  </w:style>
  <w:style w:type="paragraph" w:customStyle="1" w:styleId="22">
    <w:name w:val="正文文本 (2)"/>
    <w:basedOn w:val="1"/>
    <w:qFormat/>
    <w:uiPriority w:val="0"/>
    <w:pPr>
      <w:shd w:val="clear" w:color="auto" w:fill="FFFFFF"/>
      <w:spacing w:line="238" w:lineRule="exact"/>
      <w:jc w:val="distribute"/>
    </w:pPr>
    <w:rPr>
      <w:rFonts w:ascii="MingLiU" w:hAnsi="MingLiU" w:eastAsia="MingLiU" w:cs="宋体"/>
      <w:spacing w:val="10"/>
      <w:sz w:val="17"/>
      <w:szCs w:val="17"/>
    </w:rPr>
  </w:style>
  <w:style w:type="character" w:customStyle="1" w:styleId="23">
    <w:name w:val="15"/>
    <w:basedOn w:val="8"/>
    <w:qFormat/>
    <w:uiPriority w:val="0"/>
    <w:rPr>
      <w:rFonts w:hint="eastAsia" w:ascii="MingLiU" w:hAnsi="MingLiU" w:eastAsia="MingLiU"/>
      <w:color w:val="000000"/>
      <w:spacing w:val="60"/>
      <w:sz w:val="17"/>
      <w:szCs w:val="17"/>
      <w:shd w:val="clear" w:color="auto" w:fill="FFFFFF"/>
    </w:rPr>
  </w:style>
  <w:style w:type="character" w:customStyle="1" w:styleId="24">
    <w:name w:val="18"/>
    <w:basedOn w:val="8"/>
    <w:qFormat/>
    <w:uiPriority w:val="0"/>
    <w:rPr>
      <w:rFonts w:hint="eastAsia" w:ascii="MingLiU" w:hAnsi="MingLiU" w:eastAsia="MingLiU"/>
      <w:color w:val="000000"/>
      <w:spacing w:val="20"/>
      <w:sz w:val="16"/>
      <w:szCs w:val="16"/>
      <w:u w:val="single"/>
      <w:shd w:val="clear" w:color="auto" w:fill="FFFFFF"/>
    </w:rPr>
  </w:style>
  <w:style w:type="character" w:customStyle="1" w:styleId="25">
    <w:name w:val="19"/>
    <w:basedOn w:val="8"/>
    <w:qFormat/>
    <w:uiPriority w:val="0"/>
    <w:rPr>
      <w:rFonts w:hint="eastAsia" w:ascii="MingLiU" w:hAnsi="MingLiU" w:eastAsia="MingLiU"/>
      <w:color w:val="000000"/>
      <w:spacing w:val="30"/>
      <w:sz w:val="17"/>
      <w:szCs w:val="17"/>
      <w:shd w:val="clear" w:color="auto" w:fill="FFFFFF"/>
    </w:rPr>
  </w:style>
  <w:style w:type="paragraph" w:customStyle="1" w:styleId="2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7">
    <w:name w:val="font61"/>
    <w:basedOn w:val="8"/>
    <w:qFormat/>
    <w:uiPriority w:val="0"/>
    <w:rPr>
      <w:rFonts w:hint="eastAsia" w:ascii="方正仿宋_GBK" w:hAnsi="方正仿宋_GBK" w:eastAsia="方正仿宋_GBK" w:cs="方正仿宋_GBK"/>
      <w:color w:val="000000"/>
      <w:sz w:val="24"/>
      <w:szCs w:val="24"/>
      <w:u w:val="none"/>
    </w:rPr>
  </w:style>
  <w:style w:type="character" w:customStyle="1" w:styleId="28">
    <w:name w:val="font71"/>
    <w:basedOn w:val="8"/>
    <w:qFormat/>
    <w:uiPriority w:val="0"/>
    <w:rPr>
      <w:rFonts w:hint="eastAsia" w:ascii="宋体" w:hAnsi="宋体" w:eastAsia="宋体" w:cs="宋体"/>
      <w:color w:val="000000"/>
      <w:sz w:val="24"/>
      <w:szCs w:val="24"/>
      <w:u w:val="none"/>
    </w:rPr>
  </w:style>
  <w:style w:type="character" w:customStyle="1" w:styleId="29">
    <w:name w:val="font01"/>
    <w:basedOn w:val="8"/>
    <w:qFormat/>
    <w:uiPriority w:val="0"/>
    <w:rPr>
      <w:rFonts w:hint="eastAsia" w:ascii="宋体" w:hAnsi="宋体" w:eastAsia="宋体" w:cs="宋体"/>
      <w:color w:val="000000"/>
      <w:sz w:val="24"/>
      <w:szCs w:val="24"/>
      <w:u w:val="none"/>
    </w:rPr>
  </w:style>
  <w:style w:type="paragraph" w:customStyle="1" w:styleId="30">
    <w:name w:val="_Style 4"/>
    <w:basedOn w:val="1"/>
    <w:qFormat/>
    <w:uiPriority w:val="0"/>
    <w:pPr>
      <w:ind w:firstLine="420" w:firstLineChars="200"/>
    </w:pPr>
    <w:rPr>
      <w:rFonts w:ascii="等线" w:hAnsi="等线" w:eastAsia="等线" w:cs="Times New Roman"/>
      <w:szCs w:val="24"/>
    </w:rPr>
  </w:style>
  <w:style w:type="paragraph" w:customStyle="1" w:styleId="31">
    <w:name w:val="_Style 2"/>
    <w:basedOn w:val="1"/>
    <w:qFormat/>
    <w:uiPriority w:val="0"/>
    <w:pPr>
      <w:ind w:firstLine="420" w:firstLineChars="200"/>
    </w:pPr>
    <w:rPr>
      <w:rFonts w:ascii="等线" w:hAnsi="等线" w:eastAsia="等线" w:cs="Times New Roman"/>
      <w:szCs w:val="24"/>
    </w:rPr>
  </w:style>
  <w:style w:type="paragraph" w:customStyle="1" w:styleId="32">
    <w:name w:val="列出段落2"/>
    <w:basedOn w:val="1"/>
    <w:qFormat/>
    <w:uiPriority w:val="0"/>
    <w:pPr>
      <w:ind w:firstLine="420" w:firstLineChars="200"/>
    </w:pPr>
    <w:rPr>
      <w:rFonts w:ascii="等线" w:hAnsi="等线" w:eastAsia="等线" w:cs="Times New Roman"/>
      <w:szCs w:val="24"/>
    </w:rPr>
  </w:style>
  <w:style w:type="character" w:customStyle="1" w:styleId="33">
    <w:name w:val="font51"/>
    <w:basedOn w:val="8"/>
    <w:qFormat/>
    <w:uiPriority w:val="0"/>
    <w:rPr>
      <w:rFonts w:hint="default" w:ascii="Times New Roman" w:hAnsi="Times New Roman" w:cs="Times New Roman"/>
      <w:color w:val="000000"/>
      <w:sz w:val="22"/>
      <w:szCs w:val="22"/>
      <w:u w:val="none"/>
    </w:rPr>
  </w:style>
  <w:style w:type="character" w:customStyle="1" w:styleId="34">
    <w:name w:val="Other|1_"/>
    <w:link w:val="35"/>
    <w:qFormat/>
    <w:uiPriority w:val="0"/>
    <w:rPr>
      <w:rFonts w:ascii="宋体" w:hAnsi="宋体" w:cs="宋体"/>
      <w:lang w:val="zh-TW" w:eastAsia="zh-TW" w:bidi="zh-TW"/>
    </w:rPr>
  </w:style>
  <w:style w:type="paragraph" w:customStyle="1" w:styleId="35">
    <w:name w:val="Other|1"/>
    <w:basedOn w:val="1"/>
    <w:link w:val="34"/>
    <w:uiPriority w:val="0"/>
    <w:pPr>
      <w:spacing w:line="310" w:lineRule="exact"/>
      <w:jc w:val="left"/>
    </w:pPr>
    <w:rPr>
      <w:rFonts w:ascii="宋体" w:hAnsi="宋体" w:cs="宋体"/>
      <w:lang w:val="zh-TW" w:eastAsia="zh-TW" w:bidi="zh-TW"/>
    </w:rPr>
  </w:style>
  <w:style w:type="character" w:customStyle="1" w:styleId="36">
    <w:name w:val="Body text|1_"/>
    <w:link w:val="37"/>
    <w:qFormat/>
    <w:uiPriority w:val="0"/>
    <w:rPr>
      <w:rFonts w:ascii="宋体" w:hAnsi="宋体" w:cs="宋体"/>
      <w:sz w:val="28"/>
      <w:szCs w:val="28"/>
      <w:lang w:val="zh-TW" w:eastAsia="zh-TW" w:bidi="zh-TW"/>
    </w:rPr>
  </w:style>
  <w:style w:type="paragraph" w:customStyle="1" w:styleId="37">
    <w:name w:val="Body text|1"/>
    <w:basedOn w:val="1"/>
    <w:link w:val="36"/>
    <w:uiPriority w:val="0"/>
    <w:pPr>
      <w:spacing w:line="446" w:lineRule="auto"/>
      <w:ind w:firstLine="400"/>
      <w:jc w:val="left"/>
    </w:pPr>
    <w:rPr>
      <w:rFonts w:ascii="宋体" w:hAnsi="宋体" w:cs="宋体"/>
      <w:sz w:val="28"/>
      <w:szCs w:val="28"/>
      <w:lang w:val="zh-TW" w:eastAsia="zh-TW" w:bidi="zh-TW"/>
    </w:rPr>
  </w:style>
  <w:style w:type="character" w:customStyle="1" w:styleId="38">
    <w:name w:val="批注框文本 字符1"/>
    <w:basedOn w:val="8"/>
    <w:qFormat/>
    <w:uiPriority w:val="0"/>
    <w:rPr>
      <w:rFonts w:asciiTheme="minorHAnsi" w:hAnsiTheme="minorHAnsi" w:eastAsiaTheme="minorEastAsia" w:cstheme="minorBidi"/>
      <w:kern w:val="2"/>
      <w:sz w:val="18"/>
      <w:szCs w:val="18"/>
    </w:rPr>
  </w:style>
  <w:style w:type="paragraph" w:styleId="39">
    <w:name w:val="List Paragraph"/>
    <w:basedOn w:val="1"/>
    <w:qFormat/>
    <w:uiPriority w:val="34"/>
    <w:pPr>
      <w:ind w:firstLine="420" w:firstLineChars="200"/>
    </w:pPr>
    <w:rPr>
      <w:szCs w:val="24"/>
    </w:rPr>
  </w:style>
  <w:style w:type="character" w:customStyle="1" w:styleId="40">
    <w:name w:val="文档结构图 字符1"/>
    <w:basedOn w:val="8"/>
    <w:qFormat/>
    <w:uiPriority w:val="0"/>
    <w:rPr>
      <w:rFonts w:ascii="Microsoft YaHei UI" w:eastAsia="Microsoft YaHei UI" w:hAnsiTheme="minorHAnsi" w:cstheme="minorBidi"/>
      <w:kern w:val="2"/>
      <w:sz w:val="18"/>
      <w:szCs w:val="18"/>
    </w:rPr>
  </w:style>
  <w:style w:type="character" w:customStyle="1" w:styleId="41">
    <w:name w:val="font21"/>
    <w:basedOn w:val="8"/>
    <w:qFormat/>
    <w:uiPriority w:val="0"/>
    <w:rPr>
      <w:rFonts w:hint="eastAsia" w:ascii="宋体" w:hAnsi="宋体" w:eastAsia="宋体"/>
      <w:color w:val="000000"/>
      <w:sz w:val="22"/>
      <w:szCs w:val="22"/>
      <w:u w:val="none"/>
    </w:rPr>
  </w:style>
  <w:style w:type="character" w:customStyle="1" w:styleId="42">
    <w:name w:val="NormalCharacter"/>
    <w:semiHidden/>
    <w:qFormat/>
    <w:uiPriority w:val="0"/>
  </w:style>
  <w:style w:type="character" w:customStyle="1" w:styleId="43">
    <w:name w:val="正文文本 (7) Exact"/>
    <w:basedOn w:val="8"/>
    <w:link w:val="20"/>
    <w:qFormat/>
    <w:uiPriority w:val="0"/>
    <w:rPr>
      <w:rFonts w:ascii="MingLiU" w:hAnsi="MingLiU" w:eastAsia="MingLiU" w:cs="宋体"/>
      <w:spacing w:val="20"/>
      <w:sz w:val="16"/>
      <w:szCs w:val="16"/>
      <w:shd w:val="clear" w:color="auto" w:fill="FFFFFF"/>
    </w:rPr>
  </w:style>
  <w:style w:type="character" w:customStyle="1" w:styleId="44">
    <w:name w:val="正文文本 (3)_"/>
    <w:basedOn w:val="8"/>
    <w:link w:val="21"/>
    <w:qFormat/>
    <w:uiPriority w:val="0"/>
    <w:rPr>
      <w:rFonts w:ascii="MingLiU" w:hAnsi="MingLiU" w:eastAsia="MingLiU" w:cs="宋体"/>
      <w:spacing w:val="20"/>
      <w:sz w:val="28"/>
      <w:szCs w:val="28"/>
      <w:shd w:val="clear" w:color="auto" w:fill="FFFFFF"/>
    </w:rPr>
  </w:style>
  <w:style w:type="character" w:customStyle="1" w:styleId="45">
    <w:name w:val="正文文本 (7) Exact1"/>
    <w:basedOn w:val="43"/>
    <w:qFormat/>
    <w:uiPriority w:val="0"/>
    <w:rPr>
      <w:rFonts w:ascii="MingLiU" w:hAnsi="MingLiU" w:eastAsia="MingLiU" w:cs="MingLiU"/>
      <w:color w:val="000000"/>
      <w:spacing w:val="20"/>
      <w:w w:val="100"/>
      <w:position w:val="0"/>
      <w:sz w:val="16"/>
      <w:szCs w:val="16"/>
      <w:u w:val="single"/>
      <w:shd w:val="clear" w:color="auto" w:fill="FFFFFF"/>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4CAB7-1BAD-4320-8E21-1454AE336101}">
  <ds:schemaRefs/>
</ds:datastoreItem>
</file>

<file path=docProps/app.xml><?xml version="1.0" encoding="utf-8"?>
<Properties xmlns="http://schemas.openxmlformats.org/officeDocument/2006/extended-properties" xmlns:vt="http://schemas.openxmlformats.org/officeDocument/2006/docPropsVTypes">
  <Template>Normal</Template>
  <Pages>17</Pages>
  <Words>1916</Words>
  <Characters>10926</Characters>
  <Lines>91</Lines>
  <Paragraphs>25</Paragraphs>
  <TotalTime>2</TotalTime>
  <ScaleCrop>false</ScaleCrop>
  <LinksUpToDate>false</LinksUpToDate>
  <CharactersWithSpaces>12817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2020-11-06T03:53:00Z</dcterms:created>
  <dc:creator>lex20</dc:creator>
  <cp:lastModifiedBy>李宏伟</cp:lastModifiedBy>
  <dcterms:modified xsi:type="dcterms:W3CDTF">2024-06-06T08:02:47Z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