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sz w:val="36"/>
          <w:szCs w:val="36"/>
        </w:rPr>
      </w:pPr>
      <w:r>
        <w:rPr>
          <w:rFonts w:hint="eastAsia" w:ascii="Times New Roman" w:hAnsi="Times New Roman" w:eastAsia="方正小标宋_GBK"/>
          <w:sz w:val="36"/>
          <w:szCs w:val="36"/>
          <w:lang w:eastAsia="zh-CN"/>
        </w:rPr>
        <w:t>重庆市</w:t>
      </w:r>
      <w:bookmarkStart w:id="0" w:name="_GoBack"/>
      <w:bookmarkEnd w:id="0"/>
      <w:r>
        <w:rPr>
          <w:rFonts w:hint="default" w:ascii="Times New Roman" w:hAnsi="Times New Roman" w:eastAsia="方正小标宋_GBK"/>
          <w:sz w:val="36"/>
          <w:szCs w:val="36"/>
        </w:rPr>
        <w:t>秀山土家族苗族自治县海洋乡农业服务中心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（特色产业发展中心）</w:t>
      </w:r>
      <w:r>
        <w:rPr>
          <w:rFonts w:hint="default" w:ascii="Times New Roman" w:hAnsi="Times New Roman" w:eastAsia="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sz w:val="36"/>
          <w:szCs w:val="36"/>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一、</w:t>
      </w:r>
      <w:r>
        <w:rPr>
          <w:rStyle w:val="8"/>
          <w:rFonts w:hint="eastAsia" w:ascii="方正黑体_GBK" w:hAnsi="Times New Roman" w:eastAsia="方正黑体_GBK"/>
          <w:b w:val="0"/>
          <w:sz w:val="32"/>
          <w:szCs w:val="32"/>
          <w:shd w:val="clear" w:color="auto" w:fill="FFFFFF"/>
          <w:lang w:eastAsia="zh-CN"/>
        </w:rPr>
        <w:t>单位</w:t>
      </w:r>
      <w:r>
        <w:rPr>
          <w:rStyle w:val="8"/>
          <w:rFonts w:ascii="方正黑体_GBK" w:hAnsi="Times New Roman" w:eastAsia="方正黑体_GBK"/>
          <w:b w:val="0"/>
          <w:sz w:val="32"/>
          <w:szCs w:val="32"/>
          <w:shd w:val="clear" w:color="auto" w:fill="FFFFFF"/>
        </w:rPr>
        <w:t>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widowControl w:val="0"/>
        <w:shd w:val="clear" w:color="auto" w:fill="FFFFFF"/>
        <w:spacing w:before="0" w:beforeAutospacing="0" w:after="0" w:afterAutospacing="0" w:line="560" w:lineRule="exact"/>
        <w:ind w:firstLine="640" w:firstLineChars="200"/>
        <w:jc w:val="both"/>
        <w:rPr>
          <w:rFonts w:hint="default" w:ascii="方正仿宋_GBK" w:hAnsi="Times New Roman" w:eastAsia="方正仿宋_GBK"/>
          <w:color w:val="333333"/>
          <w:sz w:val="32"/>
          <w:szCs w:val="32"/>
          <w:shd w:val="clear" w:color="auto" w:fill="FFFFFF"/>
        </w:rPr>
      </w:pPr>
      <w:r>
        <w:rPr>
          <w:rFonts w:ascii="方正仿宋_GBK" w:hAnsi="Times New Roman" w:eastAsia="方正仿宋_GBK"/>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widowControl w:val="0"/>
        <w:shd w:val="clear" w:color="auto" w:fill="FFFFFF"/>
        <w:spacing w:before="0" w:beforeAutospacing="0" w:after="0" w:afterAutospacing="0" w:line="560" w:lineRule="exact"/>
        <w:ind w:firstLine="640" w:firstLineChars="200"/>
        <w:jc w:val="both"/>
        <w:rPr>
          <w:rFonts w:hint="default" w:ascii="方正仿宋_GBK" w:hAnsi="Times New Roman" w:eastAsia="方正仿宋_GBK"/>
          <w:color w:val="333333"/>
          <w:sz w:val="32"/>
          <w:szCs w:val="32"/>
          <w:shd w:val="clear" w:color="auto" w:fill="FFFFFF"/>
        </w:rPr>
      </w:pPr>
      <w:r>
        <w:rPr>
          <w:rFonts w:ascii="方正仿宋_GBK" w:hAnsi="Times New Roman" w:eastAsia="方正仿宋_GBK"/>
          <w:color w:val="333333"/>
          <w:sz w:val="32"/>
          <w:szCs w:val="32"/>
          <w:shd w:val="clear" w:color="auto" w:fill="FFFFFF"/>
        </w:rPr>
        <w:t>农业服务中心。主要职责：承担农技、农机、畜牧、水利水产等方面的技术推广、信息服务、水土保持、灾害防治、土地规模经营管理、农产品质量安全监管，农业综合服务等工作。</w:t>
      </w:r>
    </w:p>
    <w:p>
      <w:pPr>
        <w:pStyle w:val="6"/>
        <w:shd w:val="clear" w:color="auto" w:fill="FFFFFF"/>
        <w:spacing w:before="0" w:beforeAutospacing="0" w:after="0" w:afterAutospacing="0" w:line="560" w:lineRule="exact"/>
        <w:ind w:firstLine="640" w:firstLineChars="200"/>
        <w:jc w:val="both"/>
        <w:rPr>
          <w:rStyle w:val="8"/>
          <w:rFonts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二、</w:t>
      </w:r>
      <w:r>
        <w:rPr>
          <w:rStyle w:val="8"/>
          <w:rFonts w:hint="eastAsia" w:ascii="方正黑体_GBK" w:hAnsi="Times New Roman" w:eastAsia="方正黑体_GBK"/>
          <w:b w:val="0"/>
          <w:sz w:val="32"/>
          <w:szCs w:val="32"/>
          <w:shd w:val="clear" w:color="auto" w:fill="FFFFFF"/>
          <w:lang w:eastAsia="zh-CN"/>
        </w:rPr>
        <w:t>单位</w:t>
      </w:r>
      <w:r>
        <w:rPr>
          <w:rStyle w:val="8"/>
          <w:rFonts w:ascii="方正黑体_GBK" w:hAnsi="Times New Roman" w:eastAsia="方正黑体_GBK"/>
          <w:b w:val="0"/>
          <w:sz w:val="32"/>
          <w:szCs w:val="32"/>
          <w:shd w:val="clear" w:color="auto" w:fill="FFFFFF"/>
        </w:rPr>
        <w:t>决算情况说明</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（一）收入支出决算总体情况说明</w:t>
      </w:r>
    </w:p>
    <w:p>
      <w:pPr>
        <w:pStyle w:val="6"/>
        <w:widowControl w:val="0"/>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2023年度收入总计288.73万元，支出总计</w:t>
      </w:r>
      <w:r>
        <w:rPr>
          <w:rFonts w:hint="default" w:ascii="Times New Roman" w:hAnsi="Times New Roman" w:eastAsia="方正仿宋_GBK"/>
          <w:sz w:val="32"/>
          <w:szCs w:val="32"/>
        </w:rPr>
        <w:t>288.73</w:t>
      </w:r>
      <w:r>
        <w:rPr>
          <w:rFonts w:hint="default" w:ascii="Times New Roman" w:hAnsi="Times New Roman" w:eastAsia="方正仿宋_GBK"/>
          <w:sz w:val="32"/>
          <w:szCs w:val="32"/>
          <w:shd w:val="clear" w:color="auto" w:fill="FFFFFF"/>
        </w:rPr>
        <w:t>万元。收支较上年决算数增加288.73万元，增长100.00%，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2023年度收入合计288.73万元，较上年决算数增加288.73万元，增长100.00%，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288.73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267.39</w:t>
      </w:r>
      <w:r>
        <w:rPr>
          <w:rFonts w:hint="default" w:ascii="Times New Roman" w:hAnsi="Times New Roman" w:eastAsia="方正仿宋_GBK"/>
          <w:sz w:val="32"/>
          <w:szCs w:val="32"/>
          <w:shd w:val="clear" w:color="auto" w:fill="FFFFFF"/>
        </w:rPr>
        <w:t>万元，较上年决算数增加267.39万元，增长100.00%，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102.58</w:t>
      </w:r>
      <w:r>
        <w:rPr>
          <w:rFonts w:hint="default" w:ascii="Times New Roman" w:hAnsi="Times New Roman" w:eastAsia="方正仿宋_GBK"/>
          <w:sz w:val="32"/>
          <w:szCs w:val="32"/>
          <w:shd w:val="clear" w:color="auto" w:fill="FFFFFF"/>
        </w:rPr>
        <w:t>万元，占38.36%；项目支出</w:t>
      </w:r>
      <w:r>
        <w:rPr>
          <w:rFonts w:hint="default" w:ascii="Times New Roman" w:hAnsi="Times New Roman" w:eastAsia="方正仿宋_GBK"/>
          <w:sz w:val="32"/>
          <w:szCs w:val="32"/>
        </w:rPr>
        <w:t>164.81</w:t>
      </w:r>
      <w:r>
        <w:rPr>
          <w:rFonts w:hint="default" w:ascii="Times New Roman" w:hAnsi="Times New Roman" w:eastAsia="方正仿宋_GBK"/>
          <w:sz w:val="32"/>
          <w:szCs w:val="32"/>
          <w:shd w:val="clear" w:color="auto" w:fill="FFFFFF"/>
        </w:rPr>
        <w:t>万元，占61.64%；经营支出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21.34</w:t>
      </w:r>
      <w:r>
        <w:rPr>
          <w:rFonts w:hint="default" w:ascii="Times New Roman" w:hAnsi="Times New Roman" w:eastAsia="方正仿宋_GBK"/>
          <w:sz w:val="32"/>
          <w:szCs w:val="32"/>
          <w:shd w:val="clear" w:color="auto" w:fill="FFFFFF"/>
        </w:rPr>
        <w:t>万元，较上年决算数增加21.34万元，增长100.00%，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p>
    <w:p>
      <w:pPr>
        <w:pStyle w:val="11"/>
        <w:autoSpaceDE w:val="0"/>
        <w:spacing w:line="560" w:lineRule="exact"/>
        <w:ind w:firstLine="640"/>
        <w:jc w:val="both"/>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2023年度财政拨款收、支总计288.73万元。与2022年相比，财政拨款收、支总计各增加288.73万元，增长100.00%。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288.73</w:t>
      </w:r>
      <w:r>
        <w:rPr>
          <w:rFonts w:hint="default" w:ascii="Times New Roman" w:hAnsi="Times New Roman" w:eastAsia="方正仿宋_GBK"/>
          <w:sz w:val="32"/>
          <w:szCs w:val="32"/>
          <w:shd w:val="clear" w:color="auto" w:fill="FFFFFF"/>
        </w:rPr>
        <w:t>万元，较上年决算数增加288.73万元，增长100.00%。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r>
        <w:rPr>
          <w:rFonts w:hint="default" w:ascii="Times New Roman" w:hAnsi="Times New Roman" w:eastAsia="方正仿宋_GBK"/>
          <w:sz w:val="32"/>
          <w:szCs w:val="32"/>
          <w:shd w:val="clear" w:color="auto" w:fill="FFFFFF"/>
        </w:rPr>
        <w:t>较年初预算数减少23.89万元，下降7.64%。</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lang w:bidi="ar"/>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267.39</w:t>
      </w:r>
      <w:r>
        <w:rPr>
          <w:rFonts w:hint="default" w:ascii="Times New Roman" w:hAnsi="Times New Roman" w:eastAsia="方正仿宋_GBK"/>
          <w:sz w:val="32"/>
          <w:szCs w:val="32"/>
          <w:shd w:val="clear" w:color="auto" w:fill="FFFFFF"/>
        </w:rPr>
        <w:t>万元，较上年决算数增加267.39万元，增长100.00%。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r>
        <w:rPr>
          <w:rFonts w:hint="default" w:ascii="Times New Roman" w:hAnsi="Times New Roman" w:eastAsia="方正仿宋_GBK"/>
          <w:sz w:val="32"/>
          <w:szCs w:val="32"/>
          <w:shd w:val="clear" w:color="auto" w:fill="FFFFFF"/>
        </w:rPr>
        <w:t>较年初预算数减少50.08万元，下降15.77%。</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21.34</w:t>
      </w:r>
      <w:r>
        <w:rPr>
          <w:rFonts w:hint="default" w:ascii="Times New Roman" w:hAnsi="Times New Roman" w:eastAsia="方正仿宋_GBK"/>
          <w:sz w:val="32"/>
          <w:szCs w:val="32"/>
          <w:shd w:val="clear" w:color="auto" w:fill="FFFFFF"/>
        </w:rPr>
        <w:t>万元，较上年决算数增加21.34万元，增长100.00%，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2023年度一般公共预算财政拨款支出主要用于以下几个方面：</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13.39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5.01</w:t>
      </w:r>
      <w:r>
        <w:rPr>
          <w:rFonts w:hint="default" w:ascii="Times New Roman" w:hAnsi="Times New Roman" w:eastAsia="方正仿宋_GBK"/>
          <w:sz w:val="32"/>
          <w:szCs w:val="32"/>
          <w:shd w:val="clear" w:color="auto" w:fill="FFFFFF"/>
        </w:rPr>
        <w:t>%，较年初预算数减少4.25万元，下降24.09%，</w:t>
      </w:r>
      <w:r>
        <w:rPr>
          <w:rFonts w:hint="default" w:ascii="Times New Roman" w:hAnsi="Times New Roman" w:eastAsia="方正仿宋_GBK"/>
          <w:color w:val="333333"/>
          <w:sz w:val="32"/>
          <w:szCs w:val="32"/>
          <w:shd w:val="clear" w:color="auto" w:fill="FFFFFF"/>
        </w:rPr>
        <w:t>主要原因是人员退休，社保经费减少。</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4.45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1.66</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rPr>
        <w:t>主要原因是人员退休，医保经费减少。</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（3）农林水支出</w:t>
      </w:r>
      <w:r>
        <w:rPr>
          <w:rFonts w:hint="default" w:ascii="Times New Roman" w:hAnsi="Times New Roman" w:eastAsia="方正仿宋_GBK"/>
          <w:sz w:val="32"/>
          <w:szCs w:val="32"/>
        </w:rPr>
        <w:t>240.81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90.06</w:t>
      </w:r>
      <w:r>
        <w:rPr>
          <w:rFonts w:hint="default" w:ascii="Times New Roman" w:hAnsi="Times New Roman" w:eastAsia="方正仿宋_GBK"/>
          <w:sz w:val="32"/>
          <w:szCs w:val="32"/>
          <w:shd w:val="clear" w:color="auto" w:fill="FFFFFF"/>
        </w:rPr>
        <w:t>%，较年初预算数减少45.84万元，下降15.99%，</w:t>
      </w:r>
      <w:r>
        <w:rPr>
          <w:rFonts w:hint="default" w:ascii="Times New Roman" w:hAnsi="Times New Roman" w:eastAsia="方正仿宋_GBK"/>
          <w:color w:val="333333"/>
          <w:sz w:val="32"/>
          <w:szCs w:val="32"/>
          <w:shd w:val="clear" w:color="auto" w:fill="FFFFFF"/>
        </w:rPr>
        <w:t>主要原因是本年度人员退休，工资福利支出减少。</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住房保障支出8.73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3.27</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rPr>
        <w:t>主要原因是本年度人员退休，住房公积金支出减少。</w:t>
      </w:r>
    </w:p>
    <w:p>
      <w:pPr>
        <w:pStyle w:val="11"/>
        <w:autoSpaceDE w:val="0"/>
        <w:spacing w:line="560" w:lineRule="exact"/>
        <w:ind w:firstLine="640"/>
        <w:jc w:val="both"/>
        <w:rPr>
          <w:rFonts w:hint="eastAsia"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（四）一般公共预算财政拨款基本支出决算情况说明</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102.58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93.49</w:t>
      </w:r>
      <w:r>
        <w:rPr>
          <w:rFonts w:hint="default" w:ascii="Times New Roman" w:hAnsi="Times New Roman" w:eastAsia="方正仿宋_GBK"/>
          <w:sz w:val="32"/>
          <w:szCs w:val="32"/>
          <w:shd w:val="clear" w:color="auto" w:fill="FFFFFF"/>
        </w:rPr>
        <w:t>万元，较上年决算数增加93.49万元，增长100.00%，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主要原因是2022年度本单位与部门合并编报决算，按照市财政局要求2023年度独立编报决算，故与上年对比增长100%。人员经费用途主要包括在职职工工资、绩效、社保公积金配套、体检费等开支。</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9.08</w:t>
      </w:r>
      <w:r>
        <w:rPr>
          <w:rFonts w:hint="default" w:ascii="Times New Roman" w:hAnsi="Times New Roman" w:eastAsia="方正仿宋_GBK"/>
          <w:sz w:val="32"/>
          <w:szCs w:val="32"/>
          <w:shd w:val="clear" w:color="auto" w:fill="FFFFFF"/>
        </w:rPr>
        <w:t>万元，较上年决算数增加9.08万元，增长100.00%，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主要原因是2022年度本单位与部门合并编报决算，按照市财政局要求2023年度独立编报决算，故与上年对比增长100%。公用经费用途主要包括水电通讯费、食堂开支、网络费。</w:t>
      </w:r>
    </w:p>
    <w:p>
      <w:pPr>
        <w:pStyle w:val="11"/>
        <w:autoSpaceDE w:val="0"/>
        <w:spacing w:line="560" w:lineRule="exact"/>
        <w:ind w:firstLine="640"/>
        <w:jc w:val="both"/>
        <w:rPr>
          <w:rFonts w:hint="eastAsia"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（五）政府性基金预算收支决算情况说明</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2023年度无政府性基金预算财政拨款收支。</w:t>
      </w:r>
    </w:p>
    <w:p>
      <w:pPr>
        <w:pStyle w:val="11"/>
        <w:autoSpaceDE w:val="0"/>
        <w:spacing w:line="560" w:lineRule="exact"/>
        <w:ind w:firstLine="640"/>
        <w:jc w:val="both"/>
        <w:rPr>
          <w:rFonts w:hint="eastAsia"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（六）国有资本经营预算财政拨款支出决算情况说明</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2023年度无国有资本经营预算财政拨款支出。</w:t>
      </w:r>
    </w:p>
    <w:p>
      <w:pPr>
        <w:pStyle w:val="6"/>
        <w:shd w:val="clear" w:color="auto" w:fill="FFFFFF"/>
        <w:spacing w:before="0" w:beforeAutospacing="0" w:after="0" w:afterAutospacing="0" w:line="560" w:lineRule="exact"/>
        <w:ind w:firstLine="640" w:firstLineChars="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三、“三公”经费情况说明</w:t>
      </w:r>
    </w:p>
    <w:p>
      <w:pPr>
        <w:pStyle w:val="11"/>
        <w:autoSpaceDE w:val="0"/>
        <w:spacing w:line="560" w:lineRule="exact"/>
        <w:ind w:firstLine="643"/>
        <w:jc w:val="both"/>
        <w:rPr>
          <w:rFonts w:ascii="方正楷体_GBK" w:hAnsi="Times New Roman" w:eastAsia="方正楷体_GBK"/>
          <w:bCs/>
          <w:sz w:val="32"/>
          <w:szCs w:val="32"/>
          <w:shd w:val="clear" w:color="auto" w:fill="FFFFFF"/>
        </w:rPr>
      </w:pPr>
      <w:r>
        <w:rPr>
          <w:rFonts w:ascii="Times New Roman" w:hAnsi="Times New Roman" w:eastAsia="楷体"/>
          <w:b/>
          <w:bCs/>
          <w:sz w:val="32"/>
          <w:szCs w:val="32"/>
          <w:shd w:val="clear" w:color="auto" w:fill="FFFFFF"/>
        </w:rPr>
        <w:t xml:space="preserve"> </w:t>
      </w:r>
      <w:r>
        <w:rPr>
          <w:rFonts w:hint="eastAsia" w:ascii="方正楷体_GBK" w:hAnsi="Times New Roman" w:eastAsia="方正楷体_GBK"/>
          <w:bCs/>
          <w:sz w:val="32"/>
          <w:szCs w:val="32"/>
          <w:shd w:val="clear" w:color="auto" w:fill="FFFFFF"/>
        </w:rPr>
        <w:t>（一）“三公”经费支出总体情况说明</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2023年度“三公”经费支出共计0.00万元，较年初预算数无增减，主要原因是本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为海洋乡人民政府下属二级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，未单列“三公”经费支出。较上年支出数无增减，主要原因是本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为海洋乡人民政府下属二级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，未单列“三公”经费支出。</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（二）“三公”经费分项支出情况</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因公出国（境）费用0.00万元。费用支出较年初预算数无增减，主要原因是本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无因公出国（境）情况。较上年支出数无增减，主要原因是本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无因公出国（境）情况。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公务车购置费0.00万元。费用支出较年初预算数无增减，主要原因是</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未购置公务车。较上年支出数无增减，主要原因是</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未购置公务车。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公务车运行维护费0.00万元。费用支出较年初预算数无增减，主要原因是</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无公务车。较上年支出数无增减，主要原因是</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无公务车。</w:t>
      </w:r>
    </w:p>
    <w:p>
      <w:pPr>
        <w:spacing w:line="560" w:lineRule="exact"/>
        <w:ind w:firstLine="640" w:firstLineChars="200"/>
        <w:jc w:val="both"/>
        <w:rPr>
          <w:rFonts w:hint="default" w:ascii="Times New Roman" w:hAnsi="Times New Roman" w:eastAsia="方正仿宋_GBK"/>
        </w:rPr>
      </w:pPr>
      <w:r>
        <w:rPr>
          <w:rFonts w:hint="default" w:ascii="Times New Roman" w:hAnsi="Times New Roman" w:eastAsia="方正仿宋_GBK"/>
          <w:color w:val="333333"/>
          <w:sz w:val="32"/>
          <w:szCs w:val="32"/>
          <w:shd w:val="clear" w:color="auto" w:fill="FFFFFF"/>
          <w:lang w:bidi="ar"/>
        </w:rPr>
        <w:t>公务接待费0.00万元。费用支出较年初预算数无增减，主要原因是本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无公务接待。较上年支出数无增减，主要原因是本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lang w:bidi="ar"/>
        </w:rPr>
        <w:t>无公务接待。</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 </w:t>
      </w:r>
      <w:r>
        <w:rPr>
          <w:rFonts w:hint="default" w:ascii="Times New Roman" w:hAnsi="Times New Roman" w:eastAsia="方正仿宋_GBK"/>
          <w:color w:val="333333"/>
          <w:sz w:val="32"/>
          <w:szCs w:val="32"/>
          <w:shd w:val="clear" w:color="auto" w:fill="FFFFFF"/>
        </w:rPr>
        <w:t>2023年度本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因公出国（境）共计0个团组，0人；公务用车购置0辆，公务车保有量为0辆；国内公务接待0批次0人，其中：国内外事接待0批次，0人；国（境）外公务接待0批次，0人。2023年本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人均接待费0元，车均购置费0万元，车均维护费0万元。</w:t>
      </w:r>
    </w:p>
    <w:p>
      <w:pPr>
        <w:pStyle w:val="6"/>
        <w:shd w:val="clear" w:color="auto" w:fill="FFFFFF"/>
        <w:spacing w:before="0" w:beforeAutospacing="0" w:after="0" w:afterAutospacing="0" w:line="560" w:lineRule="exact"/>
        <w:ind w:firstLine="640" w:firstLineChars="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四、其他需要说明的事项</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万元，较上年决算数无增减，主要原因本单位2023年度无会议费支出。本年度培训费支出</w:t>
      </w:r>
      <w:r>
        <w:rPr>
          <w:rFonts w:hint="default" w:ascii="Times New Roman" w:hAnsi="Times New Roman" w:eastAsia="方正仿宋_GBK"/>
          <w:sz w:val="32"/>
          <w:szCs w:val="32"/>
        </w:rPr>
        <w:t>0.33</w:t>
      </w:r>
      <w:r>
        <w:rPr>
          <w:rFonts w:hint="default" w:ascii="Times New Roman" w:hAnsi="Times New Roman" w:eastAsia="方正仿宋_GBK"/>
          <w:sz w:val="32"/>
          <w:szCs w:val="32"/>
          <w:shd w:val="clear" w:color="auto" w:fill="FFFFFF"/>
        </w:rPr>
        <w:t>万元，较上年决算数增加0.33万元，增长100.00%，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2023年度</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sz w:val="32"/>
          <w:szCs w:val="32"/>
          <w:shd w:val="clear" w:color="auto" w:fill="FFFFFF"/>
        </w:rPr>
        <w:t>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w:t>
      </w:r>
      <w:r>
        <w:rPr>
          <w:rFonts w:hint="default" w:ascii="Times New Roman" w:hAnsi="Times New Roman" w:eastAsia="方正仿宋_GBK"/>
          <w:color w:val="333333"/>
          <w:sz w:val="32"/>
          <w:szCs w:val="32"/>
          <w:shd w:val="clear" w:color="auto" w:fill="FFFFFF"/>
        </w:rPr>
        <w:t>主要原因是</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不在机关运行经费统计范围之内。</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sz w:val="32"/>
          <w:szCs w:val="32"/>
          <w:shd w:val="clear" w:color="auto" w:fill="FFFFFF"/>
        </w:rPr>
        <w:t>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2023年度</w:t>
      </w:r>
      <w:r>
        <w:rPr>
          <w:rFonts w:hint="default" w:ascii="Times New Roman" w:hAnsi="Times New Roman" w:eastAsia="方正仿宋_GBK"/>
          <w:color w:val="333333"/>
          <w:sz w:val="32"/>
          <w:szCs w:val="32"/>
          <w:shd w:val="clear" w:color="auto" w:fill="FFFFFF"/>
          <w:lang w:bidi="ar"/>
        </w:rPr>
        <w:t>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未发生政府采购事项，无相关经费支出。</w:t>
      </w:r>
    </w:p>
    <w:p>
      <w:pPr>
        <w:pStyle w:val="6"/>
        <w:numPr>
          <w:ilvl w:val="0"/>
          <w:numId w:val="1"/>
        </w:numPr>
        <w:shd w:val="clear" w:color="auto" w:fill="FFFFFF"/>
        <w:spacing w:before="0" w:beforeAutospacing="0" w:after="0" w:afterAutospacing="0" w:line="560" w:lineRule="exact"/>
        <w:ind w:firstLine="640" w:firstLineChars="200"/>
        <w:jc w:val="both"/>
        <w:rPr>
          <w:rFonts w:hint="default" w:ascii="Times New Roman" w:hAnsi="Times New Roman" w:eastAsia="方正黑体_GBK"/>
          <w:b w:val="0"/>
          <w:bCs w:val="0"/>
          <w:sz w:val="32"/>
          <w:szCs w:val="32"/>
          <w:shd w:val="clear" w:color="auto" w:fill="FFFFFF"/>
        </w:rPr>
      </w:pPr>
      <w:r>
        <w:rPr>
          <w:rStyle w:val="8"/>
          <w:rFonts w:hint="default" w:ascii="Times New Roman" w:hAnsi="Times New Roman" w:eastAsia="方正黑体_GBK"/>
          <w:b w:val="0"/>
          <w:bCs w:val="0"/>
          <w:sz w:val="32"/>
          <w:szCs w:val="32"/>
          <w:shd w:val="clear" w:color="auto" w:fill="FFFFFF"/>
        </w:rPr>
        <w:t>预算绩效管理情况说明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（一）</w:t>
      </w:r>
      <w:r>
        <w:rPr>
          <w:rStyle w:val="8"/>
          <w:rFonts w:hint="eastAsia" w:ascii="Times New Roman" w:hAnsi="Times New Roman" w:eastAsia="方正楷体_GBK"/>
          <w:b w:val="0"/>
          <w:bCs/>
          <w:sz w:val="32"/>
          <w:szCs w:val="32"/>
          <w:shd w:val="clear" w:color="auto" w:fill="FFFFFF"/>
          <w:lang w:eastAsia="zh-CN" w:bidi="ar"/>
        </w:rPr>
        <w:t>单位</w:t>
      </w:r>
      <w:r>
        <w:rPr>
          <w:rStyle w:val="8"/>
          <w:rFonts w:ascii="方正楷体_GBK" w:hAnsi="Times New Roman" w:eastAsia="方正楷体_GBK"/>
          <w:b w:val="0"/>
          <w:bCs/>
          <w:sz w:val="32"/>
          <w:szCs w:val="32"/>
          <w:shd w:val="clear" w:color="auto" w:fill="FFFFFF"/>
          <w:lang w:bidi="ar"/>
        </w:rPr>
        <w:t>自评情况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根据预算绩效管理要求，我</w:t>
      </w:r>
      <w:r>
        <w:rPr>
          <w:rFonts w:hint="eastAsia" w:ascii="Times New Roman" w:hAnsi="Times New Roman" w:eastAsia="方正仿宋_GBK"/>
          <w:color w:val="333333"/>
          <w:sz w:val="32"/>
          <w:szCs w:val="32"/>
          <w:shd w:val="clear" w:color="auto" w:fill="FFFFFF"/>
          <w:lang w:eastAsia="zh-CN" w:bidi="ar"/>
        </w:rPr>
        <w:t>单位对</w:t>
      </w:r>
      <w:r>
        <w:rPr>
          <w:rFonts w:hint="default" w:ascii="Times New Roman" w:hAnsi="Times New Roman" w:eastAsia="方正仿宋_GBK"/>
          <w:color w:val="333333"/>
          <w:sz w:val="32"/>
          <w:szCs w:val="32"/>
          <w:shd w:val="clear" w:color="auto" w:fill="FFFFFF"/>
        </w:rPr>
        <w:t>10个二级项目开展了绩效自评，涉及财政拨款项目支出资金164.81万元。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6"/>
        <w:snapToGrid w:val="0"/>
        <w:spacing w:before="0" w:beforeAutospacing="0" w:after="0" w:afterAutospacing="0" w:line="560" w:lineRule="exact"/>
        <w:ind w:firstLine="1080" w:firstLineChars="300"/>
        <w:rPr>
          <w:rFonts w:hint="default" w:ascii="Times New Roman" w:hAnsi="Times New Roman" w:eastAsia="方正仿宋"/>
          <w:color w:val="333333"/>
          <w:sz w:val="32"/>
          <w:szCs w:val="32"/>
          <w:shd w:val="clear" w:color="auto" w:fill="FFFFFF"/>
        </w:rPr>
      </w:pPr>
      <w:r>
        <w:rPr>
          <w:rFonts w:ascii="方正小标宋_GBK" w:hAnsi="方正小标宋_GBK" w:eastAsia="方正小标宋_GBK" w:cs="方正小标宋_GBK"/>
          <w:color w:val="000000"/>
          <w:sz w:val="36"/>
          <w:szCs w:val="36"/>
          <w:lang w:bidi="ar"/>
        </w:rPr>
        <w:t>海洋乡</w:t>
      </w:r>
      <w:r>
        <w:rPr>
          <w:rFonts w:hint="eastAsia" w:ascii="方正小标宋_GBK" w:hAnsi="方正小标宋_GBK" w:eastAsia="方正小标宋_GBK" w:cs="方正小标宋_GBK"/>
          <w:color w:val="000000"/>
          <w:sz w:val="36"/>
          <w:szCs w:val="36"/>
          <w:lang w:eastAsia="zh-CN" w:bidi="ar"/>
        </w:rPr>
        <w:t>农业服务中心</w:t>
      </w:r>
      <w:r>
        <w:rPr>
          <w:rFonts w:ascii="方正小标宋_GBK" w:hAnsi="方正小标宋_GBK" w:eastAsia="方正小标宋_GBK" w:cs="方正小标宋_GBK"/>
          <w:color w:val="000000"/>
          <w:sz w:val="36"/>
          <w:szCs w:val="36"/>
          <w:lang w:bidi="ar"/>
        </w:rPr>
        <w:t>2023年度项目支出绩效自评表（二级项目）</w:t>
      </w:r>
    </w:p>
    <w:tbl>
      <w:tblPr>
        <w:tblStyle w:val="9"/>
        <w:tblW w:w="12530" w:type="dxa"/>
        <w:tblInd w:w="152" w:type="dxa"/>
        <w:tblLayout w:type="fixed"/>
        <w:tblCellMar>
          <w:top w:w="15" w:type="dxa"/>
          <w:left w:w="15" w:type="dxa"/>
          <w:bottom w:w="15" w:type="dxa"/>
          <w:right w:w="15" w:type="dxa"/>
        </w:tblCellMar>
      </w:tblPr>
      <w:tblGrid>
        <w:gridCol w:w="928"/>
        <w:gridCol w:w="1080"/>
        <w:gridCol w:w="1080"/>
        <w:gridCol w:w="1080"/>
        <w:gridCol w:w="1080"/>
        <w:gridCol w:w="1080"/>
        <w:gridCol w:w="1080"/>
        <w:gridCol w:w="1611"/>
        <w:gridCol w:w="1351"/>
        <w:gridCol w:w="1080"/>
        <w:gridCol w:w="1080"/>
      </w:tblGrid>
      <w:tr>
        <w:tblPrEx>
          <w:tblLayout w:type="fixed"/>
          <w:tblCellMar>
            <w:top w:w="15" w:type="dxa"/>
            <w:left w:w="15" w:type="dxa"/>
            <w:bottom w:w="15" w:type="dxa"/>
            <w:right w:w="15" w:type="dxa"/>
          </w:tblCellMar>
        </w:tblPrEx>
        <w:trPr>
          <w:trHeight w:val="191" w:hRule="atLeast"/>
        </w:trPr>
        <w:tc>
          <w:tcPr>
            <w:tcW w:w="92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r>
              <w:rPr>
                <w:rFonts w:cs="宋体"/>
                <w:color w:val="000000"/>
              </w:rPr>
              <w:t>1</w:t>
            </w: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r>
              <w:rPr>
                <w:rFonts w:cs="宋体"/>
                <w:color w:val="000000"/>
              </w:rPr>
              <w:t xml:space="preserve">       驻乡驻村工作经费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t>驻村人数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r>
              <w:rPr>
                <w:rFonts w:cs="宋体"/>
                <w:color w:val="000000"/>
              </w:rPr>
              <w:t>100</w:t>
            </w:r>
          </w:p>
        </w:tc>
      </w:tr>
      <w:tr>
        <w:tblPrEx>
          <w:tblLayout w:type="fixed"/>
          <w:tblCellMar>
            <w:top w:w="15" w:type="dxa"/>
            <w:left w:w="15" w:type="dxa"/>
            <w:bottom w:w="15" w:type="dxa"/>
            <w:right w:w="15" w:type="dxa"/>
          </w:tblCellMar>
        </w:tblPrEx>
        <w:trPr>
          <w:trHeight w:val="191" w:hRule="atLeast"/>
        </w:trPr>
        <w:tc>
          <w:tcPr>
            <w:tcW w:w="92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t>经费及时完成率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r>
      <w:tr>
        <w:tblPrEx>
          <w:tblLayout w:type="fixed"/>
          <w:tblCellMar>
            <w:top w:w="15" w:type="dxa"/>
            <w:left w:w="15" w:type="dxa"/>
            <w:bottom w:w="15" w:type="dxa"/>
            <w:right w:w="15" w:type="dxa"/>
          </w:tblCellMar>
        </w:tblPrEx>
        <w:trPr>
          <w:trHeight w:val="191" w:hRule="atLeast"/>
        </w:trPr>
        <w:tc>
          <w:tcPr>
            <w:tcW w:w="92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t>驻村工作可持续性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r>
    </w:tbl>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jc w:val="both"/>
        <w:rPr>
          <w:rFonts w:hint="default" w:ascii="Times New Roman" w:hAnsi="Times New Roman" w:eastAsia="方正仿宋"/>
          <w:color w:val="333333"/>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sectPr>
          <w:pgSz w:w="16840" w:h="11915" w:orient="landscape"/>
          <w:pgMar w:top="1800" w:right="1440" w:bottom="1800" w:left="1440" w:header="851" w:footer="992" w:gutter="0"/>
          <w:pgNumType w:fmt="numberInDash"/>
          <w:cols w:space="720" w:num="1"/>
          <w:docGrid w:type="lines" w:linePitch="326" w:charSpace="0"/>
        </w:sect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（二）</w:t>
      </w:r>
      <w:r>
        <w:rPr>
          <w:rStyle w:val="8"/>
          <w:rFonts w:hint="eastAsia" w:ascii="Times New Roman" w:hAnsi="Times New Roman" w:eastAsia="方正楷体_GBK"/>
          <w:b w:val="0"/>
          <w:bCs/>
          <w:sz w:val="32"/>
          <w:szCs w:val="32"/>
          <w:shd w:val="clear" w:color="auto" w:fill="FFFFFF"/>
          <w:lang w:eastAsia="zh-CN" w:bidi="ar"/>
        </w:rPr>
        <w:t>单位</w:t>
      </w:r>
      <w:r>
        <w:rPr>
          <w:rStyle w:val="8"/>
          <w:rFonts w:hint="default" w:ascii="Times New Roman" w:hAnsi="Times New Roman" w:eastAsia="方正楷体_GBK"/>
          <w:b w:val="0"/>
          <w:bCs/>
          <w:sz w:val="32"/>
          <w:szCs w:val="32"/>
          <w:shd w:val="clear" w:color="auto" w:fill="FFFFFF"/>
          <w:lang w:bidi="ar"/>
        </w:rPr>
        <w:t>绩效评价情况</w:t>
      </w:r>
    </w:p>
    <w:p>
      <w:pPr>
        <w:pStyle w:val="6"/>
        <w:widowControl w:val="0"/>
        <w:shd w:val="clear" w:color="auto" w:fill="FFFFFF"/>
        <w:spacing w:before="0" w:beforeAutospacing="0" w:after="0" w:afterAutospacing="0" w:line="560" w:lineRule="exact"/>
        <w:ind w:firstLine="648"/>
        <w:jc w:val="both"/>
        <w:rPr>
          <w:rFonts w:hint="default"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lang w:val="zh-CN"/>
        </w:rPr>
        <w:t>本</w:t>
      </w:r>
      <w:r>
        <w:rPr>
          <w:rFonts w:hint="eastAsia" w:ascii="Times New Roman" w:hAnsi="Times New Roman" w:eastAsia="方正仿宋_GBK"/>
          <w:color w:val="333333"/>
          <w:sz w:val="32"/>
          <w:szCs w:val="32"/>
          <w:shd w:val="clear" w:color="auto" w:fill="FFFFFF"/>
          <w:lang w:val="zh-CN"/>
        </w:rPr>
        <w:t>单位</w:t>
      </w:r>
      <w:r>
        <w:rPr>
          <w:rFonts w:hint="default" w:ascii="Times New Roman" w:hAnsi="Times New Roman" w:eastAsia="方正仿宋_GBK"/>
          <w:sz w:val="32"/>
          <w:szCs w:val="32"/>
          <w:shd w:val="clear" w:color="auto" w:fill="FFFFFF"/>
          <w:lang w:bidi="ar"/>
        </w:rPr>
        <w:t>对</w:t>
      </w:r>
      <w:r>
        <w:rPr>
          <w:rFonts w:ascii="Times New Roman" w:hAnsi="Times New Roman" w:eastAsia="方正仿宋_GBK"/>
          <w:sz w:val="32"/>
          <w:szCs w:val="32"/>
          <w:shd w:val="clear" w:color="auto" w:fill="FFFFFF"/>
          <w:lang w:bidi="ar"/>
        </w:rPr>
        <w:t>驻乡驻村工作经费</w:t>
      </w:r>
      <w:r>
        <w:rPr>
          <w:rFonts w:hint="default" w:ascii="Times New Roman" w:hAnsi="Times New Roman" w:eastAsia="方正仿宋_GBK"/>
          <w:sz w:val="32"/>
          <w:szCs w:val="32"/>
          <w:shd w:val="clear" w:color="auto" w:fill="FFFFFF"/>
          <w:lang w:bidi="ar"/>
        </w:rPr>
        <w:t>开展了绩效评价，涉及财政拨款项目资金</w:t>
      </w:r>
      <w:r>
        <w:rPr>
          <w:rFonts w:ascii="Times New Roman" w:hAnsi="Times New Roman" w:eastAsia="方正仿宋_GBK"/>
          <w:sz w:val="32"/>
          <w:szCs w:val="32"/>
          <w:shd w:val="clear" w:color="auto" w:fill="FFFFFF"/>
          <w:lang w:bidi="ar"/>
        </w:rPr>
        <w:t>9.00</w:t>
      </w:r>
      <w:r>
        <w:rPr>
          <w:rFonts w:hint="default" w:ascii="Times New Roman" w:hAnsi="Times New Roman" w:eastAsia="方正仿宋_GBK"/>
          <w:sz w:val="32"/>
          <w:szCs w:val="32"/>
          <w:shd w:val="clear" w:color="auto" w:fill="FFFFFF"/>
          <w:lang w:bidi="ar"/>
        </w:rPr>
        <w:t>万元，评价得分</w:t>
      </w:r>
      <w:r>
        <w:rPr>
          <w:rFonts w:ascii="Times New Roman" w:hAnsi="Times New Roman" w:eastAsia="方正仿宋_GBK"/>
          <w:sz w:val="32"/>
          <w:szCs w:val="32"/>
          <w:shd w:val="clear" w:color="auto" w:fill="FFFFFF"/>
          <w:lang w:bidi="ar"/>
        </w:rPr>
        <w:t>100</w:t>
      </w:r>
      <w:r>
        <w:rPr>
          <w:rFonts w:hint="default" w:ascii="Times New Roman" w:hAnsi="Times New Roman" w:eastAsia="方正仿宋_GBK"/>
          <w:sz w:val="32"/>
          <w:szCs w:val="32"/>
          <w:shd w:val="clear" w:color="auto" w:fill="FFFFFF"/>
          <w:lang w:bidi="ar"/>
        </w:rPr>
        <w:t>分，评价等次为</w:t>
      </w:r>
      <w:r>
        <w:rPr>
          <w:rFonts w:ascii="Times New Roman" w:hAnsi="Times New Roman" w:eastAsia="方正仿宋_GBK"/>
          <w:sz w:val="32"/>
          <w:szCs w:val="32"/>
          <w:shd w:val="clear" w:color="auto" w:fill="FFFFFF"/>
          <w:lang w:bidi="ar"/>
        </w:rPr>
        <w:t>优</w:t>
      </w:r>
      <w:r>
        <w:rPr>
          <w:rFonts w:hint="default" w:ascii="Times New Roman" w:hAnsi="Times New Roman" w:eastAsia="方正仿宋_GBK"/>
          <w:sz w:val="32"/>
          <w:szCs w:val="32"/>
          <w:shd w:val="clear" w:color="auto" w:fill="FFFFFF"/>
          <w:lang w:bidi="ar"/>
        </w:rPr>
        <w:t>，绩效评价发现了</w:t>
      </w:r>
      <w:r>
        <w:rPr>
          <w:rFonts w:ascii="Times New Roman" w:hAnsi="Times New Roman" w:eastAsia="方正仿宋_GBK"/>
          <w:sz w:val="32"/>
          <w:szCs w:val="32"/>
          <w:shd w:val="clear" w:color="auto" w:fill="FFFFFF"/>
          <w:lang w:bidi="ar"/>
        </w:rPr>
        <w:t>报账不及时</w:t>
      </w:r>
      <w:r>
        <w:rPr>
          <w:rFonts w:hint="default" w:ascii="Times New Roman" w:hAnsi="Times New Roman" w:eastAsia="方正仿宋_GBK"/>
          <w:sz w:val="32"/>
          <w:szCs w:val="32"/>
          <w:shd w:val="clear" w:color="auto" w:fill="FFFFFF"/>
          <w:lang w:bidi="ar"/>
        </w:rPr>
        <w:t>等主要问题，提出</w:t>
      </w:r>
      <w:r>
        <w:rPr>
          <w:rFonts w:ascii="Times New Roman" w:hAnsi="Times New Roman" w:eastAsia="方正仿宋_GBK"/>
          <w:sz w:val="32"/>
          <w:szCs w:val="32"/>
          <w:shd w:val="clear" w:color="auto" w:fill="FFFFFF"/>
          <w:lang w:bidi="ar"/>
        </w:rPr>
        <w:t>及时报账</w:t>
      </w:r>
      <w:r>
        <w:rPr>
          <w:rFonts w:hint="default" w:ascii="Times New Roman" w:hAnsi="Times New Roman" w:eastAsia="方正仿宋_GBK"/>
          <w:sz w:val="32"/>
          <w:szCs w:val="32"/>
          <w:shd w:val="clear" w:color="auto" w:fill="FFFFFF"/>
          <w:lang w:bidi="ar"/>
        </w:rPr>
        <w:t>等下一步工作建议</w:t>
      </w:r>
      <w:r>
        <w:rPr>
          <w:rFonts w:ascii="Times New Roman" w:hAnsi="Times New Roman" w:eastAsia="方正仿宋_GBK"/>
          <w:color w:val="333333"/>
          <w:sz w:val="32"/>
          <w:szCs w:val="32"/>
          <w:shd w:val="clear" w:color="auto" w:fill="FFFFFF"/>
          <w:lang w:val="zh-CN"/>
        </w:rPr>
        <w:t>。</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（三）财政绩效评价情况</w:t>
      </w:r>
    </w:p>
    <w:p>
      <w:pPr>
        <w:pStyle w:val="6"/>
        <w:snapToGrid w:val="0"/>
        <w:spacing w:before="0" w:beforeAutospacing="0" w:after="0" w:afterAutospacing="0" w:line="560" w:lineRule="exact"/>
        <w:ind w:firstLine="640" w:firstLineChars="200"/>
        <w:jc w:val="both"/>
        <w:rPr>
          <w:rFonts w:hint="default" w:ascii="方正仿宋_GBK" w:hAnsi="Times New Roman" w:eastAsia="方正仿宋_GBK"/>
          <w:color w:val="333333"/>
          <w:sz w:val="32"/>
          <w:szCs w:val="32"/>
          <w:shd w:val="clear" w:color="auto" w:fill="FFFFFF"/>
        </w:rPr>
      </w:pPr>
      <w:r>
        <w:rPr>
          <w:rFonts w:ascii="方正仿宋_GBK" w:hAnsi="Times New Roman" w:eastAsia="方正仿宋_GBK"/>
          <w:color w:val="333333"/>
          <w:sz w:val="32"/>
          <w:szCs w:val="32"/>
          <w:shd w:val="clear" w:color="auto" w:fill="FFFFFF"/>
        </w:rPr>
        <w:t>县财政局未委托第三方对我</w:t>
      </w:r>
      <w:r>
        <w:rPr>
          <w:rFonts w:ascii="Times New Roman" w:hAnsi="Times New Roman" w:eastAsia="方正仿宋_GBK"/>
          <w:color w:val="333333"/>
          <w:sz w:val="32"/>
          <w:szCs w:val="32"/>
          <w:shd w:val="clear" w:color="auto" w:fill="FFFFFF"/>
          <w:lang w:bidi="ar"/>
        </w:rPr>
        <w:t>部门</w:t>
      </w:r>
      <w:r>
        <w:rPr>
          <w:rFonts w:ascii="方正仿宋_GBK" w:hAnsi="Times New Roman" w:eastAsia="方正仿宋_GBK"/>
          <w:color w:val="333333"/>
          <w:sz w:val="32"/>
          <w:szCs w:val="32"/>
          <w:shd w:val="clear" w:color="auto" w:fill="FFFFFF"/>
        </w:rPr>
        <w:t>开展绩效评价。</w:t>
      </w:r>
    </w:p>
    <w:p>
      <w:pPr>
        <w:pStyle w:val="6"/>
        <w:shd w:val="clear" w:color="auto" w:fill="FFFFFF"/>
        <w:spacing w:before="0" w:beforeAutospacing="0" w:after="0" w:afterAutospacing="0" w:line="560" w:lineRule="exact"/>
        <w:ind w:firstLine="640" w:firstLineChars="200"/>
        <w:jc w:val="both"/>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六、专业名词解释</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Fonts w:ascii="方正仿宋_GBK" w:hAnsi="Times New Roman" w:eastAsia="方正仿宋_GBK"/>
          <w:b/>
          <w:bCs/>
          <w:sz w:val="32"/>
          <w:szCs w:val="32"/>
          <w:shd w:val="clear" w:color="auto" w:fill="FFFFFF"/>
        </w:rPr>
        <w:t>（一）财政拨款收入：</w:t>
      </w:r>
      <w:r>
        <w:rPr>
          <w:rFonts w:ascii="方正仿宋_GBK"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（二）事业收入</w:t>
      </w:r>
      <w:r>
        <w:rPr>
          <w:rFonts w:ascii="方正仿宋_GBK"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（三）经营收入</w:t>
      </w:r>
      <w:r>
        <w:rPr>
          <w:rFonts w:ascii="方正仿宋_GBK"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（四）其他收入</w:t>
      </w:r>
      <w:r>
        <w:rPr>
          <w:rFonts w:ascii="方正仿宋_GBK"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（五）使用非财政拨款结余</w:t>
      </w:r>
      <w:r>
        <w:rPr>
          <w:rFonts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（六）年初结转和结余</w:t>
      </w:r>
      <w:r>
        <w:rPr>
          <w:rFonts w:ascii="方正仿宋_GBK"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（七）结余分配</w:t>
      </w:r>
      <w:r>
        <w:rPr>
          <w:rFonts w:ascii="方正仿宋_GBK"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（八）年末结转和结余</w:t>
      </w:r>
      <w:r>
        <w:rPr>
          <w:rFonts w:ascii="方正仿宋_GBK"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（九）基本支出</w:t>
      </w:r>
      <w:r>
        <w:rPr>
          <w:rFonts w:ascii="方正仿宋_GBK"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（十）项目支出</w:t>
      </w:r>
      <w:r>
        <w:rPr>
          <w:rFonts w:ascii="方正仿宋_GBK"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（十一）经营支出</w:t>
      </w:r>
      <w:r>
        <w:rPr>
          <w:rFonts w:ascii="方正仿宋_GBK"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（十二）“三公”经费</w:t>
      </w:r>
      <w:r>
        <w:rPr>
          <w:rFonts w:ascii="方正仿宋_GBK"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（十三）机关运行经费</w:t>
      </w:r>
      <w:r>
        <w:rPr>
          <w:rFonts w:ascii="方正仿宋_GBK"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（十四）工资福利支出（支出经济分类科目类级）</w:t>
      </w:r>
      <w:r>
        <w:rPr>
          <w:rFonts w:ascii="方正仿宋_GBK"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（十五）商品和服务支出（支出经济分类科目类级）</w:t>
      </w:r>
      <w:r>
        <w:rPr>
          <w:rFonts w:ascii="方正仿宋_GBK"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（十六）对个人和家庭的补助（支出经济分类科目类级）</w:t>
      </w:r>
      <w:r>
        <w:rPr>
          <w:rFonts w:ascii="方正仿宋_GBK"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 （十七）其他资本性支出（支出经济分类科目类级）</w:t>
      </w:r>
      <w:r>
        <w:rPr>
          <w:rFonts w:ascii="方正仿宋_GBK"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仿宋_GBK"/>
          <w:b w:val="0"/>
          <w:bCs/>
          <w:sz w:val="32"/>
          <w:szCs w:val="32"/>
          <w:shd w:val="clear" w:color="auto" w:fill="FFFFFF"/>
        </w:rPr>
      </w:pPr>
      <w:r>
        <w:rPr>
          <w:rStyle w:val="8"/>
          <w:rFonts w:hint="default" w:ascii="Times New Roman" w:hAnsi="Times New Roman" w:eastAsia="方正仿宋_GBK"/>
          <w:b w:val="0"/>
          <w:bCs/>
          <w:sz w:val="32"/>
          <w:szCs w:val="32"/>
          <w:shd w:val="clear" w:color="auto" w:fill="FFFFFF"/>
        </w:rPr>
        <w:t xml:space="preserve">  </w:t>
      </w:r>
      <w:r>
        <w:rPr>
          <w:rStyle w:val="8"/>
          <w:rFonts w:hint="default" w:ascii="Times New Roman" w:hAnsi="Times New Roman" w:eastAsia="黑体"/>
          <w:b w:val="0"/>
          <w:bCs/>
          <w:sz w:val="32"/>
          <w:szCs w:val="32"/>
          <w:shd w:val="clear" w:color="auto" w:fill="FFFFFF"/>
        </w:rPr>
        <w:t>七、决算公开联系方式及信息反馈渠道</w:t>
      </w:r>
    </w:p>
    <w:p>
      <w:pPr>
        <w:pStyle w:val="11"/>
        <w:autoSpaceDE w:val="0"/>
        <w:spacing w:line="56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 xml:space="preserve">决算公开信息反馈和联系方式：联系人：程福云办公电话023-76641035      </w:t>
      </w:r>
    </w:p>
    <w:p>
      <w:pPr>
        <w:pStyle w:val="11"/>
        <w:autoSpaceDE w:val="0"/>
        <w:spacing w:line="560" w:lineRule="exact"/>
        <w:ind w:firstLine="643"/>
        <w:jc w:val="both"/>
        <w:rPr>
          <w:rStyle w:val="8"/>
          <w:rFonts w:ascii="Times New Roman" w:hAnsi="Times New Roman" w:eastAsia="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spacing w:line="560" w:lineRule="exact"/>
        <w:ind w:firstLine="420" w:firstLineChars="200"/>
        <w:jc w:val="both"/>
        <w:rPr>
          <w:rFonts w:hint="default" w:ascii="Times New Roman" w:hAnsi="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重庆市秀山土家族苗族自治县海洋乡农业服务中心（特色产业发展中心）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40" w:firstLineChars="200"/>
              <w:jc w:val="both"/>
              <w:rPr>
                <w:rFonts w:hint="default" w:ascii="Times New Roman" w:hAnsi="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288.73</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13.39</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240.81</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288.73</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267.39</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288.73</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288.73</w:t>
            </w: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重庆市秀山土家族苗族自治县海洋乡农业服务中心（特色产业发展中心）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560"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288.73</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288.73</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262.16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262.16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97.95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97.95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147.21</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147.21</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147.21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147.21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spacing w:line="560" w:lineRule="exact"/>
        <w:ind w:left="600"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560"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267.39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102.58</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164.81</w:t>
            </w: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240.81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76.00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164.81</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76.60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76.00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76.00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76.00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147.21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147.21</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147.21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147.21</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20" w:firstLineChars="200"/>
        <w:jc w:val="both"/>
        <w:rPr>
          <w:rFonts w:hint="default" w:ascii="Times New Roman" w:hAnsi="Times New Roman"/>
          <w:sz w:val="21"/>
          <w:szCs w:val="21"/>
        </w:rPr>
      </w:pPr>
      <w:r>
        <w:rPr>
          <w:rFonts w:hint="default" w:ascii="Times New Roman" w:hAnsi="Times New Roman"/>
          <w:sz w:val="21"/>
          <w:szCs w:val="21"/>
        </w:rPr>
        <w:br w:type="page"/>
      </w:r>
    </w:p>
    <w:p>
      <w:pPr>
        <w:spacing w:line="560" w:lineRule="exact"/>
        <w:ind w:firstLine="420" w:firstLineChars="200"/>
        <w:jc w:val="both"/>
        <w:rPr>
          <w:rFonts w:hint="default" w:ascii="Times New Roman" w:hAnsi="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重庆市秀山土家族苗族自治县海洋乡农业服务中心（特色产业发展中心）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288.73</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13.39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13.39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240.81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240.81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8.73</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8.73</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288.73</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267.39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267.39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21.34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21.34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288.73</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288.73</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288.73</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560"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560"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267.39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102.58</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164.81</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4.45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164.81</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76.00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76.00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147.21</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147.21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147.21</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8.73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20" w:firstLineChars="200"/>
        <w:jc w:val="both"/>
        <w:rPr>
          <w:rFonts w:hint="default" w:ascii="Times New Roman" w:hAnsi="Times New Roman"/>
          <w:sz w:val="21"/>
          <w:szCs w:val="21"/>
        </w:rPr>
      </w:pPr>
      <w:r>
        <w:rPr>
          <w:rFonts w:hint="default" w:ascii="Times New Roman" w:hAnsi="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重庆市秀山土家族苗族自治县海洋乡农业服务中心（特色产业发展中心）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560"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560"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90.74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9.08</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20.89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6.94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37.19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8.73</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93.49</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9.08</w:t>
            </w:r>
            <w:r>
              <w:rPr>
                <w:rFonts w:hint="default" w:ascii="Times New Roman" w:hAnsi="Times New Roman"/>
                <w:color w:val="000000"/>
                <w:sz w:val="18"/>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560"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20" w:firstLineChars="200"/>
        <w:jc w:val="both"/>
        <w:rPr>
          <w:rFonts w:hint="default" w:ascii="Times New Roman" w:hAnsi="Times New Roman"/>
          <w:sz w:val="21"/>
          <w:szCs w:val="21"/>
        </w:rPr>
      </w:pP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重庆市秀山土家族苗族自治县海洋乡农业服务中心（特色产业发展中心）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560"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560"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重庆市秀山土家族苗族自治县海洋乡农业服务中心（特色产业发展中心）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rPr>
                <w:rFonts w:hint="default" w:ascii="Times New Roman" w:hAnsi="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0.33</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rPr>
                <w:rFonts w:hint="default" w:ascii="Times New Roman" w:hAnsi="Times New Roman"/>
                <w:color w:val="000000"/>
                <w:sz w:val="16"/>
                <w:szCs w:val="16"/>
              </w:rPr>
            </w:pP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9181"/>
    <w:multiLevelType w:val="multilevel"/>
    <w:tmpl w:val="47579181"/>
    <w:lvl w:ilvl="0" w:tentative="0">
      <w:start w:val="5"/>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72DC9"/>
    <w:rsid w:val="0014157C"/>
    <w:rsid w:val="001742E8"/>
    <w:rsid w:val="001749C6"/>
    <w:rsid w:val="001D26E0"/>
    <w:rsid w:val="001D3BB7"/>
    <w:rsid w:val="0023019E"/>
    <w:rsid w:val="0029013F"/>
    <w:rsid w:val="002A7521"/>
    <w:rsid w:val="002B254B"/>
    <w:rsid w:val="00307540"/>
    <w:rsid w:val="003B7D48"/>
    <w:rsid w:val="00462230"/>
    <w:rsid w:val="00466C9B"/>
    <w:rsid w:val="00477E93"/>
    <w:rsid w:val="004E1035"/>
    <w:rsid w:val="00550ABE"/>
    <w:rsid w:val="00665C0D"/>
    <w:rsid w:val="007063EE"/>
    <w:rsid w:val="00770383"/>
    <w:rsid w:val="007819D4"/>
    <w:rsid w:val="007B419D"/>
    <w:rsid w:val="007B7C4B"/>
    <w:rsid w:val="007D3D39"/>
    <w:rsid w:val="00802420"/>
    <w:rsid w:val="00816EC1"/>
    <w:rsid w:val="008F1E75"/>
    <w:rsid w:val="00942631"/>
    <w:rsid w:val="00994AF7"/>
    <w:rsid w:val="009B67B8"/>
    <w:rsid w:val="009D2B67"/>
    <w:rsid w:val="00A566F9"/>
    <w:rsid w:val="00AC5245"/>
    <w:rsid w:val="00AF2751"/>
    <w:rsid w:val="00B03CCD"/>
    <w:rsid w:val="00B13A1B"/>
    <w:rsid w:val="00BA4391"/>
    <w:rsid w:val="00BE2B89"/>
    <w:rsid w:val="00C10E9E"/>
    <w:rsid w:val="00C20C3E"/>
    <w:rsid w:val="00C26445"/>
    <w:rsid w:val="00DE4EDC"/>
    <w:rsid w:val="00E30E7A"/>
    <w:rsid w:val="00F70CF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194B2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9625B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540D10"/>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F73909"/>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2052</Words>
  <Characters>11697</Characters>
  <Lines>97</Lines>
  <Paragraphs>27</Paragraphs>
  <TotalTime>2</TotalTime>
  <ScaleCrop>false</ScaleCrop>
  <LinksUpToDate>false</LinksUpToDate>
  <CharactersWithSpaces>13722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2024-10-08T12:45:08Z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