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方正小标宋_GBK" w:hAnsi="方正小标宋_GBK" w:eastAsia="方正小标宋_GBK" w:cs="方正小标宋_GBK"/>
          <w:b w:val="0"/>
          <w:bCs/>
          <w:kern w:val="2"/>
          <w:sz w:val="44"/>
          <w:szCs w:val="44"/>
          <w:lang w:val="en-US" w:eastAsia="zh-CN" w:bidi="ar-SA"/>
        </w:rPr>
      </w:pPr>
      <w:r>
        <w:rPr>
          <w:rFonts w:hint="default" w:ascii="方正小标宋_GBK" w:hAnsi="方正小标宋_GBK" w:eastAsia="方正小标宋_GBK" w:cs="方正小标宋_GBK"/>
          <w:b w:val="0"/>
          <w:bCs/>
          <w:kern w:val="2"/>
          <w:sz w:val="44"/>
          <w:szCs w:val="44"/>
          <w:lang w:val="en-US" w:eastAsia="zh-CN" w:bidi="ar-SA"/>
        </w:rPr>
        <w:t>重庆市秀山土家族苗族自治县</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方正小标宋_GBK" w:hAnsi="方正小标宋_GBK" w:eastAsia="方正小标宋_GBK" w:cs="方正小标宋_GBK"/>
          <w:b w:val="0"/>
          <w:bCs/>
          <w:kern w:val="2"/>
          <w:sz w:val="44"/>
          <w:szCs w:val="44"/>
          <w:lang w:val="en-US" w:eastAsia="zh-CN" w:bidi="ar-SA"/>
        </w:rPr>
      </w:pPr>
      <w:r>
        <w:rPr>
          <w:rFonts w:hint="default" w:ascii="方正小标宋_GBK" w:hAnsi="方正小标宋_GBK" w:eastAsia="方正小标宋_GBK" w:cs="方正小标宋_GBK"/>
          <w:b w:val="0"/>
          <w:bCs/>
          <w:kern w:val="2"/>
          <w:sz w:val="44"/>
          <w:szCs w:val="44"/>
          <w:lang w:val="en-US" w:eastAsia="zh-CN" w:bidi="ar-SA"/>
        </w:rPr>
        <w:t>龙凤坝镇退役军人服务站</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方正小标宋_GBK" w:hAnsi="方正小标宋_GBK" w:eastAsia="方正小标宋_GBK" w:cs="方正小标宋_GBK"/>
          <w:b w:val="0"/>
          <w:bCs/>
          <w:kern w:val="2"/>
          <w:sz w:val="44"/>
          <w:szCs w:val="44"/>
          <w:lang w:val="en-US" w:eastAsia="zh-CN" w:bidi="ar-SA"/>
        </w:rPr>
      </w:pPr>
      <w:r>
        <w:rPr>
          <w:rFonts w:hint="default" w:ascii="方正小标宋_GBK" w:hAnsi="方正小标宋_GBK" w:eastAsia="方正小标宋_GBK" w:cs="方正小标宋_GBK"/>
          <w:b w:val="0"/>
          <w:bCs/>
          <w:kern w:val="2"/>
          <w:sz w:val="44"/>
          <w:szCs w:val="44"/>
          <w:lang w:val="en-US" w:eastAsia="zh-CN" w:bidi="ar-SA"/>
        </w:rPr>
        <w:t>2023年度决算公开说明</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22"/>
          <w:vertAlign w:val="baseline"/>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atLeast"/>
        <w:ind w:firstLine="608" w:firstLineChars="200"/>
        <w:jc w:val="both"/>
        <w:textAlignment w:val="auto"/>
        <w:outlineLvl w:val="9"/>
        <w:rPr>
          <w:rFonts w:hint="default" w:ascii="Times New Roman" w:hAnsi="Times New Roman" w:eastAsia="方正黑体_GBK" w:cs="Times New Roman"/>
          <w:w w:val="95"/>
          <w:kern w:val="2"/>
          <w:sz w:val="32"/>
          <w:szCs w:val="32"/>
          <w:lang w:val="en-US" w:eastAsia="zh-CN"/>
        </w:rPr>
      </w:pPr>
      <w:r>
        <w:rPr>
          <w:rFonts w:hint="default" w:ascii="Times New Roman" w:hAnsi="Times New Roman" w:eastAsia="方正黑体_GBK" w:cs="Times New Roman"/>
          <w:w w:val="95"/>
          <w:kern w:val="2"/>
          <w:sz w:val="32"/>
          <w:szCs w:val="32"/>
          <w:lang w:val="en-US" w:eastAsia="zh-CN"/>
        </w:rPr>
        <w:t>一、单位基本情况</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9"/>
          <w:rFonts w:hint="default" w:ascii="Times New Roman" w:hAnsi="Times New Roman" w:eastAsia="方正楷体_GBK" w:cs="Times New Roman"/>
          <w:b w:val="0"/>
          <w:bCs/>
          <w:sz w:val="32"/>
          <w:szCs w:val="32"/>
          <w:shd w:val="clear" w:color="auto" w:fill="FFFFFF"/>
          <w:lang w:val="en-US" w:eastAsia="zh-CN"/>
        </w:rPr>
      </w:pPr>
      <w:r>
        <w:rPr>
          <w:rStyle w:val="9"/>
          <w:rFonts w:hint="default" w:ascii="Times New Roman" w:hAnsi="Times New Roman" w:eastAsia="方正楷体_GBK" w:cs="Times New Roman"/>
          <w:b w:val="0"/>
          <w:bCs/>
          <w:sz w:val="32"/>
          <w:szCs w:val="32"/>
          <w:shd w:val="clear" w:color="auto" w:fill="FFFFFF"/>
          <w:lang w:val="en-US" w:eastAsia="zh-CN"/>
        </w:rPr>
        <w:t>（一）职能职责</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kern w:val="2"/>
          <w:sz w:val="32"/>
          <w:szCs w:val="22"/>
          <w:vertAlign w:val="baseline"/>
          <w:lang w:val="en-US" w:eastAsia="zh-CN" w:bidi="ar-SA"/>
        </w:rPr>
      </w:pPr>
      <w:r>
        <w:rPr>
          <w:rFonts w:hint="eastAsia" w:ascii="Times New Roman" w:hAnsi="Times New Roman" w:eastAsia="方正仿宋_GBK" w:cs="Times New Roman"/>
          <w:kern w:val="2"/>
          <w:sz w:val="32"/>
          <w:szCs w:val="22"/>
          <w:vertAlign w:val="baseline"/>
          <w:lang w:val="en-US" w:eastAsia="zh-CN" w:bidi="ar-SA"/>
        </w:rPr>
        <w:t>贯彻执行法律、法规、规章和县人民政府的决策部署、依法管理本辖区内公共事务，创新经济社会发展环境，为经济社会发展提供良好发展空间和便捷服务，重点履行社会管理和公共服务职能，促进辖区物质文明、精神文明和政治文明建设协调发展。承办县委、县政府交办的其他工作。</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9"/>
          <w:rFonts w:hint="default" w:ascii="Times New Roman" w:hAnsi="Times New Roman" w:eastAsia="方正楷体_GBK" w:cs="Times New Roman"/>
          <w:b w:val="0"/>
          <w:bCs/>
          <w:sz w:val="32"/>
          <w:szCs w:val="32"/>
          <w:shd w:val="clear" w:color="auto" w:fill="FFFFFF"/>
          <w:lang w:val="en-US" w:eastAsia="zh-CN"/>
        </w:rPr>
      </w:pPr>
      <w:r>
        <w:rPr>
          <w:rStyle w:val="9"/>
          <w:rFonts w:hint="default" w:ascii="Times New Roman" w:hAnsi="Times New Roman" w:eastAsia="方正楷体_GBK" w:cs="Times New Roman"/>
          <w:b w:val="0"/>
          <w:bCs/>
          <w:sz w:val="32"/>
          <w:szCs w:val="32"/>
          <w:shd w:val="clear" w:color="auto" w:fill="FFFFFF"/>
          <w:lang w:val="en-US" w:eastAsia="zh-CN"/>
        </w:rPr>
        <w:t>（二）机构设置</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eastAsia" w:ascii="Times New Roman" w:hAnsi="Times New Roman" w:eastAsia="方正仿宋_GBK" w:cs="Times New Roman"/>
          <w:kern w:val="2"/>
          <w:sz w:val="32"/>
          <w:szCs w:val="22"/>
          <w:vertAlign w:val="baseline"/>
          <w:lang w:val="en-US" w:eastAsia="zh-CN" w:bidi="ar-SA"/>
        </w:rPr>
      </w:pPr>
      <w:r>
        <w:rPr>
          <w:rFonts w:hint="eastAsia" w:ascii="Times New Roman" w:hAnsi="Times New Roman" w:eastAsia="方正仿宋_GBK" w:cs="Times New Roman"/>
          <w:b/>
          <w:bCs/>
          <w:kern w:val="2"/>
          <w:sz w:val="32"/>
          <w:szCs w:val="22"/>
          <w:vertAlign w:val="baseline"/>
          <w:lang w:val="en-US" w:eastAsia="zh-CN" w:bidi="ar-SA"/>
        </w:rPr>
        <w:t>退役军人服务站。</w:t>
      </w:r>
      <w:r>
        <w:rPr>
          <w:rFonts w:hint="eastAsia" w:ascii="Times New Roman" w:hAnsi="Times New Roman" w:eastAsia="方正仿宋_GBK" w:cs="Times New Roman"/>
          <w:kern w:val="2"/>
          <w:sz w:val="32"/>
          <w:szCs w:val="22"/>
          <w:vertAlign w:val="baseline"/>
          <w:lang w:val="en-US" w:eastAsia="zh-CN" w:bidi="ar-SA"/>
        </w:rPr>
        <w:t>负责做好面对面、个性化、一对一服务退役军人工作，做好关系转接、联络接待、困难帮扶、信息采集、情况反映、立功喜报、悬挂光荣牌和“八一”、春节等节日以及重大变故走访慰问等具体事务，搭建政策咨询、帮扶援助、沟通联系、学习交流等活动场所，把党和政府的关怀温暖送到每一个退役军人身边；完成上级交办的其他任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atLeast"/>
        <w:ind w:firstLine="608" w:firstLineChars="200"/>
        <w:jc w:val="both"/>
        <w:textAlignment w:val="auto"/>
        <w:outlineLvl w:val="9"/>
        <w:rPr>
          <w:rFonts w:hint="default" w:ascii="Times New Roman" w:hAnsi="Times New Roman" w:eastAsia="方正黑体_GBK" w:cs="Times New Roman"/>
          <w:w w:val="95"/>
          <w:kern w:val="2"/>
          <w:sz w:val="32"/>
          <w:szCs w:val="32"/>
          <w:lang w:val="en-US" w:eastAsia="zh-CN"/>
        </w:rPr>
      </w:pPr>
      <w:r>
        <w:rPr>
          <w:rFonts w:hint="default" w:ascii="Times New Roman" w:hAnsi="Times New Roman" w:eastAsia="方正黑体_GBK" w:cs="Times New Roman"/>
          <w:w w:val="95"/>
          <w:kern w:val="2"/>
          <w:sz w:val="32"/>
          <w:szCs w:val="32"/>
          <w:lang w:val="en-US" w:eastAsia="zh-CN"/>
        </w:rPr>
        <w:t>二、单位决算情况说明</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9"/>
          <w:rFonts w:hint="default" w:ascii="Times New Roman" w:hAnsi="Times New Roman" w:eastAsia="方正楷体_GBK" w:cs="Times New Roman"/>
          <w:b w:val="0"/>
          <w:bCs/>
          <w:sz w:val="32"/>
          <w:szCs w:val="32"/>
          <w:shd w:val="clear" w:color="auto" w:fill="FFFFFF"/>
          <w:lang w:val="en-US" w:eastAsia="zh-CN"/>
        </w:rPr>
      </w:pPr>
      <w:r>
        <w:rPr>
          <w:rStyle w:val="9"/>
          <w:rFonts w:hint="eastAsia" w:ascii="Times New Roman" w:hAnsi="Times New Roman" w:eastAsia="方正楷体_GBK" w:cs="Times New Roman"/>
          <w:b w:val="0"/>
          <w:bCs/>
          <w:sz w:val="32"/>
          <w:szCs w:val="32"/>
          <w:shd w:val="clear" w:color="auto" w:fill="FFFFFF"/>
          <w:lang w:val="en-US" w:eastAsia="zh-CN"/>
        </w:rPr>
        <w:t>（一）收入支出决算总体情况说明</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eastAsia" w:ascii="Times New Roman" w:hAnsi="Times New Roman" w:eastAsia="方正仿宋_GBK" w:cs="Times New Roman"/>
          <w:kern w:val="2"/>
          <w:sz w:val="32"/>
          <w:szCs w:val="22"/>
          <w:vertAlign w:val="baseline"/>
          <w:lang w:val="en-US" w:eastAsia="zh-CN" w:bidi="ar-SA"/>
        </w:rPr>
      </w:pPr>
      <w:r>
        <w:rPr>
          <w:rFonts w:hint="default" w:ascii="Times New Roman" w:hAnsi="Times New Roman" w:eastAsia="方正仿宋_GBK" w:cs="Times New Roman"/>
          <w:b/>
          <w:bCs/>
          <w:kern w:val="2"/>
          <w:sz w:val="32"/>
          <w:szCs w:val="22"/>
          <w:vertAlign w:val="baseline"/>
          <w:lang w:val="en-US" w:eastAsia="zh-CN" w:bidi="ar-SA"/>
        </w:rPr>
        <w:t>1.总体情况。</w:t>
      </w:r>
      <w:r>
        <w:rPr>
          <w:rFonts w:hint="default" w:ascii="Times New Roman" w:hAnsi="Times New Roman" w:eastAsia="方正仿宋_GBK" w:cs="Times New Roman"/>
          <w:kern w:val="2"/>
          <w:sz w:val="32"/>
          <w:szCs w:val="22"/>
          <w:vertAlign w:val="baseline"/>
          <w:lang w:val="en-US" w:eastAsia="zh-CN" w:bidi="ar-SA"/>
        </w:rPr>
        <w:t>2023年度收入总计47.05万元，支出总计47.05万元。收支较上年决算数增加47.05万元，增长100.00%，主要原因是</w:t>
      </w:r>
      <w:r>
        <w:rPr>
          <w:rFonts w:hint="eastAsia" w:ascii="Times New Roman" w:hAnsi="Times New Roman" w:eastAsia="方正仿宋_GBK" w:cs="Times New Roman"/>
          <w:kern w:val="2"/>
          <w:sz w:val="32"/>
          <w:szCs w:val="22"/>
          <w:vertAlign w:val="baseline"/>
          <w:lang w:val="en-US" w:eastAsia="zh-CN" w:bidi="ar-SA"/>
        </w:rPr>
        <w:t>2022年度本单位与部门合并编报决算，按照市财政局要求，2023年度独立编报决算，故与上年对比增长100%。</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kern w:val="2"/>
          <w:sz w:val="32"/>
          <w:szCs w:val="22"/>
          <w:vertAlign w:val="baseline"/>
          <w:lang w:val="en-US" w:eastAsia="zh-CN" w:bidi="ar-SA"/>
        </w:rPr>
      </w:pPr>
      <w:r>
        <w:rPr>
          <w:rFonts w:hint="default" w:ascii="Times New Roman" w:hAnsi="Times New Roman" w:eastAsia="方正仿宋_GBK" w:cs="Times New Roman"/>
          <w:b/>
          <w:bCs/>
          <w:kern w:val="2"/>
          <w:sz w:val="32"/>
          <w:szCs w:val="22"/>
          <w:vertAlign w:val="baseline"/>
          <w:lang w:val="en-US" w:eastAsia="zh-CN" w:bidi="ar-SA"/>
        </w:rPr>
        <w:t>2.收入情况。</w:t>
      </w:r>
      <w:r>
        <w:rPr>
          <w:rFonts w:hint="default" w:ascii="Times New Roman" w:hAnsi="Times New Roman" w:eastAsia="方正仿宋_GBK" w:cs="Times New Roman"/>
          <w:kern w:val="2"/>
          <w:sz w:val="32"/>
          <w:szCs w:val="22"/>
          <w:vertAlign w:val="baseline"/>
          <w:lang w:val="en-US" w:eastAsia="zh-CN" w:bidi="ar-SA"/>
        </w:rPr>
        <w:t>2023年度收入合计47.05万元，较上年决算数增加47.05万元，增长100.00%，主要原因是</w:t>
      </w:r>
      <w:r>
        <w:rPr>
          <w:rFonts w:hint="eastAsia" w:ascii="Times New Roman" w:hAnsi="Times New Roman" w:eastAsia="方正仿宋_GBK" w:cs="Times New Roman"/>
          <w:kern w:val="2"/>
          <w:sz w:val="32"/>
          <w:szCs w:val="22"/>
          <w:vertAlign w:val="baseline"/>
          <w:lang w:val="en-US" w:eastAsia="zh-CN" w:bidi="ar-SA"/>
        </w:rPr>
        <w:t>2022年度本单位与部门合并编报决算，按照市财政局要求，2023年度独立编报决算，故与上年对比增长100%</w:t>
      </w:r>
      <w:r>
        <w:rPr>
          <w:rFonts w:hint="default" w:ascii="Times New Roman" w:hAnsi="Times New Roman" w:eastAsia="方正仿宋_GBK" w:cs="Times New Roman"/>
          <w:kern w:val="2"/>
          <w:sz w:val="32"/>
          <w:szCs w:val="22"/>
          <w:vertAlign w:val="baseline"/>
          <w:lang w:val="en-US" w:eastAsia="zh-CN" w:bidi="ar-SA"/>
        </w:rPr>
        <w:t>。其中：财政拨款收入47.05万元，占100.00%；事业收入0.00万元，占0.00%；经营收入0.00万元，占0.00%；其他收入0.00万元，占0.00%。此外，使用非财政拨款结余和专用结余0.00万元，年初结转和结余0.00万元。</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kern w:val="2"/>
          <w:sz w:val="32"/>
          <w:szCs w:val="22"/>
          <w:vertAlign w:val="baseline"/>
          <w:lang w:val="en-US" w:eastAsia="zh-CN" w:bidi="ar-SA"/>
        </w:rPr>
      </w:pPr>
      <w:r>
        <w:rPr>
          <w:rFonts w:hint="default" w:ascii="Times New Roman" w:hAnsi="Times New Roman" w:eastAsia="方正仿宋_GBK" w:cs="Times New Roman"/>
          <w:b/>
          <w:bCs/>
          <w:kern w:val="2"/>
          <w:sz w:val="32"/>
          <w:szCs w:val="22"/>
          <w:vertAlign w:val="baseline"/>
          <w:lang w:val="en-US" w:eastAsia="zh-CN" w:bidi="ar-SA"/>
        </w:rPr>
        <w:t>3.支出情况。</w:t>
      </w:r>
      <w:r>
        <w:rPr>
          <w:rFonts w:hint="default" w:ascii="Times New Roman" w:hAnsi="Times New Roman" w:eastAsia="方正仿宋_GBK" w:cs="Times New Roman"/>
          <w:kern w:val="2"/>
          <w:sz w:val="32"/>
          <w:szCs w:val="22"/>
          <w:vertAlign w:val="baseline"/>
          <w:lang w:val="en-US" w:eastAsia="zh-CN" w:bidi="ar-SA"/>
        </w:rPr>
        <w:t>2023年度支出合计47.05万元，较上年决算数增加47.05万元，增长100.00%，主要原因是</w:t>
      </w:r>
      <w:r>
        <w:rPr>
          <w:rFonts w:hint="eastAsia" w:ascii="Times New Roman" w:hAnsi="Times New Roman" w:eastAsia="方正仿宋_GBK" w:cs="Times New Roman"/>
          <w:kern w:val="2"/>
          <w:sz w:val="32"/>
          <w:szCs w:val="22"/>
          <w:vertAlign w:val="baseline"/>
          <w:lang w:val="en-US" w:eastAsia="zh-CN" w:bidi="ar-SA"/>
        </w:rPr>
        <w:t>2022年度本单位与部门合并编报决算，按照市财政局要求，2023年度独立编报决算，故与上年对比增长100%</w:t>
      </w:r>
      <w:r>
        <w:rPr>
          <w:rFonts w:hint="default" w:ascii="Times New Roman" w:hAnsi="Times New Roman" w:eastAsia="方正仿宋_GBK" w:cs="Times New Roman"/>
          <w:kern w:val="2"/>
          <w:sz w:val="32"/>
          <w:szCs w:val="22"/>
          <w:vertAlign w:val="baseline"/>
          <w:lang w:val="en-US" w:eastAsia="zh-CN" w:bidi="ar-SA"/>
        </w:rPr>
        <w:t>。其中：基本支出32.45万元，占68.96%；项目支出14.60万元，占31.04%；经营支出0.00万元，占0.00%。此外，结余分配0.00万元。</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kern w:val="2"/>
          <w:sz w:val="32"/>
          <w:szCs w:val="22"/>
          <w:vertAlign w:val="baseline"/>
          <w:lang w:val="en-US" w:eastAsia="zh-CN" w:bidi="ar-SA"/>
        </w:rPr>
      </w:pPr>
      <w:r>
        <w:rPr>
          <w:rFonts w:hint="default" w:ascii="Times New Roman" w:hAnsi="Times New Roman" w:eastAsia="方正仿宋_GBK" w:cs="Times New Roman"/>
          <w:b/>
          <w:bCs/>
          <w:kern w:val="2"/>
          <w:sz w:val="32"/>
          <w:szCs w:val="22"/>
          <w:vertAlign w:val="baseline"/>
          <w:lang w:val="en-US" w:eastAsia="zh-CN" w:bidi="ar-SA"/>
        </w:rPr>
        <w:t>4.结转结余情况。</w:t>
      </w:r>
      <w:r>
        <w:rPr>
          <w:rFonts w:hint="default" w:ascii="Times New Roman" w:hAnsi="Times New Roman" w:eastAsia="方正仿宋_GBK" w:cs="Times New Roman"/>
          <w:kern w:val="2"/>
          <w:sz w:val="32"/>
          <w:szCs w:val="22"/>
          <w:vertAlign w:val="baseline"/>
          <w:lang w:val="en-US" w:eastAsia="zh-CN" w:bidi="ar-SA"/>
        </w:rPr>
        <w:t>2023年度年末结转和结余0.00万元，较上年决算数无增减，主要原因是</w:t>
      </w:r>
      <w:r>
        <w:rPr>
          <w:rFonts w:hint="eastAsia" w:ascii="Times New Roman" w:hAnsi="Times New Roman" w:eastAsia="方正仿宋_GBK" w:cs="Times New Roman"/>
          <w:kern w:val="2"/>
          <w:sz w:val="32"/>
          <w:szCs w:val="22"/>
          <w:vertAlign w:val="baseline"/>
          <w:lang w:val="en-US" w:eastAsia="zh-CN" w:bidi="ar-SA"/>
        </w:rPr>
        <w:t>上年度实行预算一体化后执行了预算指标零结转的政策，故较上年决算数无增减</w:t>
      </w:r>
      <w:r>
        <w:rPr>
          <w:rFonts w:hint="default" w:ascii="Times New Roman" w:hAnsi="Times New Roman" w:eastAsia="方正仿宋_GBK" w:cs="Times New Roman"/>
          <w:kern w:val="2"/>
          <w:sz w:val="32"/>
          <w:szCs w:val="22"/>
          <w:vertAlign w:val="baseline"/>
          <w:lang w:val="en-US" w:eastAsia="zh-CN" w:bidi="ar-SA"/>
        </w:rPr>
        <w:t>。</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9"/>
          <w:rFonts w:hint="default" w:ascii="Times New Roman" w:hAnsi="Times New Roman" w:eastAsia="方正楷体_GBK" w:cs="Times New Roman"/>
          <w:b w:val="0"/>
          <w:bCs/>
          <w:sz w:val="32"/>
          <w:szCs w:val="32"/>
          <w:shd w:val="clear" w:color="auto" w:fill="FFFFFF"/>
          <w:lang w:val="en-US" w:eastAsia="zh-CN"/>
        </w:rPr>
      </w:pPr>
      <w:r>
        <w:rPr>
          <w:rStyle w:val="9"/>
          <w:rFonts w:hint="eastAsia" w:ascii="Times New Roman" w:hAnsi="Times New Roman" w:eastAsia="方正楷体_GBK" w:cs="Times New Roman"/>
          <w:b w:val="0"/>
          <w:bCs/>
          <w:sz w:val="32"/>
          <w:szCs w:val="32"/>
          <w:shd w:val="clear" w:color="auto" w:fill="FFFFFF"/>
          <w:lang w:val="en-US" w:eastAsia="zh-CN"/>
        </w:rPr>
        <w:t>（二）财政拨款收入支出决算总体情况说明</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22"/>
          <w:vertAlign w:val="baseline"/>
          <w:lang w:val="en-US" w:eastAsia="zh-CN" w:bidi="ar-SA"/>
        </w:rPr>
      </w:pPr>
      <w:r>
        <w:rPr>
          <w:rFonts w:hint="default" w:ascii="Times New Roman" w:hAnsi="Times New Roman" w:eastAsia="方正仿宋_GBK" w:cs="Times New Roman"/>
          <w:kern w:val="2"/>
          <w:sz w:val="32"/>
          <w:szCs w:val="22"/>
          <w:vertAlign w:val="baseline"/>
          <w:lang w:val="en-US" w:eastAsia="zh-CN" w:bidi="ar-SA"/>
        </w:rPr>
        <w:t>2023年度财政拨款收、支总计47.05万元。与2022年相比，财政拨款收、支总计各增加47.05万元，增长100.00%。主要原因是</w:t>
      </w:r>
      <w:r>
        <w:rPr>
          <w:rFonts w:hint="eastAsia" w:ascii="Times New Roman" w:hAnsi="Times New Roman" w:eastAsia="方正仿宋_GBK" w:cs="Times New Roman"/>
          <w:kern w:val="2"/>
          <w:sz w:val="32"/>
          <w:szCs w:val="22"/>
          <w:vertAlign w:val="baseline"/>
          <w:lang w:val="en-US" w:eastAsia="zh-CN" w:bidi="ar-SA"/>
        </w:rPr>
        <w:t>2022年度本单位与部门合并编报决算，按照市财政局要求，2023年度独立编报决算，故与上年对比增长100%</w:t>
      </w:r>
      <w:r>
        <w:rPr>
          <w:rFonts w:hint="default" w:ascii="Times New Roman" w:hAnsi="Times New Roman" w:eastAsia="方正仿宋_GBK" w:cs="Times New Roman"/>
          <w:kern w:val="2"/>
          <w:sz w:val="32"/>
          <w:szCs w:val="22"/>
          <w:vertAlign w:val="baseline"/>
          <w:lang w:val="en-US" w:eastAsia="zh-CN" w:bidi="ar-SA"/>
        </w:rPr>
        <w:t>。</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9"/>
          <w:rFonts w:hint="default" w:ascii="Times New Roman" w:hAnsi="Times New Roman" w:eastAsia="方正楷体_GBK" w:cs="Times New Roman"/>
          <w:b w:val="0"/>
          <w:bCs/>
          <w:sz w:val="32"/>
          <w:szCs w:val="32"/>
          <w:shd w:val="clear" w:color="auto" w:fill="FFFFFF"/>
          <w:lang w:val="en-US" w:eastAsia="zh-CN"/>
        </w:rPr>
      </w:pPr>
      <w:r>
        <w:rPr>
          <w:rStyle w:val="9"/>
          <w:rFonts w:hint="eastAsia" w:ascii="Times New Roman" w:hAnsi="Times New Roman" w:eastAsia="方正楷体_GBK" w:cs="Times New Roman"/>
          <w:b w:val="0"/>
          <w:bCs/>
          <w:sz w:val="32"/>
          <w:szCs w:val="32"/>
          <w:shd w:val="clear" w:color="auto" w:fill="FFFFFF"/>
          <w:lang w:val="en-US" w:eastAsia="zh-CN"/>
        </w:rPr>
        <w:t>（三）一般公共预算财政拨款收入支出决算情况说明</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kern w:val="2"/>
          <w:sz w:val="32"/>
          <w:szCs w:val="22"/>
          <w:vertAlign w:val="baseline"/>
          <w:lang w:val="en-US" w:eastAsia="zh-CN" w:bidi="ar-SA"/>
        </w:rPr>
      </w:pPr>
      <w:r>
        <w:rPr>
          <w:rFonts w:hint="default" w:ascii="Times New Roman" w:hAnsi="Times New Roman" w:eastAsia="方正仿宋_GBK" w:cs="Times New Roman"/>
          <w:b/>
          <w:bCs/>
          <w:kern w:val="2"/>
          <w:sz w:val="32"/>
          <w:szCs w:val="22"/>
          <w:vertAlign w:val="baseline"/>
          <w:lang w:val="en-US" w:eastAsia="zh-CN" w:bidi="ar-SA"/>
        </w:rPr>
        <w:t>1.收入情况。</w:t>
      </w:r>
      <w:r>
        <w:rPr>
          <w:rFonts w:hint="default" w:ascii="Times New Roman" w:hAnsi="Times New Roman" w:eastAsia="方正仿宋_GBK" w:cs="Times New Roman"/>
          <w:kern w:val="2"/>
          <w:sz w:val="32"/>
          <w:szCs w:val="22"/>
          <w:vertAlign w:val="baseline"/>
          <w:lang w:val="en-US" w:eastAsia="zh-CN" w:bidi="ar-SA"/>
        </w:rPr>
        <w:t>2023年度一般公共预算财政拨款收入47.05万元，较上年决算数增加47.05万元，增长100.00%。主要原因是</w:t>
      </w:r>
      <w:r>
        <w:rPr>
          <w:rFonts w:hint="eastAsia" w:ascii="Times New Roman" w:hAnsi="Times New Roman" w:eastAsia="方正仿宋_GBK" w:cs="Times New Roman"/>
          <w:kern w:val="2"/>
          <w:sz w:val="32"/>
          <w:szCs w:val="22"/>
          <w:vertAlign w:val="baseline"/>
          <w:lang w:val="en-US" w:eastAsia="zh-CN" w:bidi="ar-SA"/>
        </w:rPr>
        <w:t>2022年度本单位与部门合并编报决算，按照市财政局要求，2023年度独立编报决算，故与上年对比增长100%</w:t>
      </w:r>
      <w:r>
        <w:rPr>
          <w:rFonts w:hint="default" w:ascii="Times New Roman" w:hAnsi="Times New Roman" w:eastAsia="方正仿宋_GBK" w:cs="Times New Roman"/>
          <w:kern w:val="2"/>
          <w:sz w:val="32"/>
          <w:szCs w:val="22"/>
          <w:vertAlign w:val="baseline"/>
          <w:lang w:val="en-US" w:eastAsia="zh-CN" w:bidi="ar-SA"/>
        </w:rPr>
        <w:t>。较年初预算数增加9.06万元，增长23.85%。主要原因是</w:t>
      </w:r>
      <w:r>
        <w:rPr>
          <w:rFonts w:hint="eastAsia" w:ascii="Times New Roman" w:hAnsi="Times New Roman" w:eastAsia="方正仿宋_GBK" w:cs="Times New Roman"/>
          <w:kern w:val="2"/>
          <w:sz w:val="32"/>
          <w:szCs w:val="22"/>
          <w:vertAlign w:val="baseline"/>
          <w:lang w:val="en-US" w:eastAsia="zh-CN" w:bidi="ar-SA"/>
        </w:rPr>
        <w:t>人员政策性增资、优抚对象补贴增加等</w:t>
      </w:r>
      <w:r>
        <w:rPr>
          <w:rFonts w:hint="default" w:ascii="Times New Roman" w:hAnsi="Times New Roman" w:eastAsia="方正仿宋_GBK" w:cs="Times New Roman"/>
          <w:kern w:val="2"/>
          <w:sz w:val="32"/>
          <w:szCs w:val="22"/>
          <w:vertAlign w:val="baseline"/>
          <w:lang w:val="en-US" w:eastAsia="zh-CN" w:bidi="ar-SA"/>
        </w:rPr>
        <w:t>。此外，年初财政拨款结转和结余0.00万元。</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kern w:val="2"/>
          <w:sz w:val="32"/>
          <w:szCs w:val="22"/>
          <w:vertAlign w:val="baseline"/>
          <w:lang w:val="en-US" w:eastAsia="zh-CN" w:bidi="ar-SA"/>
        </w:rPr>
      </w:pPr>
      <w:r>
        <w:rPr>
          <w:rFonts w:hint="default" w:ascii="Times New Roman" w:hAnsi="Times New Roman" w:eastAsia="方正仿宋_GBK" w:cs="Times New Roman"/>
          <w:b/>
          <w:bCs/>
          <w:kern w:val="2"/>
          <w:sz w:val="32"/>
          <w:szCs w:val="22"/>
          <w:vertAlign w:val="baseline"/>
          <w:lang w:val="en-US" w:eastAsia="zh-CN" w:bidi="ar-SA"/>
        </w:rPr>
        <w:t>2.支出情况。</w:t>
      </w:r>
      <w:r>
        <w:rPr>
          <w:rFonts w:hint="default" w:ascii="Times New Roman" w:hAnsi="Times New Roman" w:eastAsia="方正仿宋_GBK" w:cs="Times New Roman"/>
          <w:kern w:val="2"/>
          <w:sz w:val="32"/>
          <w:szCs w:val="22"/>
          <w:vertAlign w:val="baseline"/>
          <w:lang w:val="en-US" w:eastAsia="zh-CN" w:bidi="ar-SA"/>
        </w:rPr>
        <w:t>2023年度一般公共预算财政拨款支出47.05万元，较上年决算数增加47.05万元，增长100.00%。主要原因是</w:t>
      </w:r>
      <w:r>
        <w:rPr>
          <w:rFonts w:hint="eastAsia" w:ascii="Times New Roman" w:hAnsi="Times New Roman" w:eastAsia="方正仿宋_GBK" w:cs="Times New Roman"/>
          <w:kern w:val="2"/>
          <w:sz w:val="32"/>
          <w:szCs w:val="22"/>
          <w:vertAlign w:val="baseline"/>
          <w:lang w:val="en-US" w:eastAsia="zh-CN" w:bidi="ar-SA"/>
        </w:rPr>
        <w:t>2022年度本单位与部门合并编报决算，按照市财政局要求，2023年度独立编报决算，故与上年对比增长100%</w:t>
      </w:r>
      <w:r>
        <w:rPr>
          <w:rFonts w:hint="default" w:ascii="Times New Roman" w:hAnsi="Times New Roman" w:eastAsia="方正仿宋_GBK" w:cs="Times New Roman"/>
          <w:kern w:val="2"/>
          <w:sz w:val="32"/>
          <w:szCs w:val="22"/>
          <w:vertAlign w:val="baseline"/>
          <w:lang w:val="en-US" w:eastAsia="zh-CN" w:bidi="ar-SA"/>
        </w:rPr>
        <w:t>。较年初预算数增加8.91万元，增长23.36%。主要原因是</w:t>
      </w:r>
      <w:r>
        <w:rPr>
          <w:rFonts w:hint="eastAsia" w:ascii="Times New Roman" w:hAnsi="Times New Roman" w:eastAsia="方正仿宋_GBK" w:cs="Times New Roman"/>
          <w:kern w:val="2"/>
          <w:sz w:val="32"/>
          <w:szCs w:val="22"/>
          <w:vertAlign w:val="baseline"/>
          <w:lang w:val="en-US" w:eastAsia="zh-CN" w:bidi="ar-SA"/>
        </w:rPr>
        <w:t>人员政策性增资、优抚对象补贴增加等</w:t>
      </w:r>
      <w:r>
        <w:rPr>
          <w:rFonts w:hint="default" w:ascii="Times New Roman" w:hAnsi="Times New Roman" w:eastAsia="方正仿宋_GBK" w:cs="Times New Roman"/>
          <w:kern w:val="2"/>
          <w:sz w:val="32"/>
          <w:szCs w:val="22"/>
          <w:vertAlign w:val="baseline"/>
          <w:lang w:val="en-US" w:eastAsia="zh-CN" w:bidi="ar-SA"/>
        </w:rPr>
        <w:t>。</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kern w:val="2"/>
          <w:sz w:val="32"/>
          <w:szCs w:val="22"/>
          <w:vertAlign w:val="baseline"/>
          <w:lang w:val="en-US" w:eastAsia="zh-CN" w:bidi="ar-SA"/>
        </w:rPr>
      </w:pPr>
      <w:r>
        <w:rPr>
          <w:rFonts w:hint="default" w:ascii="Times New Roman" w:hAnsi="Times New Roman" w:eastAsia="方正仿宋_GBK" w:cs="Times New Roman"/>
          <w:b/>
          <w:bCs/>
          <w:kern w:val="2"/>
          <w:sz w:val="32"/>
          <w:szCs w:val="22"/>
          <w:vertAlign w:val="baseline"/>
          <w:lang w:val="en-US" w:eastAsia="zh-CN" w:bidi="ar-SA"/>
        </w:rPr>
        <w:t>3.结转结余情况。</w:t>
      </w:r>
      <w:r>
        <w:rPr>
          <w:rFonts w:hint="default" w:ascii="Times New Roman" w:hAnsi="Times New Roman" w:eastAsia="方正仿宋_GBK" w:cs="Times New Roman"/>
          <w:kern w:val="2"/>
          <w:sz w:val="32"/>
          <w:szCs w:val="22"/>
          <w:vertAlign w:val="baseline"/>
          <w:lang w:val="en-US" w:eastAsia="zh-CN" w:bidi="ar-SA"/>
        </w:rPr>
        <w:t>2023年度年末一般公共预算财政拨款结转和结余0.00万元，较上年决算数无增减，主要原因是</w:t>
      </w:r>
      <w:r>
        <w:rPr>
          <w:rFonts w:hint="eastAsia" w:ascii="Times New Roman" w:hAnsi="Times New Roman" w:eastAsia="方正仿宋_GBK" w:cs="Times New Roman"/>
          <w:kern w:val="2"/>
          <w:sz w:val="32"/>
          <w:szCs w:val="22"/>
          <w:vertAlign w:val="baseline"/>
          <w:lang w:val="en-US" w:eastAsia="zh-CN" w:bidi="ar-SA"/>
        </w:rPr>
        <w:t>上年度实行预算一体化后执行了预算指标零结转的政策，故较上年决算数无增减</w:t>
      </w:r>
      <w:r>
        <w:rPr>
          <w:rFonts w:hint="default" w:ascii="Times New Roman" w:hAnsi="Times New Roman" w:eastAsia="方正仿宋_GBK" w:cs="Times New Roman"/>
          <w:kern w:val="2"/>
          <w:sz w:val="32"/>
          <w:szCs w:val="22"/>
          <w:vertAlign w:val="baseline"/>
          <w:lang w:val="en-US" w:eastAsia="zh-CN" w:bidi="ar-SA"/>
        </w:rPr>
        <w:t>。</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kern w:val="2"/>
          <w:sz w:val="32"/>
          <w:szCs w:val="22"/>
          <w:vertAlign w:val="baseline"/>
          <w:lang w:val="en-US" w:eastAsia="zh-CN" w:bidi="ar-SA"/>
        </w:rPr>
      </w:pPr>
      <w:r>
        <w:rPr>
          <w:rFonts w:hint="default" w:ascii="Times New Roman" w:hAnsi="Times New Roman" w:eastAsia="方正仿宋_GBK" w:cs="Times New Roman"/>
          <w:b/>
          <w:bCs/>
          <w:kern w:val="2"/>
          <w:sz w:val="32"/>
          <w:szCs w:val="22"/>
          <w:vertAlign w:val="baseline"/>
          <w:lang w:val="en-US" w:eastAsia="zh-CN" w:bidi="ar-SA"/>
        </w:rPr>
        <w:t>4.比较情况。</w:t>
      </w:r>
      <w:r>
        <w:rPr>
          <w:rFonts w:hint="default" w:ascii="Times New Roman" w:hAnsi="Times New Roman" w:eastAsia="方正仿宋_GBK" w:cs="Times New Roman"/>
          <w:kern w:val="2"/>
          <w:sz w:val="32"/>
          <w:szCs w:val="22"/>
          <w:vertAlign w:val="baseline"/>
          <w:lang w:val="en-US" w:eastAsia="zh-CN" w:bidi="ar-SA"/>
        </w:rPr>
        <w:t>本单位2023年度一般公共预算财政拨款支出主要用于以下几个方面：</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22"/>
          <w:vertAlign w:val="baseline"/>
          <w:lang w:val="en-US" w:eastAsia="zh-CN" w:bidi="ar-SA"/>
        </w:rPr>
      </w:pPr>
      <w:r>
        <w:rPr>
          <w:rFonts w:hint="default" w:ascii="Times New Roman" w:hAnsi="Times New Roman" w:eastAsia="方正仿宋_GBK" w:cs="Times New Roman"/>
          <w:kern w:val="2"/>
          <w:sz w:val="32"/>
          <w:szCs w:val="22"/>
          <w:vertAlign w:val="baseline"/>
          <w:lang w:val="en-US" w:eastAsia="zh-CN" w:bidi="ar-SA"/>
        </w:rPr>
        <w:t>（</w:t>
      </w:r>
      <w:r>
        <w:rPr>
          <w:rFonts w:hint="eastAsia" w:ascii="Times New Roman" w:hAnsi="Times New Roman" w:eastAsia="方正仿宋_GBK" w:cs="Times New Roman"/>
          <w:kern w:val="2"/>
          <w:sz w:val="32"/>
          <w:szCs w:val="22"/>
          <w:vertAlign w:val="baseline"/>
          <w:lang w:val="en-US" w:eastAsia="zh-CN" w:bidi="ar-SA"/>
        </w:rPr>
        <w:t>1</w:t>
      </w:r>
      <w:r>
        <w:rPr>
          <w:rFonts w:hint="default" w:ascii="Times New Roman" w:hAnsi="Times New Roman" w:eastAsia="方正仿宋_GBK" w:cs="Times New Roman"/>
          <w:kern w:val="2"/>
          <w:sz w:val="32"/>
          <w:szCs w:val="22"/>
          <w:vertAlign w:val="baseline"/>
          <w:lang w:val="en-US" w:eastAsia="zh-CN" w:bidi="ar-SA"/>
        </w:rPr>
        <w:t>）社会保障与就业支出42.73万元，占90.82%，较年初预算数增加8.91万元，增长26.35%，主要原因是</w:t>
      </w:r>
      <w:r>
        <w:rPr>
          <w:rFonts w:hint="eastAsia" w:ascii="Times New Roman" w:hAnsi="Times New Roman" w:eastAsia="方正仿宋_GBK" w:cs="Times New Roman"/>
          <w:kern w:val="2"/>
          <w:sz w:val="32"/>
          <w:szCs w:val="22"/>
          <w:vertAlign w:val="baseline"/>
          <w:lang w:val="en-US" w:eastAsia="zh-CN" w:bidi="ar-SA"/>
        </w:rPr>
        <w:t>人员政策性增资、优抚对象补贴增加等</w:t>
      </w:r>
      <w:r>
        <w:rPr>
          <w:rFonts w:hint="default" w:ascii="Times New Roman" w:hAnsi="Times New Roman" w:eastAsia="方正仿宋_GBK" w:cs="Times New Roman"/>
          <w:kern w:val="2"/>
          <w:sz w:val="32"/>
          <w:szCs w:val="22"/>
          <w:vertAlign w:val="baseline"/>
          <w:lang w:val="en-US" w:eastAsia="zh-CN" w:bidi="ar-SA"/>
        </w:rPr>
        <w:t>。</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22"/>
          <w:vertAlign w:val="baseline"/>
          <w:lang w:val="en-US" w:eastAsia="zh-CN" w:bidi="ar-SA"/>
        </w:rPr>
      </w:pPr>
      <w:r>
        <w:rPr>
          <w:rFonts w:hint="default" w:ascii="Times New Roman" w:hAnsi="Times New Roman" w:eastAsia="方正仿宋_GBK" w:cs="Times New Roman"/>
          <w:kern w:val="2"/>
          <w:sz w:val="32"/>
          <w:szCs w:val="22"/>
          <w:vertAlign w:val="baseline"/>
          <w:lang w:val="en-US" w:eastAsia="zh-CN" w:bidi="ar-SA"/>
        </w:rPr>
        <w:t>（</w:t>
      </w:r>
      <w:r>
        <w:rPr>
          <w:rFonts w:hint="eastAsia" w:ascii="Times New Roman" w:hAnsi="Times New Roman" w:eastAsia="方正仿宋_GBK" w:cs="Times New Roman"/>
          <w:kern w:val="2"/>
          <w:sz w:val="32"/>
          <w:szCs w:val="22"/>
          <w:vertAlign w:val="baseline"/>
          <w:lang w:val="en-US" w:eastAsia="zh-CN" w:bidi="ar-SA"/>
        </w:rPr>
        <w:t>2</w:t>
      </w:r>
      <w:r>
        <w:rPr>
          <w:rFonts w:hint="default" w:ascii="Times New Roman" w:hAnsi="Times New Roman" w:eastAsia="方正仿宋_GBK" w:cs="Times New Roman"/>
          <w:kern w:val="2"/>
          <w:sz w:val="32"/>
          <w:szCs w:val="22"/>
          <w:vertAlign w:val="baseline"/>
          <w:lang w:val="en-US" w:eastAsia="zh-CN" w:bidi="ar-SA"/>
        </w:rPr>
        <w:t>）卫生健康支出1.45万元，占3.08%，较年初预算数无增减，主要原因是</w:t>
      </w:r>
      <w:r>
        <w:rPr>
          <w:rFonts w:hint="eastAsia" w:ascii="Times New Roman" w:hAnsi="Times New Roman" w:eastAsia="方正仿宋_GBK" w:cs="Times New Roman"/>
          <w:kern w:val="2"/>
          <w:sz w:val="32"/>
          <w:szCs w:val="22"/>
          <w:vertAlign w:val="baseline"/>
          <w:lang w:val="en-US" w:eastAsia="zh-CN" w:bidi="ar-SA"/>
        </w:rPr>
        <w:t>人员政策性增资、优抚对象补贴增加等</w:t>
      </w:r>
      <w:r>
        <w:rPr>
          <w:rFonts w:hint="default" w:ascii="Times New Roman" w:hAnsi="Times New Roman" w:eastAsia="方正仿宋_GBK" w:cs="Times New Roman"/>
          <w:kern w:val="2"/>
          <w:sz w:val="32"/>
          <w:szCs w:val="22"/>
          <w:vertAlign w:val="baseline"/>
          <w:lang w:val="en-US" w:eastAsia="zh-CN" w:bidi="ar-SA"/>
        </w:rPr>
        <w:t>。</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22"/>
          <w:vertAlign w:val="baseline"/>
          <w:lang w:val="en-US" w:eastAsia="zh-CN" w:bidi="ar-SA"/>
        </w:rPr>
      </w:pPr>
      <w:r>
        <w:rPr>
          <w:rFonts w:hint="default" w:ascii="Times New Roman" w:hAnsi="Times New Roman" w:eastAsia="方正仿宋_GBK" w:cs="Times New Roman"/>
          <w:kern w:val="2"/>
          <w:sz w:val="32"/>
          <w:szCs w:val="22"/>
          <w:vertAlign w:val="baseline"/>
          <w:lang w:val="en-US" w:eastAsia="zh-CN" w:bidi="ar-SA"/>
        </w:rPr>
        <w:t>（</w:t>
      </w:r>
      <w:r>
        <w:rPr>
          <w:rFonts w:hint="eastAsia" w:ascii="Times New Roman" w:hAnsi="Times New Roman" w:eastAsia="方正仿宋_GBK" w:cs="Times New Roman"/>
          <w:kern w:val="2"/>
          <w:sz w:val="32"/>
          <w:szCs w:val="22"/>
          <w:vertAlign w:val="baseline"/>
          <w:lang w:val="en-US" w:eastAsia="zh-CN" w:bidi="ar-SA"/>
        </w:rPr>
        <w:t>3</w:t>
      </w:r>
      <w:r>
        <w:rPr>
          <w:rFonts w:hint="default" w:ascii="Times New Roman" w:hAnsi="Times New Roman" w:eastAsia="方正仿宋_GBK" w:cs="Times New Roman"/>
          <w:kern w:val="2"/>
          <w:sz w:val="32"/>
          <w:szCs w:val="22"/>
          <w:vertAlign w:val="baseline"/>
          <w:lang w:val="en-US" w:eastAsia="zh-CN" w:bidi="ar-SA"/>
        </w:rPr>
        <w:t>）住房保障支出2.87万元，占6.10%，较年初预算数无增减，主要原因是</w:t>
      </w:r>
      <w:r>
        <w:rPr>
          <w:rFonts w:hint="eastAsia" w:ascii="Times New Roman" w:hAnsi="Times New Roman" w:eastAsia="方正仿宋_GBK" w:cs="Times New Roman"/>
          <w:kern w:val="2"/>
          <w:sz w:val="32"/>
          <w:szCs w:val="22"/>
          <w:vertAlign w:val="baseline"/>
          <w:lang w:val="en-US" w:eastAsia="zh-CN" w:bidi="ar-SA"/>
        </w:rPr>
        <w:t>人员政策性增资、优抚对象补贴增加等</w:t>
      </w:r>
      <w:r>
        <w:rPr>
          <w:rFonts w:hint="default" w:ascii="Times New Roman" w:hAnsi="Times New Roman" w:eastAsia="方正仿宋_GBK" w:cs="Times New Roman"/>
          <w:kern w:val="2"/>
          <w:sz w:val="32"/>
          <w:szCs w:val="22"/>
          <w:vertAlign w:val="baseline"/>
          <w:lang w:val="en-US" w:eastAsia="zh-CN" w:bidi="ar-SA"/>
        </w:rPr>
        <w:t>。</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9"/>
          <w:rFonts w:hint="default" w:ascii="Times New Roman" w:hAnsi="Times New Roman" w:eastAsia="方正楷体_GBK" w:cs="Times New Roman"/>
          <w:b w:val="0"/>
          <w:bCs/>
          <w:sz w:val="32"/>
          <w:szCs w:val="32"/>
          <w:shd w:val="clear" w:color="auto" w:fill="FFFFFF"/>
          <w:lang w:val="en-US" w:eastAsia="zh-CN"/>
        </w:rPr>
      </w:pPr>
      <w:r>
        <w:rPr>
          <w:rStyle w:val="9"/>
          <w:rFonts w:hint="eastAsia" w:ascii="Times New Roman" w:hAnsi="Times New Roman" w:eastAsia="方正楷体_GBK" w:cs="Times New Roman"/>
          <w:b w:val="0"/>
          <w:bCs/>
          <w:sz w:val="32"/>
          <w:szCs w:val="32"/>
          <w:shd w:val="clear" w:color="auto" w:fill="FFFFFF"/>
          <w:lang w:val="en-US" w:eastAsia="zh-CN"/>
        </w:rPr>
        <w:t>（四）一般公共预算财政拨款基本支出决算情况说明</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22"/>
          <w:vertAlign w:val="baseline"/>
          <w:lang w:val="en-US" w:eastAsia="zh-CN" w:bidi="ar-SA"/>
        </w:rPr>
      </w:pPr>
      <w:r>
        <w:rPr>
          <w:rFonts w:hint="default" w:ascii="Times New Roman" w:hAnsi="Times New Roman" w:eastAsia="方正仿宋_GBK" w:cs="Times New Roman"/>
          <w:kern w:val="2"/>
          <w:sz w:val="32"/>
          <w:szCs w:val="22"/>
          <w:vertAlign w:val="baseline"/>
          <w:lang w:val="en-US" w:eastAsia="zh-CN" w:bidi="ar-SA"/>
        </w:rPr>
        <w:t>2023年度一般公共财政拨款基本支出32.45万元。其中：人员经费29.50万元，较上年决算数增加29.50万元，增长100.00%，主要原因是</w:t>
      </w:r>
      <w:r>
        <w:rPr>
          <w:rFonts w:hint="eastAsia" w:ascii="Times New Roman" w:hAnsi="Times New Roman" w:eastAsia="方正仿宋_GBK" w:cs="Times New Roman"/>
          <w:kern w:val="2"/>
          <w:sz w:val="32"/>
          <w:szCs w:val="22"/>
          <w:vertAlign w:val="baseline"/>
          <w:lang w:val="en-US" w:eastAsia="zh-CN" w:bidi="ar-SA"/>
        </w:rPr>
        <w:t>2022年度本单位与部门合并编报决算，按照市财政局要求，2023年度独立编报决算，故与上年对比增长100%</w:t>
      </w:r>
      <w:r>
        <w:rPr>
          <w:rFonts w:hint="default" w:ascii="Times New Roman" w:hAnsi="Times New Roman" w:eastAsia="方正仿宋_GBK" w:cs="Times New Roman"/>
          <w:kern w:val="2"/>
          <w:sz w:val="32"/>
          <w:szCs w:val="22"/>
          <w:vertAlign w:val="baseline"/>
          <w:lang w:val="en-US" w:eastAsia="zh-CN" w:bidi="ar-SA"/>
        </w:rPr>
        <w:t>。人员经费用途主要包括基本工资、津贴补贴、社会保障缴费等。公用经费2.95万元，较上年决算数增加2.95万元，增长100.00%，主要原因是</w:t>
      </w:r>
      <w:r>
        <w:rPr>
          <w:rFonts w:hint="eastAsia" w:ascii="Times New Roman" w:hAnsi="Times New Roman" w:eastAsia="方正仿宋_GBK" w:cs="Times New Roman"/>
          <w:kern w:val="2"/>
          <w:sz w:val="32"/>
          <w:szCs w:val="22"/>
          <w:vertAlign w:val="baseline"/>
          <w:lang w:val="en-US" w:eastAsia="zh-CN" w:bidi="ar-SA"/>
        </w:rPr>
        <w:t>2022年度本单位与部门合并编报决算，按照市财政局要求，2023年度独立编报决算，故与上年对比增长100%</w:t>
      </w:r>
      <w:r>
        <w:rPr>
          <w:rFonts w:hint="default" w:ascii="Times New Roman" w:hAnsi="Times New Roman" w:eastAsia="方正仿宋_GBK" w:cs="Times New Roman"/>
          <w:kern w:val="2"/>
          <w:sz w:val="32"/>
          <w:szCs w:val="22"/>
          <w:vertAlign w:val="baseline"/>
          <w:lang w:val="en-US" w:eastAsia="zh-CN" w:bidi="ar-SA"/>
        </w:rPr>
        <w:t>。公用经费用途主要包括</w:t>
      </w:r>
      <w:r>
        <w:rPr>
          <w:rFonts w:hint="eastAsia" w:ascii="Times New Roman" w:hAnsi="Times New Roman" w:eastAsia="方正仿宋_GBK" w:cs="Times New Roman"/>
          <w:kern w:val="2"/>
          <w:sz w:val="32"/>
          <w:szCs w:val="22"/>
          <w:vertAlign w:val="baseline"/>
          <w:lang w:val="en-US" w:eastAsia="zh-CN" w:bidi="ar-SA"/>
        </w:rPr>
        <w:t>办公费、印刷费、差旅费、电费、水费等</w:t>
      </w:r>
      <w:r>
        <w:rPr>
          <w:rFonts w:hint="default" w:ascii="Times New Roman" w:hAnsi="Times New Roman" w:eastAsia="方正仿宋_GBK" w:cs="Times New Roman"/>
          <w:kern w:val="2"/>
          <w:sz w:val="32"/>
          <w:szCs w:val="22"/>
          <w:vertAlign w:val="baseline"/>
          <w:lang w:val="en-US" w:eastAsia="zh-CN" w:bidi="ar-SA"/>
        </w:rPr>
        <w:t>。</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9"/>
          <w:rFonts w:hint="default" w:ascii="Times New Roman" w:hAnsi="Times New Roman" w:eastAsia="方正楷体_GBK" w:cs="Times New Roman"/>
          <w:b w:val="0"/>
          <w:bCs/>
          <w:sz w:val="32"/>
          <w:szCs w:val="32"/>
          <w:shd w:val="clear" w:color="auto" w:fill="FFFFFF"/>
          <w:lang w:val="en-US" w:eastAsia="zh-CN"/>
        </w:rPr>
      </w:pPr>
      <w:r>
        <w:rPr>
          <w:rStyle w:val="9"/>
          <w:rFonts w:hint="eastAsia" w:ascii="Times New Roman" w:hAnsi="Times New Roman" w:eastAsia="方正楷体_GBK" w:cs="Times New Roman"/>
          <w:b w:val="0"/>
          <w:bCs/>
          <w:sz w:val="32"/>
          <w:szCs w:val="32"/>
          <w:shd w:val="clear" w:color="auto" w:fill="FFFFFF"/>
          <w:lang w:val="en-US" w:eastAsia="zh-CN"/>
        </w:rPr>
        <w:t>（五）政府性基金预算收支决算情况说明</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22"/>
          <w:vertAlign w:val="baseline"/>
          <w:lang w:val="en-US" w:eastAsia="zh-CN" w:bidi="ar-SA"/>
        </w:rPr>
      </w:pPr>
      <w:r>
        <w:rPr>
          <w:rFonts w:hint="eastAsia" w:ascii="Times New Roman" w:hAnsi="Times New Roman" w:eastAsia="方正仿宋_GBK" w:cs="Times New Roman"/>
          <w:kern w:val="2"/>
          <w:sz w:val="32"/>
          <w:szCs w:val="22"/>
          <w:vertAlign w:val="baseline"/>
          <w:lang w:val="en-US" w:eastAsia="zh-CN" w:bidi="ar-SA"/>
        </w:rPr>
        <w:t>本单位2023年度无政府性基金预算财政拨款收支。</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9"/>
          <w:rFonts w:hint="default" w:ascii="Times New Roman" w:hAnsi="Times New Roman" w:eastAsia="方正楷体_GBK" w:cs="Times New Roman"/>
          <w:b w:val="0"/>
          <w:bCs/>
          <w:sz w:val="32"/>
          <w:szCs w:val="32"/>
          <w:shd w:val="clear" w:color="auto" w:fill="FFFFFF"/>
          <w:lang w:val="en-US" w:eastAsia="zh-CN"/>
        </w:rPr>
      </w:pPr>
      <w:r>
        <w:rPr>
          <w:rStyle w:val="9"/>
          <w:rFonts w:hint="eastAsia" w:ascii="Times New Roman" w:hAnsi="Times New Roman" w:eastAsia="方正楷体_GBK" w:cs="Times New Roman"/>
          <w:b w:val="0"/>
          <w:bCs/>
          <w:sz w:val="32"/>
          <w:szCs w:val="32"/>
          <w:shd w:val="clear" w:color="auto" w:fill="FFFFFF"/>
          <w:lang w:val="en-US" w:eastAsia="zh-CN"/>
        </w:rPr>
        <w:t>（六）国有资本经营预算财政拨款支出决算情况说明</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22"/>
          <w:vertAlign w:val="baseline"/>
          <w:lang w:val="en-US" w:eastAsia="zh-CN" w:bidi="ar-SA"/>
        </w:rPr>
      </w:pPr>
      <w:r>
        <w:rPr>
          <w:rFonts w:hint="eastAsia" w:ascii="Times New Roman" w:hAnsi="Times New Roman" w:eastAsia="方正仿宋_GBK" w:cs="Times New Roman"/>
          <w:kern w:val="2"/>
          <w:sz w:val="32"/>
          <w:szCs w:val="22"/>
          <w:vertAlign w:val="baseline"/>
          <w:lang w:val="en-US" w:eastAsia="zh-CN" w:bidi="ar-SA"/>
        </w:rPr>
        <w:t>本单位2023年度无国有资本经营预算财政拨款支出。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atLeast"/>
        <w:ind w:firstLine="608" w:firstLineChars="200"/>
        <w:jc w:val="both"/>
        <w:textAlignment w:val="auto"/>
        <w:outlineLvl w:val="9"/>
        <w:rPr>
          <w:rFonts w:hint="default" w:ascii="Times New Roman" w:hAnsi="Times New Roman" w:eastAsia="方正黑体_GBK" w:cs="Times New Roman"/>
          <w:w w:val="95"/>
          <w:kern w:val="2"/>
          <w:sz w:val="32"/>
          <w:szCs w:val="32"/>
          <w:lang w:val="en-US" w:eastAsia="zh-CN"/>
        </w:rPr>
      </w:pPr>
      <w:r>
        <w:rPr>
          <w:rFonts w:hint="default" w:ascii="Times New Roman" w:hAnsi="Times New Roman" w:eastAsia="方正黑体_GBK" w:cs="Times New Roman"/>
          <w:w w:val="95"/>
          <w:kern w:val="2"/>
          <w:sz w:val="32"/>
          <w:szCs w:val="32"/>
          <w:lang w:val="en-US" w:eastAsia="zh-CN"/>
        </w:rPr>
        <w:t>三、“三公”经费情况说明</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9"/>
          <w:rFonts w:hint="default" w:ascii="Times New Roman" w:hAnsi="Times New Roman" w:eastAsia="方正楷体_GBK" w:cs="Times New Roman"/>
          <w:b w:val="0"/>
          <w:bCs/>
          <w:sz w:val="32"/>
          <w:szCs w:val="32"/>
          <w:shd w:val="clear" w:color="auto" w:fill="FFFFFF"/>
          <w:lang w:val="en-US" w:eastAsia="zh-CN"/>
        </w:rPr>
      </w:pPr>
      <w:r>
        <w:rPr>
          <w:rStyle w:val="9"/>
          <w:rFonts w:hint="eastAsia" w:ascii="Times New Roman" w:hAnsi="Times New Roman" w:eastAsia="方正楷体_GBK" w:cs="Times New Roman"/>
          <w:b w:val="0"/>
          <w:bCs/>
          <w:sz w:val="32"/>
          <w:szCs w:val="32"/>
          <w:shd w:val="clear" w:color="auto" w:fill="FFFFFF"/>
          <w:lang w:val="en-US" w:eastAsia="zh-CN"/>
        </w:rPr>
        <w:t>（一）“三公”经费支出总体情况说明</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22"/>
          <w:vertAlign w:val="baseline"/>
          <w:lang w:val="en-US" w:eastAsia="zh-CN" w:bidi="ar-SA"/>
        </w:rPr>
      </w:pPr>
      <w:r>
        <w:rPr>
          <w:rFonts w:hint="eastAsia" w:ascii="Times New Roman" w:hAnsi="Times New Roman" w:eastAsia="方正仿宋_GBK" w:cs="Times New Roman"/>
          <w:kern w:val="2"/>
          <w:sz w:val="32"/>
          <w:szCs w:val="22"/>
          <w:vertAlign w:val="baseline"/>
          <w:lang w:val="en-US" w:eastAsia="zh-CN" w:bidi="ar-SA"/>
        </w:rPr>
        <w:t>我单位属于二级预算单位，“三公”经费由本级统一支出</w:t>
      </w:r>
      <w:r>
        <w:rPr>
          <w:rFonts w:hint="default" w:ascii="Times New Roman" w:hAnsi="Times New Roman" w:eastAsia="方正仿宋_GBK" w:cs="Times New Roman"/>
          <w:kern w:val="2"/>
          <w:sz w:val="32"/>
          <w:szCs w:val="22"/>
          <w:vertAlign w:val="baseline"/>
          <w:lang w:val="en-US" w:eastAsia="zh-CN" w:bidi="ar-SA"/>
        </w:rPr>
        <w:t>。</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9"/>
          <w:rFonts w:hint="default" w:ascii="Times New Roman" w:hAnsi="Times New Roman" w:eastAsia="方正楷体_GBK" w:cs="Times New Roman"/>
          <w:b w:val="0"/>
          <w:bCs/>
          <w:sz w:val="32"/>
          <w:szCs w:val="32"/>
          <w:shd w:val="clear" w:color="auto" w:fill="FFFFFF"/>
          <w:lang w:val="en-US" w:eastAsia="zh-CN"/>
        </w:rPr>
      </w:pPr>
      <w:r>
        <w:rPr>
          <w:rStyle w:val="9"/>
          <w:rFonts w:hint="eastAsia" w:ascii="Times New Roman" w:hAnsi="Times New Roman" w:eastAsia="方正楷体_GBK" w:cs="Times New Roman"/>
          <w:b w:val="0"/>
          <w:bCs/>
          <w:sz w:val="32"/>
          <w:szCs w:val="32"/>
          <w:shd w:val="clear" w:color="auto" w:fill="FFFFFF"/>
          <w:lang w:val="en-US" w:eastAsia="zh-CN"/>
        </w:rPr>
        <w:t>（二）“三公”经费分项支出情况</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2023年度</w:t>
      </w:r>
      <w:r>
        <w:rPr>
          <w:rFonts w:hint="eastAsia" w:ascii="Times New Roman" w:hAnsi="Times New Roman" w:eastAsia="方正仿宋_GBK" w:cs="Times New Roman"/>
          <w:b w:val="0"/>
          <w:bCs w:val="0"/>
          <w:sz w:val="32"/>
          <w:szCs w:val="32"/>
          <w:lang w:eastAsia="zh-CN"/>
        </w:rPr>
        <w:t>本单位</w:t>
      </w:r>
      <w:r>
        <w:rPr>
          <w:rFonts w:hint="default" w:ascii="Times New Roman" w:hAnsi="Times New Roman" w:eastAsia="方正仿宋_GBK" w:cs="Times New Roman"/>
          <w:b w:val="0"/>
          <w:bCs w:val="0"/>
          <w:sz w:val="32"/>
          <w:szCs w:val="32"/>
        </w:rPr>
        <w:t>因公出国（境）费用</w:t>
      </w:r>
      <w:r>
        <w:rPr>
          <w:rFonts w:hint="eastAsia" w:ascii="Times New Roman" w:hAnsi="Times New Roman" w:eastAsia="方正仿宋_GBK" w:cs="Times New Roman"/>
          <w:b w:val="0"/>
          <w:bCs w:val="0"/>
          <w:sz w:val="32"/>
          <w:szCs w:val="32"/>
          <w:lang w:val="en-US" w:eastAsia="zh-CN"/>
        </w:rPr>
        <w:t>0</w:t>
      </w:r>
      <w:r>
        <w:rPr>
          <w:rFonts w:hint="default" w:ascii="Times New Roman" w:hAnsi="Times New Roman" w:eastAsia="方正仿宋_GBK" w:cs="Times New Roman"/>
          <w:b w:val="0"/>
          <w:bCs w:val="0"/>
          <w:sz w:val="32"/>
          <w:szCs w:val="32"/>
        </w:rPr>
        <w:t>万元</w:t>
      </w:r>
      <w:r>
        <w:rPr>
          <w:rFonts w:hint="eastAsia"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 </w:t>
      </w:r>
      <w:r>
        <w:rPr>
          <w:rFonts w:hint="eastAsia" w:ascii="Times New Roman" w:hAnsi="Times New Roman" w:eastAsia="方正仿宋_GBK" w:cs="Times New Roman"/>
          <w:b w:val="0"/>
          <w:bCs w:val="0"/>
          <w:sz w:val="32"/>
          <w:szCs w:val="32"/>
          <w:lang w:eastAsia="zh-CN"/>
        </w:rPr>
        <w:t>费用支出较年初预算数、上年支出数无增减。</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公务车购置费</w:t>
      </w:r>
      <w:r>
        <w:rPr>
          <w:rFonts w:hint="eastAsia" w:ascii="Times New Roman" w:hAnsi="Times New Roman" w:eastAsia="方正仿宋_GBK" w:cs="Times New Roman"/>
          <w:b w:val="0"/>
          <w:bCs w:val="0"/>
          <w:sz w:val="32"/>
          <w:szCs w:val="32"/>
          <w:lang w:val="en-US" w:eastAsia="zh-CN"/>
        </w:rPr>
        <w:t>0</w:t>
      </w:r>
      <w:r>
        <w:rPr>
          <w:rFonts w:hint="default" w:ascii="Times New Roman" w:hAnsi="Times New Roman" w:eastAsia="方正仿宋_GBK" w:cs="Times New Roman"/>
          <w:b w:val="0"/>
          <w:bCs w:val="0"/>
          <w:sz w:val="32"/>
          <w:szCs w:val="32"/>
        </w:rPr>
        <w:t>万元</w:t>
      </w:r>
      <w:r>
        <w:rPr>
          <w:rFonts w:hint="eastAsia" w:ascii="Times New Roman" w:hAnsi="Times New Roman" w:eastAsia="方正仿宋_GBK" w:cs="Times New Roman"/>
          <w:b w:val="0"/>
          <w:bCs w:val="0"/>
          <w:sz w:val="32"/>
          <w:szCs w:val="32"/>
          <w:lang w:eastAsia="zh-CN"/>
        </w:rPr>
        <w:t>，费用支出较年初预算数、上年支出数无增减。</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公务车运行维护费</w:t>
      </w:r>
      <w:r>
        <w:rPr>
          <w:rFonts w:hint="eastAsia" w:ascii="Times New Roman" w:hAnsi="Times New Roman" w:eastAsia="方正仿宋_GBK" w:cs="Times New Roman"/>
          <w:b w:val="0"/>
          <w:bCs w:val="0"/>
          <w:sz w:val="32"/>
          <w:szCs w:val="32"/>
          <w:lang w:val="en-US" w:eastAsia="zh-CN"/>
        </w:rPr>
        <w:t>0</w:t>
      </w:r>
      <w:r>
        <w:rPr>
          <w:rFonts w:hint="default" w:ascii="Times New Roman" w:hAnsi="Times New Roman" w:eastAsia="方正仿宋_GBK" w:cs="Times New Roman"/>
          <w:b w:val="0"/>
          <w:bCs w:val="0"/>
          <w:sz w:val="32"/>
          <w:szCs w:val="32"/>
        </w:rPr>
        <w:t>万元，</w:t>
      </w:r>
      <w:r>
        <w:rPr>
          <w:rFonts w:hint="eastAsia" w:ascii="Times New Roman" w:hAnsi="Times New Roman" w:eastAsia="方正仿宋_GBK" w:cs="Times New Roman"/>
          <w:b w:val="0"/>
          <w:bCs w:val="0"/>
          <w:sz w:val="32"/>
          <w:szCs w:val="32"/>
          <w:lang w:eastAsia="zh-CN"/>
        </w:rPr>
        <w:t>费用支出较年初预算数、上年支出数无增减。</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 公务接待费</w:t>
      </w:r>
      <w:r>
        <w:rPr>
          <w:rFonts w:hint="eastAsia" w:ascii="Times New Roman" w:hAnsi="Times New Roman" w:eastAsia="方正仿宋_GBK" w:cs="Times New Roman"/>
          <w:b w:val="0"/>
          <w:bCs w:val="0"/>
          <w:sz w:val="32"/>
          <w:szCs w:val="32"/>
          <w:lang w:val="en-US" w:eastAsia="zh-CN"/>
        </w:rPr>
        <w:t>0</w:t>
      </w:r>
      <w:bookmarkStart w:id="0" w:name="_GoBack"/>
      <w:bookmarkEnd w:id="0"/>
      <w:r>
        <w:rPr>
          <w:rFonts w:hint="default" w:ascii="Times New Roman" w:hAnsi="Times New Roman" w:eastAsia="方正仿宋_GBK" w:cs="Times New Roman"/>
          <w:b w:val="0"/>
          <w:bCs w:val="0"/>
          <w:sz w:val="32"/>
          <w:szCs w:val="32"/>
        </w:rPr>
        <w:t>万元，</w:t>
      </w:r>
      <w:r>
        <w:rPr>
          <w:rFonts w:hint="eastAsia" w:ascii="Times New Roman" w:hAnsi="Times New Roman" w:eastAsia="方正仿宋_GBK" w:cs="Times New Roman"/>
          <w:b w:val="0"/>
          <w:bCs w:val="0"/>
          <w:sz w:val="32"/>
          <w:szCs w:val="32"/>
          <w:lang w:eastAsia="zh-CN"/>
        </w:rPr>
        <w:t>费用支出较年初预算数、上年支出数无增减。</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9"/>
          <w:rFonts w:hint="default" w:ascii="Times New Roman" w:hAnsi="Times New Roman" w:eastAsia="方正楷体_GBK" w:cs="Times New Roman"/>
          <w:b w:val="0"/>
          <w:bCs/>
          <w:sz w:val="32"/>
          <w:szCs w:val="32"/>
          <w:shd w:val="clear" w:color="auto" w:fill="FFFFFF"/>
          <w:lang w:val="en-US" w:eastAsia="zh-CN"/>
        </w:rPr>
      </w:pPr>
      <w:r>
        <w:rPr>
          <w:rStyle w:val="9"/>
          <w:rFonts w:hint="eastAsia" w:ascii="Times New Roman" w:hAnsi="Times New Roman" w:eastAsia="方正楷体_GBK" w:cs="Times New Roman"/>
          <w:b w:val="0"/>
          <w:bCs/>
          <w:sz w:val="32"/>
          <w:szCs w:val="32"/>
          <w:shd w:val="clear" w:color="auto" w:fill="FFFFFF"/>
          <w:lang w:val="en-US" w:eastAsia="zh-CN"/>
        </w:rPr>
        <w:t>（三）“三公”经费实物量情况</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22"/>
          <w:vertAlign w:val="baseline"/>
          <w:lang w:val="en-US" w:eastAsia="zh-CN" w:bidi="ar-SA"/>
        </w:rPr>
      </w:pPr>
      <w:r>
        <w:rPr>
          <w:rFonts w:hint="default" w:ascii="Times New Roman" w:hAnsi="Times New Roman" w:eastAsia="方正仿宋_GBK" w:cs="Times New Roman"/>
          <w:kern w:val="2"/>
          <w:sz w:val="32"/>
          <w:szCs w:val="22"/>
          <w:vertAlign w:val="baseline"/>
          <w:lang w:val="en-US" w:eastAsia="zh-CN" w:bidi="ar-SA"/>
        </w:rPr>
        <w:t>2023年度本单位因公出国（境）共计0个团组，0人；公务用车购置0辆，公务车保有量为0辆；国内公务接待0批次0人，其中：国内外事接待0批次，0人；国（境）外公务接待0批次，0人。2023年本单位人均接待费0元，车均购置费0万元，车均维护费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atLeast"/>
        <w:ind w:firstLine="608" w:firstLineChars="200"/>
        <w:jc w:val="both"/>
        <w:textAlignment w:val="auto"/>
        <w:outlineLvl w:val="9"/>
        <w:rPr>
          <w:rFonts w:hint="default" w:ascii="Times New Roman" w:hAnsi="Times New Roman" w:eastAsia="方正黑体_GBK" w:cs="Times New Roman"/>
          <w:w w:val="95"/>
          <w:kern w:val="2"/>
          <w:sz w:val="32"/>
          <w:szCs w:val="32"/>
          <w:lang w:val="en-US" w:eastAsia="zh-CN"/>
        </w:rPr>
      </w:pPr>
      <w:r>
        <w:rPr>
          <w:rFonts w:hint="default" w:ascii="Times New Roman" w:hAnsi="Times New Roman" w:eastAsia="方正黑体_GBK" w:cs="Times New Roman"/>
          <w:w w:val="95"/>
          <w:kern w:val="2"/>
          <w:sz w:val="32"/>
          <w:szCs w:val="32"/>
          <w:lang w:val="en-US" w:eastAsia="zh-CN"/>
        </w:rPr>
        <w:t>四、其他需要说明的事项</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9"/>
          <w:rFonts w:hint="default" w:ascii="Times New Roman" w:hAnsi="Times New Roman" w:eastAsia="方正楷体_GBK" w:cs="Times New Roman"/>
          <w:b w:val="0"/>
          <w:bCs/>
          <w:sz w:val="32"/>
          <w:szCs w:val="32"/>
          <w:shd w:val="clear" w:color="auto" w:fill="FFFFFF"/>
          <w:lang w:val="en-US" w:eastAsia="zh-CN"/>
        </w:rPr>
      </w:pPr>
      <w:r>
        <w:rPr>
          <w:rStyle w:val="9"/>
          <w:rFonts w:hint="eastAsia" w:ascii="Times New Roman" w:hAnsi="Times New Roman" w:eastAsia="方正楷体_GBK" w:cs="Times New Roman"/>
          <w:b w:val="0"/>
          <w:bCs/>
          <w:sz w:val="32"/>
          <w:szCs w:val="32"/>
          <w:shd w:val="clear" w:color="auto" w:fill="FFFFFF"/>
          <w:lang w:val="en-US" w:eastAsia="zh-CN"/>
        </w:rPr>
        <w:t>（一）财政拨款会议费和培训费情况说明</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22"/>
          <w:vertAlign w:val="baseline"/>
          <w:lang w:val="en-US" w:eastAsia="zh-CN" w:bidi="ar-SA"/>
        </w:rPr>
      </w:pPr>
      <w:r>
        <w:rPr>
          <w:rFonts w:hint="eastAsia" w:ascii="Times New Roman" w:hAnsi="Times New Roman" w:eastAsia="方正仿宋_GBK" w:cs="Times New Roman"/>
          <w:kern w:val="2"/>
          <w:sz w:val="32"/>
          <w:szCs w:val="22"/>
          <w:vertAlign w:val="baseline"/>
          <w:lang w:val="en-US" w:eastAsia="zh-CN" w:bidi="ar-SA"/>
        </w:rPr>
        <w:t>因</w:t>
      </w:r>
      <w:r>
        <w:rPr>
          <w:rFonts w:hint="default" w:ascii="Times New Roman" w:hAnsi="Times New Roman" w:eastAsia="方正仿宋_GBK" w:cs="Times New Roman"/>
          <w:kern w:val="2"/>
          <w:sz w:val="32"/>
          <w:szCs w:val="22"/>
          <w:vertAlign w:val="baseline"/>
          <w:lang w:val="en-US" w:eastAsia="zh-CN" w:bidi="ar-SA"/>
        </w:rPr>
        <w:t>本年度会议费支出0.00万元，较上年决算数无增减，主要原因是按照部门决算列报口径，我单位不在机关运行经费统计范围之内。本年度培训费支出0.00万元，较上年决算数无变化，主要原因是按照部门决算列报口径，我单位不在机关运行经费统计范围之内。</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9"/>
          <w:rFonts w:hint="default" w:ascii="Times New Roman" w:hAnsi="Times New Roman" w:eastAsia="方正楷体_GBK" w:cs="Times New Roman"/>
          <w:b w:val="0"/>
          <w:bCs/>
          <w:sz w:val="32"/>
          <w:szCs w:val="32"/>
          <w:shd w:val="clear" w:color="auto" w:fill="FFFFFF"/>
          <w:lang w:val="en-US" w:eastAsia="zh-CN"/>
        </w:rPr>
      </w:pPr>
      <w:r>
        <w:rPr>
          <w:rStyle w:val="9"/>
          <w:rFonts w:hint="eastAsia" w:ascii="Times New Roman" w:hAnsi="Times New Roman" w:eastAsia="方正楷体_GBK" w:cs="Times New Roman"/>
          <w:b w:val="0"/>
          <w:bCs/>
          <w:sz w:val="32"/>
          <w:szCs w:val="32"/>
          <w:shd w:val="clear" w:color="auto" w:fill="FFFFFF"/>
          <w:lang w:val="en-US" w:eastAsia="zh-CN"/>
        </w:rPr>
        <w:t>（二）机关运行经费情况说明</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22"/>
          <w:vertAlign w:val="baseline"/>
          <w:lang w:val="en-US" w:eastAsia="zh-CN" w:bidi="ar-SA"/>
        </w:rPr>
      </w:pPr>
      <w:r>
        <w:rPr>
          <w:rFonts w:hint="default" w:ascii="Times New Roman" w:hAnsi="Times New Roman" w:eastAsia="方正仿宋_GBK" w:cs="Times New Roman"/>
          <w:kern w:val="2"/>
          <w:sz w:val="32"/>
          <w:szCs w:val="22"/>
          <w:vertAlign w:val="baseline"/>
          <w:lang w:val="en-US" w:eastAsia="zh-CN" w:bidi="ar-SA"/>
        </w:rPr>
        <w:t>2023年度本单位机关运行经费支出0.00万元，机关运行经费主要用于开支</w:t>
      </w:r>
      <w:r>
        <w:rPr>
          <w:rFonts w:hint="eastAsia" w:ascii="Times New Roman" w:hAnsi="Times New Roman" w:eastAsia="方正仿宋_GBK" w:cs="Times New Roman"/>
          <w:kern w:val="2"/>
          <w:sz w:val="32"/>
          <w:szCs w:val="22"/>
          <w:vertAlign w:val="baseline"/>
          <w:lang w:val="en-US" w:eastAsia="zh-CN" w:bidi="ar-SA"/>
        </w:rPr>
        <w:t>机关所产生的水费、电费、生活费等。</w:t>
      </w:r>
      <w:r>
        <w:rPr>
          <w:rFonts w:hint="default" w:ascii="Times New Roman" w:hAnsi="Times New Roman" w:eastAsia="方正仿宋_GBK" w:cs="Times New Roman"/>
          <w:kern w:val="2"/>
          <w:sz w:val="32"/>
          <w:szCs w:val="22"/>
          <w:vertAlign w:val="baseline"/>
          <w:lang w:val="en-US" w:eastAsia="zh-CN" w:bidi="ar-SA"/>
        </w:rPr>
        <w:t>机关运行经费较上年支出数无增减，主要原因是</w:t>
      </w:r>
      <w:r>
        <w:rPr>
          <w:rFonts w:hint="eastAsia" w:ascii="Times New Roman" w:hAnsi="Times New Roman" w:eastAsia="方正仿宋_GBK" w:cs="Times New Roman"/>
          <w:kern w:val="2"/>
          <w:sz w:val="32"/>
          <w:szCs w:val="22"/>
          <w:vertAlign w:val="baseline"/>
          <w:lang w:val="en-US" w:eastAsia="zh-CN" w:bidi="ar-SA"/>
        </w:rPr>
        <w:t>按照部门决算列报口径，我单位不在机关运行经费统计范围之内</w:t>
      </w:r>
      <w:r>
        <w:rPr>
          <w:rFonts w:hint="default" w:ascii="Times New Roman" w:hAnsi="Times New Roman" w:eastAsia="方正仿宋_GBK" w:cs="Times New Roman"/>
          <w:kern w:val="2"/>
          <w:sz w:val="32"/>
          <w:szCs w:val="22"/>
          <w:vertAlign w:val="baseline"/>
          <w:lang w:val="en-US" w:eastAsia="zh-CN" w:bidi="ar-SA"/>
        </w:rPr>
        <w:t>。</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9"/>
          <w:rFonts w:hint="default" w:ascii="Times New Roman" w:hAnsi="Times New Roman" w:eastAsia="方正楷体_GBK" w:cs="Times New Roman"/>
          <w:b w:val="0"/>
          <w:bCs/>
          <w:sz w:val="32"/>
          <w:szCs w:val="32"/>
          <w:shd w:val="clear" w:color="auto" w:fill="FFFFFF"/>
          <w:lang w:val="en-US" w:eastAsia="zh-CN"/>
        </w:rPr>
      </w:pPr>
      <w:r>
        <w:rPr>
          <w:rStyle w:val="9"/>
          <w:rFonts w:hint="eastAsia" w:ascii="Times New Roman" w:hAnsi="Times New Roman" w:eastAsia="方正楷体_GBK" w:cs="Times New Roman"/>
          <w:b w:val="0"/>
          <w:bCs/>
          <w:sz w:val="32"/>
          <w:szCs w:val="32"/>
          <w:shd w:val="clear" w:color="auto" w:fill="FFFFFF"/>
          <w:lang w:val="en-US" w:eastAsia="zh-CN"/>
        </w:rPr>
        <w:t>（三）国有资产占用情况说明</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22"/>
          <w:vertAlign w:val="baseline"/>
          <w:lang w:val="en-US" w:eastAsia="zh-CN" w:bidi="ar-SA"/>
        </w:rPr>
      </w:pPr>
      <w:r>
        <w:rPr>
          <w:rFonts w:hint="default" w:ascii="Times New Roman" w:hAnsi="Times New Roman" w:eastAsia="方正仿宋_GBK" w:cs="Times New Roman"/>
          <w:kern w:val="2"/>
          <w:sz w:val="32"/>
          <w:szCs w:val="22"/>
          <w:vertAlign w:val="baseline"/>
          <w:lang w:val="en-US" w:eastAsia="zh-CN" w:bidi="ar-SA"/>
        </w:rPr>
        <w:t>截至2023年12月31日，本单位共有车辆0辆，其中，副部（省）级及以上领导用车0辆、主要负责人用车0辆、机要通信用车0辆、应急保障用车0辆、执法执勤用车0辆，特种专业技术用车0辆，离退休干部用车0辆。单价100万元（含）以上专用设备0台（套）。</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22"/>
          <w:vertAlign w:val="baseline"/>
          <w:lang w:val="en-US" w:eastAsia="zh-CN" w:bidi="ar-SA"/>
        </w:rPr>
      </w:pPr>
      <w:r>
        <w:rPr>
          <w:rFonts w:hint="default" w:ascii="Times New Roman" w:hAnsi="Times New Roman" w:eastAsia="方正仿宋_GBK" w:cs="Times New Roman"/>
          <w:kern w:val="2"/>
          <w:sz w:val="32"/>
          <w:szCs w:val="22"/>
          <w:vertAlign w:val="baseline"/>
          <w:lang w:val="en-US" w:eastAsia="zh-CN" w:bidi="ar-SA"/>
        </w:rPr>
        <w:t>因按照部门决算列报口径，我单位不在机关运行经费统计范围之内</w:t>
      </w:r>
      <w:r>
        <w:rPr>
          <w:rFonts w:hint="eastAsia" w:ascii="Times New Roman" w:hAnsi="Times New Roman" w:eastAsia="方正仿宋_GBK" w:cs="Times New Roman"/>
          <w:kern w:val="2"/>
          <w:sz w:val="32"/>
          <w:szCs w:val="22"/>
          <w:vertAlign w:val="baseline"/>
          <w:lang w:val="en-US" w:eastAsia="zh-CN" w:bidi="ar-SA"/>
        </w:rPr>
        <w:t>的</w:t>
      </w:r>
      <w:r>
        <w:rPr>
          <w:rFonts w:hint="default" w:ascii="Times New Roman" w:hAnsi="Times New Roman" w:eastAsia="方正仿宋_GBK" w:cs="Times New Roman"/>
          <w:kern w:val="2"/>
          <w:sz w:val="32"/>
          <w:szCs w:val="22"/>
          <w:vertAlign w:val="baseline"/>
          <w:lang w:val="en-US" w:eastAsia="zh-CN" w:bidi="ar-SA"/>
        </w:rPr>
        <w:t>原因，</w:t>
      </w:r>
      <w:r>
        <w:rPr>
          <w:rFonts w:hint="eastAsia" w:ascii="Times New Roman" w:hAnsi="Times New Roman" w:eastAsia="方正仿宋_GBK" w:cs="Times New Roman"/>
          <w:kern w:val="2"/>
          <w:sz w:val="32"/>
          <w:szCs w:val="22"/>
          <w:vertAlign w:val="baseline"/>
          <w:lang w:val="en-US" w:eastAsia="zh-CN" w:bidi="ar-SA"/>
        </w:rPr>
        <w:t>故</w:t>
      </w:r>
      <w:r>
        <w:rPr>
          <w:rFonts w:hint="default" w:ascii="Times New Roman" w:hAnsi="Times New Roman" w:eastAsia="方正仿宋_GBK" w:cs="Times New Roman"/>
          <w:kern w:val="2"/>
          <w:sz w:val="32"/>
          <w:szCs w:val="22"/>
          <w:vertAlign w:val="baseline"/>
          <w:lang w:val="en-US" w:eastAsia="zh-CN" w:bidi="ar-SA"/>
        </w:rPr>
        <w:t>资产未纳入部门决算报表。</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9"/>
          <w:rFonts w:hint="default" w:ascii="Times New Roman" w:hAnsi="Times New Roman" w:eastAsia="方正楷体_GBK" w:cs="Times New Roman"/>
          <w:b w:val="0"/>
          <w:bCs/>
          <w:sz w:val="32"/>
          <w:szCs w:val="32"/>
          <w:shd w:val="clear" w:color="auto" w:fill="FFFFFF"/>
          <w:lang w:val="en-US" w:eastAsia="zh-CN"/>
        </w:rPr>
      </w:pPr>
      <w:r>
        <w:rPr>
          <w:rStyle w:val="9"/>
          <w:rFonts w:hint="eastAsia" w:ascii="Times New Roman" w:hAnsi="Times New Roman" w:eastAsia="方正楷体_GBK" w:cs="Times New Roman"/>
          <w:b w:val="0"/>
          <w:bCs/>
          <w:sz w:val="32"/>
          <w:szCs w:val="32"/>
          <w:shd w:val="clear" w:color="auto" w:fill="FFFFFF"/>
          <w:lang w:val="en-US" w:eastAsia="zh-CN"/>
        </w:rPr>
        <w:t>（四）政府采购支出情况说明</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22"/>
          <w:vertAlign w:val="baseline"/>
          <w:lang w:val="en-US" w:eastAsia="zh-CN" w:bidi="ar-SA"/>
        </w:rPr>
      </w:pPr>
      <w:r>
        <w:rPr>
          <w:rFonts w:hint="default" w:ascii="Times New Roman" w:hAnsi="Times New Roman" w:eastAsia="方正仿宋_GBK" w:cs="Times New Roman"/>
          <w:kern w:val="2"/>
          <w:sz w:val="32"/>
          <w:szCs w:val="22"/>
          <w:vertAlign w:val="baseline"/>
          <w:lang w:val="en-US" w:eastAsia="zh-CN" w:bidi="ar-SA"/>
        </w:rPr>
        <w:t>2023年度我单位未发生政府采购事项，无相关经费支出。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atLeast"/>
        <w:ind w:firstLine="608" w:firstLineChars="200"/>
        <w:jc w:val="both"/>
        <w:textAlignment w:val="auto"/>
        <w:outlineLvl w:val="9"/>
        <w:rPr>
          <w:rFonts w:hint="default" w:ascii="Times New Roman" w:hAnsi="Times New Roman" w:eastAsia="方正黑体_GBK" w:cs="Times New Roman"/>
          <w:w w:val="95"/>
          <w:kern w:val="2"/>
          <w:sz w:val="32"/>
          <w:szCs w:val="32"/>
          <w:lang w:val="en-US" w:eastAsia="zh-CN"/>
        </w:rPr>
      </w:pPr>
      <w:r>
        <w:rPr>
          <w:rFonts w:hint="eastAsia" w:ascii="Times New Roman" w:hAnsi="Times New Roman" w:eastAsia="方正黑体_GBK" w:cs="Times New Roman"/>
          <w:w w:val="95"/>
          <w:kern w:val="2"/>
          <w:sz w:val="32"/>
          <w:szCs w:val="32"/>
          <w:lang w:val="en-US" w:eastAsia="zh-CN"/>
        </w:rPr>
        <w:t>五、</w:t>
      </w:r>
      <w:r>
        <w:rPr>
          <w:rFonts w:hint="default" w:ascii="Times New Roman" w:hAnsi="Times New Roman" w:eastAsia="方正黑体_GBK" w:cs="Times New Roman"/>
          <w:w w:val="95"/>
          <w:kern w:val="2"/>
          <w:sz w:val="32"/>
          <w:szCs w:val="32"/>
          <w:lang w:val="en-US" w:eastAsia="zh-CN"/>
        </w:rPr>
        <w:t>预算绩效管理情况说明</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9"/>
          <w:rFonts w:hint="default" w:ascii="Times New Roman" w:hAnsi="Times New Roman" w:eastAsia="方正楷体_GBK" w:cs="Times New Roman"/>
          <w:b w:val="0"/>
          <w:bCs/>
          <w:sz w:val="32"/>
          <w:szCs w:val="32"/>
          <w:shd w:val="clear" w:color="auto" w:fill="FFFFFF"/>
          <w:lang w:val="en-US" w:eastAsia="zh-CN"/>
        </w:rPr>
      </w:pPr>
      <w:r>
        <w:rPr>
          <w:rStyle w:val="9"/>
          <w:rFonts w:hint="eastAsia" w:ascii="Times New Roman" w:hAnsi="Times New Roman" w:eastAsia="方正楷体_GBK" w:cs="Times New Roman"/>
          <w:b w:val="0"/>
          <w:bCs/>
          <w:sz w:val="32"/>
          <w:szCs w:val="32"/>
          <w:shd w:val="clear" w:color="auto" w:fill="FFFFFF"/>
          <w:lang w:val="en-US" w:eastAsia="zh-CN"/>
        </w:rPr>
        <w:t>（一）单位自评情况</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kern w:val="2"/>
          <w:sz w:val="32"/>
          <w:szCs w:val="22"/>
          <w:vertAlign w:val="baseline"/>
          <w:lang w:val="en-US" w:eastAsia="zh-CN" w:bidi="ar-SA"/>
        </w:rPr>
      </w:pPr>
      <w:r>
        <w:rPr>
          <w:rFonts w:hint="eastAsia" w:ascii="Times New Roman" w:hAnsi="Times New Roman" w:eastAsia="方正仿宋_GBK" w:cs="Times New Roman"/>
          <w:kern w:val="2"/>
          <w:sz w:val="32"/>
          <w:szCs w:val="22"/>
          <w:vertAlign w:val="baseline"/>
          <w:lang w:val="en-US" w:eastAsia="zh-CN" w:bidi="ar-SA"/>
        </w:rPr>
        <w:t>根据预算绩效管理要求，我单位对0个一级项目和1个二级项目开展了绩效自评，涉及财政拨款项目支出资金14.60万元。</w:t>
      </w:r>
    </w:p>
    <w:p>
      <w:pPr>
        <w:rPr>
          <w:rStyle w:val="9"/>
          <w:rFonts w:hint="eastAsia" w:ascii="Times New Roman" w:hAnsi="Times New Roman" w:eastAsia="方正楷体_GBK" w:cs="Times New Roman"/>
          <w:b w:val="0"/>
          <w:bCs/>
          <w:sz w:val="32"/>
          <w:szCs w:val="32"/>
          <w:shd w:val="clear" w:color="auto" w:fill="FFFFFF"/>
          <w:lang w:val="en-US" w:eastAsia="zh-CN"/>
        </w:rPr>
      </w:pPr>
      <w:r>
        <w:rPr>
          <w:rStyle w:val="9"/>
          <w:rFonts w:hint="eastAsia" w:ascii="Times New Roman" w:hAnsi="Times New Roman" w:eastAsia="方正楷体_GBK" w:cs="Times New Roman"/>
          <w:b w:val="0"/>
          <w:bCs/>
          <w:sz w:val="32"/>
          <w:szCs w:val="32"/>
          <w:shd w:val="clear" w:color="auto" w:fill="FFFFFF"/>
          <w:lang w:val="en-US" w:eastAsia="zh-CN"/>
        </w:rPr>
        <w:br w:type="page"/>
      </w:r>
    </w:p>
    <w:tbl>
      <w:tblPr>
        <w:tblStyle w:val="10"/>
        <w:tblW w:w="8345" w:type="dxa"/>
        <w:tblInd w:w="0" w:type="dxa"/>
        <w:shd w:val="clear" w:color="auto" w:fill="auto"/>
        <w:tblLayout w:type="fixed"/>
        <w:tblCellMar>
          <w:top w:w="0" w:type="dxa"/>
          <w:left w:w="0" w:type="dxa"/>
          <w:bottom w:w="0" w:type="dxa"/>
          <w:right w:w="0" w:type="dxa"/>
        </w:tblCellMar>
      </w:tblPr>
      <w:tblGrid>
        <w:gridCol w:w="331"/>
        <w:gridCol w:w="1150"/>
        <w:gridCol w:w="584"/>
        <w:gridCol w:w="783"/>
        <w:gridCol w:w="667"/>
        <w:gridCol w:w="1316"/>
        <w:gridCol w:w="884"/>
        <w:gridCol w:w="766"/>
        <w:gridCol w:w="634"/>
        <w:gridCol w:w="566"/>
        <w:gridCol w:w="664"/>
      </w:tblGrid>
      <w:tr>
        <w:tblPrEx>
          <w:shd w:val="clear" w:color="auto" w:fill="auto"/>
          <w:tblLayout w:type="fixed"/>
          <w:tblCellMar>
            <w:top w:w="0" w:type="dxa"/>
            <w:left w:w="0" w:type="dxa"/>
            <w:bottom w:w="0" w:type="dxa"/>
            <w:right w:w="0" w:type="dxa"/>
          </w:tblCellMar>
        </w:tblPrEx>
        <w:trPr>
          <w:trHeight w:val="800" w:hRule="atLeast"/>
        </w:trPr>
        <w:tc>
          <w:tcPr>
            <w:tcW w:w="8345"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方正小标宋_GBK" w:cs="Times New Roman"/>
                <w:b/>
                <w:i w:val="0"/>
                <w:color w:val="000000"/>
                <w:kern w:val="0"/>
                <w:sz w:val="32"/>
                <w:szCs w:val="32"/>
                <w:u w:val="none"/>
                <w:lang w:val="en-US" w:eastAsia="zh-CN" w:bidi="ar"/>
              </w:rPr>
            </w:pPr>
            <w:r>
              <w:rPr>
                <w:rFonts w:hint="default" w:ascii="Times New Roman" w:hAnsi="Times New Roman" w:eastAsia="方正小标宋_GBK" w:cs="Times New Roman"/>
                <w:b/>
                <w:i w:val="0"/>
                <w:color w:val="000000"/>
                <w:kern w:val="0"/>
                <w:sz w:val="32"/>
                <w:szCs w:val="32"/>
                <w:u w:val="none"/>
                <w:lang w:val="en-US" w:eastAsia="zh-CN" w:bidi="ar"/>
              </w:rPr>
              <w:t>龙凤坝镇退役军人服务站2023年度</w:t>
            </w:r>
            <w:r>
              <w:rPr>
                <w:rFonts w:hint="eastAsia" w:ascii="Times New Roman" w:hAnsi="Times New Roman" w:eastAsia="方正小标宋_GBK" w:cs="Times New Roman"/>
                <w:b/>
                <w:i w:val="0"/>
                <w:color w:val="000000"/>
                <w:kern w:val="0"/>
                <w:sz w:val="32"/>
                <w:szCs w:val="32"/>
                <w:u w:val="none"/>
                <w:lang w:val="en-US" w:eastAsia="zh-CN" w:bidi="ar"/>
              </w:rPr>
              <w:t>项目支出</w:t>
            </w:r>
          </w:p>
          <w:p>
            <w:pPr>
              <w:keepNext w:val="0"/>
              <w:keepLines w:val="0"/>
              <w:widowControl/>
              <w:suppressLineNumbers w:val="0"/>
              <w:jc w:val="center"/>
              <w:textAlignment w:val="center"/>
              <w:rPr>
                <w:rFonts w:hint="default" w:ascii="Times New Roman" w:hAnsi="Times New Roman" w:eastAsia="方正小标宋_GBK" w:cs="Times New Roman"/>
                <w:b/>
                <w:i w:val="0"/>
                <w:color w:val="000000"/>
                <w:kern w:val="0"/>
                <w:sz w:val="36"/>
                <w:szCs w:val="36"/>
                <w:u w:val="none"/>
                <w:lang w:val="en-US" w:eastAsia="zh-CN" w:bidi="ar"/>
              </w:rPr>
            </w:pPr>
            <w:r>
              <w:rPr>
                <w:rFonts w:hint="default" w:ascii="Times New Roman" w:hAnsi="Times New Roman" w:eastAsia="方正小标宋_GBK" w:cs="Times New Roman"/>
                <w:b/>
                <w:i w:val="0"/>
                <w:color w:val="000000"/>
                <w:kern w:val="0"/>
                <w:sz w:val="32"/>
                <w:szCs w:val="32"/>
                <w:u w:val="none"/>
                <w:lang w:val="en-US" w:eastAsia="zh-CN" w:bidi="ar"/>
              </w:rPr>
              <w:t>绩效自评</w:t>
            </w:r>
            <w:r>
              <w:rPr>
                <w:rFonts w:hint="eastAsia" w:ascii="Times New Roman" w:hAnsi="Times New Roman" w:eastAsia="方正小标宋_GBK" w:cs="Times New Roman"/>
                <w:b/>
                <w:i w:val="0"/>
                <w:color w:val="000000"/>
                <w:kern w:val="0"/>
                <w:sz w:val="32"/>
                <w:szCs w:val="32"/>
                <w:u w:val="none"/>
                <w:lang w:val="en-US" w:eastAsia="zh-CN" w:bidi="ar"/>
              </w:rPr>
              <w:t>情况</w:t>
            </w:r>
            <w:r>
              <w:rPr>
                <w:rFonts w:hint="default" w:ascii="Times New Roman" w:hAnsi="Times New Roman" w:eastAsia="方正小标宋_GBK" w:cs="Times New Roman"/>
                <w:b/>
                <w:i w:val="0"/>
                <w:color w:val="000000"/>
                <w:kern w:val="0"/>
                <w:sz w:val="32"/>
                <w:szCs w:val="32"/>
                <w:u w:val="none"/>
                <w:lang w:val="en-US" w:eastAsia="zh-CN" w:bidi="ar"/>
              </w:rPr>
              <w:t>表</w:t>
            </w:r>
          </w:p>
        </w:tc>
      </w:tr>
      <w:tr>
        <w:tblPrEx>
          <w:tblLayout w:type="fixed"/>
          <w:tblCellMar>
            <w:top w:w="0" w:type="dxa"/>
            <w:left w:w="0" w:type="dxa"/>
            <w:bottom w:w="0" w:type="dxa"/>
            <w:right w:w="0" w:type="dxa"/>
          </w:tblCellMar>
        </w:tblPrEx>
        <w:trPr>
          <w:trHeight w:val="1075" w:hRule="atLeast"/>
        </w:trPr>
        <w:tc>
          <w:tcPr>
            <w:tcW w:w="331"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jc w:val="center"/>
              <w:rPr>
                <w:rFonts w:hint="eastAsia" w:ascii="Times New Roman" w:hAnsi="Times New Roman" w:eastAsia="宋体" w:cs="Times New Roman"/>
                <w:i w:val="0"/>
                <w:color w:val="auto"/>
                <w:sz w:val="22"/>
                <w:szCs w:val="22"/>
                <w:u w:val="none"/>
                <w:lang w:eastAsia="zh-CN"/>
              </w:rPr>
            </w:pPr>
            <w:r>
              <w:rPr>
                <w:rStyle w:val="17"/>
                <w:rFonts w:hint="eastAsia" w:ascii="Times New Roman" w:hAnsi="Times New Roman" w:cs="Times New Roman"/>
                <w:lang w:val="en-US" w:eastAsia="zh-CN" w:bidi="ar"/>
              </w:rPr>
              <w:t>序号</w:t>
            </w:r>
          </w:p>
        </w:tc>
        <w:tc>
          <w:tcPr>
            <w:tcW w:w="115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40" w:lineRule="exact"/>
              <w:ind w:firstLine="0" w:firstLineChars="0"/>
              <w:jc w:val="center"/>
              <w:textAlignment w:val="center"/>
              <w:outlineLvl w:val="9"/>
              <w:rPr>
                <w:rStyle w:val="17"/>
                <w:rFonts w:hint="default" w:ascii="Times New Roman" w:hAnsi="Times New Roman" w:cs="Times New Roman"/>
                <w:lang w:val="en-US" w:eastAsia="zh-CN" w:bidi="ar"/>
              </w:rPr>
            </w:pPr>
            <w:r>
              <w:rPr>
                <w:rStyle w:val="17"/>
                <w:rFonts w:hint="eastAsia" w:ascii="Times New Roman" w:hAnsi="Times New Roman" w:cs="Times New Roman"/>
                <w:lang w:val="en-US" w:eastAsia="zh-CN" w:bidi="ar"/>
              </w:rPr>
              <w:t>项目名称</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40" w:lineRule="exact"/>
              <w:ind w:firstLine="0" w:firstLineChars="0"/>
              <w:jc w:val="center"/>
              <w:textAlignment w:val="center"/>
              <w:outlineLvl w:val="9"/>
              <w:rPr>
                <w:rStyle w:val="17"/>
                <w:rFonts w:hint="default" w:ascii="Times New Roman" w:hAnsi="Times New Roman" w:cs="Times New Roman"/>
                <w:lang w:val="en-US" w:eastAsia="zh-CN" w:bidi="ar"/>
              </w:rPr>
            </w:pPr>
            <w:r>
              <w:rPr>
                <w:rStyle w:val="17"/>
                <w:rFonts w:hint="eastAsia" w:ascii="Times New Roman" w:hAnsi="Times New Roman" w:cs="Times New Roman"/>
                <w:lang w:val="en-US" w:eastAsia="zh-CN" w:bidi="ar"/>
              </w:rPr>
              <w:t>指标名称</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40" w:lineRule="exact"/>
              <w:ind w:firstLine="0" w:firstLineChars="0"/>
              <w:jc w:val="center"/>
              <w:textAlignment w:val="center"/>
              <w:outlineLvl w:val="9"/>
              <w:rPr>
                <w:rStyle w:val="17"/>
                <w:rFonts w:hint="default" w:ascii="Times New Roman" w:hAnsi="Times New Roman" w:cs="Times New Roman"/>
                <w:lang w:val="en-US" w:eastAsia="zh-CN" w:bidi="ar"/>
              </w:rPr>
            </w:pPr>
            <w:r>
              <w:rPr>
                <w:rStyle w:val="17"/>
                <w:rFonts w:hint="eastAsia" w:ascii="Times New Roman" w:hAnsi="Times New Roman" w:cs="Times New Roman"/>
                <w:lang w:val="en-US" w:eastAsia="zh-CN" w:bidi="ar"/>
              </w:rPr>
              <w:t>指标性质</w:t>
            </w:r>
          </w:p>
        </w:tc>
        <w:tc>
          <w:tcPr>
            <w:tcW w:w="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40" w:lineRule="exact"/>
              <w:ind w:firstLine="0" w:firstLineChars="0"/>
              <w:jc w:val="center"/>
              <w:textAlignment w:val="center"/>
              <w:outlineLvl w:val="9"/>
              <w:rPr>
                <w:rStyle w:val="17"/>
                <w:rFonts w:hint="default" w:ascii="Times New Roman" w:hAnsi="Times New Roman" w:cs="Times New Roman"/>
                <w:lang w:val="en-US" w:eastAsia="zh-CN" w:bidi="ar"/>
              </w:rPr>
            </w:pPr>
            <w:r>
              <w:rPr>
                <w:rStyle w:val="17"/>
                <w:rFonts w:hint="eastAsia" w:ascii="Times New Roman" w:hAnsi="Times New Roman" w:cs="Times New Roman"/>
                <w:lang w:val="en-US" w:eastAsia="zh-CN" w:bidi="ar"/>
              </w:rPr>
              <w:t>指标值</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40" w:lineRule="exact"/>
              <w:ind w:firstLine="0" w:firstLineChars="0"/>
              <w:jc w:val="center"/>
              <w:textAlignment w:val="center"/>
              <w:outlineLvl w:val="9"/>
              <w:rPr>
                <w:rStyle w:val="17"/>
                <w:rFonts w:hint="default" w:ascii="Times New Roman" w:hAnsi="Times New Roman" w:cs="Times New Roman"/>
                <w:lang w:val="en-US" w:eastAsia="zh-CN" w:bidi="ar"/>
              </w:rPr>
            </w:pPr>
            <w:r>
              <w:rPr>
                <w:rStyle w:val="17"/>
                <w:rFonts w:hint="eastAsia" w:ascii="Times New Roman" w:hAnsi="Times New Roman" w:cs="Times New Roman"/>
                <w:lang w:val="en-US" w:eastAsia="zh-CN" w:bidi="ar"/>
              </w:rPr>
              <w:t>计量单位</w:t>
            </w:r>
          </w:p>
        </w:tc>
        <w:tc>
          <w:tcPr>
            <w:tcW w:w="8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40" w:lineRule="exact"/>
              <w:ind w:firstLine="0" w:firstLineChars="0"/>
              <w:jc w:val="center"/>
              <w:textAlignment w:val="center"/>
              <w:outlineLvl w:val="9"/>
              <w:rPr>
                <w:rStyle w:val="17"/>
                <w:rFonts w:hint="eastAsia" w:ascii="Times New Roman" w:hAnsi="Times New Roman" w:cs="Times New Roman"/>
                <w:lang w:val="en-US" w:eastAsia="zh-CN" w:bidi="ar"/>
              </w:rPr>
            </w:pPr>
            <w:r>
              <w:rPr>
                <w:rStyle w:val="17"/>
                <w:rFonts w:hint="eastAsia" w:ascii="Times New Roman" w:hAnsi="Times New Roman" w:cs="Times New Roman"/>
                <w:lang w:val="en-US" w:eastAsia="zh-CN" w:bidi="ar"/>
              </w:rPr>
              <w:t>指标权重</w:t>
            </w:r>
          </w:p>
        </w:tc>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40" w:lineRule="exact"/>
              <w:ind w:firstLine="0" w:firstLineChars="0"/>
              <w:jc w:val="center"/>
              <w:textAlignment w:val="center"/>
              <w:outlineLvl w:val="9"/>
              <w:rPr>
                <w:rStyle w:val="17"/>
                <w:rFonts w:hint="default" w:ascii="Times New Roman" w:hAnsi="Times New Roman" w:cs="Times New Roman"/>
                <w:lang w:val="en-US" w:eastAsia="zh-CN" w:bidi="ar"/>
              </w:rPr>
            </w:pPr>
            <w:r>
              <w:rPr>
                <w:rStyle w:val="17"/>
                <w:rFonts w:hint="eastAsia" w:ascii="Times New Roman" w:hAnsi="Times New Roman" w:cs="Times New Roman"/>
                <w:lang w:val="en-US" w:eastAsia="zh-CN" w:bidi="ar"/>
              </w:rPr>
              <w:t>全年完成值</w:t>
            </w:r>
          </w:p>
        </w:tc>
        <w:tc>
          <w:tcPr>
            <w:tcW w:w="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40" w:lineRule="exact"/>
              <w:ind w:firstLine="0" w:firstLineChars="0"/>
              <w:jc w:val="center"/>
              <w:textAlignment w:val="center"/>
              <w:outlineLvl w:val="9"/>
              <w:rPr>
                <w:rStyle w:val="17"/>
                <w:rFonts w:hint="eastAsia" w:ascii="Times New Roman" w:hAnsi="Times New Roman" w:cs="Times New Roman"/>
                <w:lang w:val="en-US" w:eastAsia="zh-CN" w:bidi="ar"/>
              </w:rPr>
            </w:pPr>
            <w:r>
              <w:rPr>
                <w:rStyle w:val="17"/>
                <w:rFonts w:hint="eastAsia" w:ascii="Times New Roman" w:hAnsi="Times New Roman" w:cs="Times New Roman"/>
                <w:lang w:val="en-US" w:eastAsia="zh-CN" w:bidi="ar"/>
              </w:rPr>
              <w:t>指标得分</w:t>
            </w:r>
          </w:p>
        </w:tc>
        <w:tc>
          <w:tcPr>
            <w:tcW w:w="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40" w:lineRule="exact"/>
              <w:ind w:firstLine="0" w:firstLineChars="0"/>
              <w:jc w:val="center"/>
              <w:textAlignment w:val="center"/>
              <w:outlineLvl w:val="9"/>
              <w:rPr>
                <w:rStyle w:val="17"/>
                <w:rFonts w:hint="eastAsia" w:ascii="Times New Roman" w:hAnsi="Times New Roman" w:cs="Times New Roman"/>
                <w:lang w:val="en-US" w:eastAsia="zh-CN" w:bidi="ar"/>
              </w:rPr>
            </w:pPr>
            <w:r>
              <w:rPr>
                <w:rStyle w:val="17"/>
                <w:rFonts w:hint="eastAsia" w:ascii="Times New Roman" w:hAnsi="Times New Roman" w:cs="Times New Roman"/>
                <w:lang w:val="en-US" w:eastAsia="zh-CN" w:bidi="ar"/>
              </w:rPr>
              <w:t>说明</w:t>
            </w:r>
          </w:p>
        </w:tc>
        <w:tc>
          <w:tcPr>
            <w:tcW w:w="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40" w:lineRule="exact"/>
              <w:ind w:firstLine="0" w:firstLineChars="0"/>
              <w:jc w:val="center"/>
              <w:textAlignment w:val="center"/>
              <w:outlineLvl w:val="9"/>
              <w:rPr>
                <w:rStyle w:val="17"/>
                <w:rFonts w:hint="eastAsia" w:ascii="Times New Roman" w:hAnsi="Times New Roman" w:cs="Times New Roman"/>
                <w:lang w:val="en-US" w:eastAsia="zh-CN" w:bidi="ar"/>
              </w:rPr>
            </w:pPr>
            <w:r>
              <w:rPr>
                <w:rStyle w:val="17"/>
                <w:rFonts w:hint="eastAsia" w:ascii="Times New Roman" w:hAnsi="Times New Roman" w:cs="Times New Roman"/>
                <w:lang w:val="en-US" w:eastAsia="zh-CN" w:bidi="ar"/>
              </w:rPr>
              <w:t>自评得分</w:t>
            </w:r>
          </w:p>
        </w:tc>
      </w:tr>
      <w:tr>
        <w:tblPrEx>
          <w:tblLayout w:type="fixed"/>
          <w:tblCellMar>
            <w:top w:w="0" w:type="dxa"/>
            <w:left w:w="0" w:type="dxa"/>
            <w:bottom w:w="0" w:type="dxa"/>
            <w:right w:w="0" w:type="dxa"/>
          </w:tblCellMar>
        </w:tblPrEx>
        <w:trPr>
          <w:trHeight w:val="500" w:hRule="atLeast"/>
        </w:trPr>
        <w:tc>
          <w:tcPr>
            <w:tcW w:w="331" w:type="dxa"/>
            <w:vMerge w:val="restart"/>
            <w:tcBorders>
              <w:top w:val="single" w:color="auto" w:sz="4" w:space="0"/>
              <w:left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Style w:val="18"/>
                <w:rFonts w:hint="default" w:ascii="Times New Roman" w:hAnsi="Times New Roman" w:cs="Times New Roman"/>
                <w:lang w:val="en-US" w:eastAsia="zh-CN" w:bidi="ar"/>
              </w:rPr>
            </w:pPr>
            <w:r>
              <w:rPr>
                <w:rStyle w:val="18"/>
                <w:rFonts w:hint="eastAsia" w:ascii="Times New Roman" w:hAnsi="Times New Roman" w:cs="Times New Roman"/>
                <w:lang w:val="en-US" w:eastAsia="zh-CN" w:bidi="ar"/>
              </w:rPr>
              <w:t>1</w:t>
            </w:r>
          </w:p>
        </w:tc>
        <w:tc>
          <w:tcPr>
            <w:tcW w:w="1150" w:type="dxa"/>
            <w:vMerge w:val="restart"/>
            <w:tcBorders>
              <w:top w:val="single" w:color="auto" w:sz="4" w:space="0"/>
              <w:left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Style w:val="18"/>
                <w:rFonts w:hint="default" w:ascii="Times New Roman" w:hAnsi="Times New Roman" w:cs="Times New Roman"/>
                <w:lang w:val="en-US" w:eastAsia="zh-CN" w:bidi="ar"/>
              </w:rPr>
            </w:pPr>
            <w:r>
              <w:rPr>
                <w:rStyle w:val="18"/>
                <w:rFonts w:hint="default" w:ascii="Times New Roman" w:hAnsi="Times New Roman" w:cs="Times New Roman"/>
                <w:lang w:val="en-US" w:eastAsia="zh-CN" w:bidi="ar"/>
              </w:rPr>
              <w:t>义务兵（含消防士）家庭优待金</w:t>
            </w:r>
          </w:p>
        </w:tc>
        <w:tc>
          <w:tcPr>
            <w:tcW w:w="584"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Style w:val="18"/>
                <w:rFonts w:hint="default" w:ascii="Times New Roman" w:hAnsi="Times New Roman" w:cs="Times New Roman"/>
                <w:lang w:val="en-US" w:eastAsia="zh-CN" w:bidi="ar"/>
              </w:rPr>
            </w:pPr>
            <w:r>
              <w:rPr>
                <w:rStyle w:val="18"/>
                <w:rFonts w:hint="default" w:ascii="Times New Roman" w:hAnsi="Times New Roman" w:cs="Times New Roman"/>
                <w:lang w:val="en-US" w:eastAsia="zh-CN" w:bidi="ar"/>
              </w:rPr>
              <w:t>政策补助对象数量</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Style w:val="18"/>
                <w:rFonts w:hint="default" w:ascii="Times New Roman" w:hAnsi="Times New Roman" w:cs="Times New Roman"/>
                <w:lang w:val="en-US" w:eastAsia="zh-CN" w:bidi="ar"/>
              </w:rPr>
            </w:pPr>
            <w:r>
              <w:rPr>
                <w:rStyle w:val="18"/>
                <w:rFonts w:hint="default" w:ascii="Times New Roman" w:hAnsi="Times New Roman" w:cs="Times New Roman"/>
                <w:lang w:val="en-US" w:eastAsia="zh-CN" w:bidi="ar"/>
              </w:rPr>
              <w:t>≥</w:t>
            </w:r>
          </w:p>
        </w:tc>
        <w:tc>
          <w:tcPr>
            <w:tcW w:w="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Style w:val="18"/>
                <w:rFonts w:hint="default" w:ascii="Times New Roman" w:hAnsi="Times New Roman" w:cs="Times New Roman"/>
                <w:lang w:val="en-US" w:eastAsia="zh-CN" w:bidi="ar"/>
              </w:rPr>
            </w:pPr>
            <w:r>
              <w:rPr>
                <w:rStyle w:val="18"/>
                <w:rFonts w:hint="eastAsia" w:ascii="Times New Roman" w:hAnsi="Times New Roman" w:cs="Times New Roman"/>
                <w:lang w:val="en-US" w:eastAsia="zh-CN" w:bidi="ar"/>
              </w:rPr>
              <w:t>7</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Style w:val="18"/>
                <w:rFonts w:hint="default" w:ascii="Times New Roman" w:hAnsi="Times New Roman" w:cs="Times New Roman"/>
                <w:lang w:val="en-US" w:eastAsia="zh-CN" w:bidi="ar"/>
              </w:rPr>
            </w:pPr>
            <w:r>
              <w:rPr>
                <w:rStyle w:val="18"/>
                <w:rFonts w:hint="default" w:ascii="Times New Roman" w:hAnsi="Times New Roman" w:cs="Times New Roman"/>
                <w:lang w:val="en-US" w:eastAsia="zh-CN" w:bidi="ar"/>
              </w:rPr>
              <w:t>人</w:t>
            </w:r>
          </w:p>
        </w:tc>
        <w:tc>
          <w:tcPr>
            <w:tcW w:w="8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Style w:val="18"/>
                <w:rFonts w:hint="default" w:ascii="Times New Roman" w:hAnsi="Times New Roman" w:cs="Times New Roman"/>
                <w:lang w:val="en-US" w:eastAsia="zh-CN" w:bidi="ar"/>
              </w:rPr>
            </w:pPr>
            <w:r>
              <w:rPr>
                <w:rStyle w:val="18"/>
                <w:rFonts w:hint="eastAsia" w:ascii="Times New Roman" w:hAnsi="Times New Roman" w:cs="Times New Roman"/>
                <w:lang w:val="en-US" w:eastAsia="zh-CN" w:bidi="ar"/>
              </w:rPr>
              <w:t>20</w:t>
            </w:r>
          </w:p>
        </w:tc>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Style w:val="18"/>
                <w:rFonts w:hint="default" w:ascii="Times New Roman" w:hAnsi="Times New Roman" w:cs="Times New Roman"/>
                <w:lang w:val="en-US" w:eastAsia="zh-CN" w:bidi="ar"/>
              </w:rPr>
            </w:pPr>
            <w:r>
              <w:rPr>
                <w:rStyle w:val="18"/>
                <w:rFonts w:hint="eastAsia" w:ascii="Times New Roman" w:hAnsi="Times New Roman" w:cs="Times New Roman"/>
                <w:lang w:val="en-US" w:eastAsia="zh-CN" w:bidi="ar"/>
              </w:rPr>
              <w:t>7</w:t>
            </w:r>
          </w:p>
        </w:tc>
        <w:tc>
          <w:tcPr>
            <w:tcW w:w="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Style w:val="18"/>
                <w:rFonts w:hint="default" w:ascii="Times New Roman" w:hAnsi="Times New Roman" w:cs="Times New Roman"/>
                <w:lang w:val="en-US" w:eastAsia="zh-CN" w:bidi="ar"/>
              </w:rPr>
            </w:pPr>
            <w:r>
              <w:rPr>
                <w:rStyle w:val="18"/>
                <w:rFonts w:hint="eastAsia" w:ascii="Times New Roman" w:hAnsi="Times New Roman" w:cs="Times New Roman"/>
                <w:lang w:val="en-US" w:eastAsia="zh-CN" w:bidi="ar"/>
              </w:rPr>
              <w:t>20</w:t>
            </w:r>
          </w:p>
        </w:tc>
        <w:tc>
          <w:tcPr>
            <w:tcW w:w="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Fonts w:hint="default"/>
                <w:lang w:val="en-US" w:eastAsia="zh-CN"/>
              </w:rPr>
            </w:pPr>
          </w:p>
        </w:tc>
        <w:tc>
          <w:tcPr>
            <w:tcW w:w="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Style w:val="18"/>
                <w:rFonts w:hint="default" w:ascii="Times New Roman" w:hAnsi="Times New Roman" w:cs="Times New Roman"/>
                <w:lang w:val="en-US" w:eastAsia="zh-CN" w:bidi="ar"/>
              </w:rPr>
            </w:pPr>
            <w:r>
              <w:rPr>
                <w:rStyle w:val="18"/>
                <w:rFonts w:hint="eastAsia" w:ascii="Times New Roman" w:hAnsi="Times New Roman" w:cs="Times New Roman"/>
                <w:lang w:val="en-US" w:eastAsia="zh-CN" w:bidi="ar"/>
              </w:rPr>
              <w:t>20</w:t>
            </w:r>
          </w:p>
        </w:tc>
      </w:tr>
      <w:tr>
        <w:tblPrEx>
          <w:tblLayout w:type="fixed"/>
          <w:tblCellMar>
            <w:top w:w="0" w:type="dxa"/>
            <w:left w:w="0" w:type="dxa"/>
            <w:bottom w:w="0" w:type="dxa"/>
            <w:right w:w="0" w:type="dxa"/>
          </w:tblCellMar>
        </w:tblPrEx>
        <w:trPr>
          <w:trHeight w:val="500" w:hRule="atLeast"/>
        </w:trPr>
        <w:tc>
          <w:tcPr>
            <w:tcW w:w="331" w:type="dxa"/>
            <w:vMerge w:val="continue"/>
            <w:tcBorders>
              <w:left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Style w:val="18"/>
                <w:rFonts w:hint="eastAsia" w:ascii="Times New Roman" w:hAnsi="Times New Roman" w:cs="Times New Roman"/>
                <w:lang w:val="en-US" w:eastAsia="zh-CN" w:bidi="ar"/>
              </w:rPr>
            </w:pPr>
          </w:p>
        </w:tc>
        <w:tc>
          <w:tcPr>
            <w:tcW w:w="1150" w:type="dxa"/>
            <w:vMerge w:val="continue"/>
            <w:tcBorders>
              <w:left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Style w:val="18"/>
                <w:rFonts w:hint="default" w:ascii="Times New Roman" w:hAnsi="Times New Roman" w:cs="Times New Roman"/>
                <w:lang w:val="en-US" w:eastAsia="zh-CN" w:bidi="ar"/>
              </w:rPr>
            </w:pPr>
          </w:p>
        </w:tc>
        <w:tc>
          <w:tcPr>
            <w:tcW w:w="584"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Style w:val="18"/>
                <w:rFonts w:hint="default" w:ascii="Times New Roman" w:hAnsi="Times New Roman" w:cs="Times New Roman"/>
                <w:lang w:val="en-US" w:eastAsia="zh-CN" w:bidi="ar"/>
              </w:rPr>
            </w:pPr>
            <w:r>
              <w:rPr>
                <w:rStyle w:val="18"/>
                <w:rFonts w:hint="default" w:ascii="Times New Roman" w:hAnsi="Times New Roman" w:cs="Times New Roman"/>
                <w:lang w:val="en-US" w:eastAsia="zh-CN" w:bidi="ar"/>
              </w:rPr>
              <w:t>补助资金支出合规性</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Style w:val="18"/>
                <w:rFonts w:hint="default" w:ascii="Times New Roman" w:hAnsi="Times New Roman" w:cs="Times New Roman"/>
                <w:lang w:val="en-US" w:eastAsia="zh-CN" w:bidi="ar"/>
              </w:rPr>
            </w:pPr>
            <w:r>
              <w:rPr>
                <w:rStyle w:val="18"/>
                <w:rFonts w:hint="default" w:ascii="Times New Roman" w:hAnsi="Times New Roman" w:cs="Times New Roman"/>
                <w:lang w:val="en-US" w:eastAsia="zh-CN" w:bidi="ar"/>
              </w:rPr>
              <w:t>≥</w:t>
            </w:r>
          </w:p>
        </w:tc>
        <w:tc>
          <w:tcPr>
            <w:tcW w:w="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Style w:val="18"/>
                <w:rFonts w:hint="default" w:ascii="Times New Roman" w:hAnsi="Times New Roman" w:cs="Times New Roman"/>
                <w:lang w:val="en-US" w:eastAsia="zh-CN" w:bidi="ar"/>
              </w:rPr>
            </w:pPr>
            <w:r>
              <w:rPr>
                <w:rStyle w:val="18"/>
                <w:rFonts w:hint="eastAsia" w:ascii="Times New Roman" w:hAnsi="Times New Roman" w:cs="Times New Roman"/>
                <w:lang w:val="en-US" w:eastAsia="zh-CN" w:bidi="ar"/>
              </w:rPr>
              <w:t>100</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Style w:val="18"/>
                <w:rFonts w:hint="default" w:ascii="Times New Roman" w:hAnsi="Times New Roman" w:cs="Times New Roman"/>
                <w:lang w:val="en-US" w:eastAsia="zh-CN" w:bidi="ar"/>
              </w:rPr>
            </w:pPr>
            <w:r>
              <w:rPr>
                <w:rStyle w:val="18"/>
                <w:rFonts w:hint="default" w:ascii="Times New Roman" w:hAnsi="Times New Roman" w:cs="Times New Roman"/>
                <w:lang w:val="en-US" w:eastAsia="zh-CN" w:bidi="ar"/>
              </w:rPr>
              <w:t>%</w:t>
            </w:r>
          </w:p>
        </w:tc>
        <w:tc>
          <w:tcPr>
            <w:tcW w:w="8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Style w:val="18"/>
                <w:rFonts w:hint="default" w:ascii="Times New Roman" w:hAnsi="Times New Roman" w:cs="Times New Roman"/>
                <w:lang w:val="en-US" w:eastAsia="zh-CN" w:bidi="ar"/>
              </w:rPr>
            </w:pPr>
            <w:r>
              <w:rPr>
                <w:rStyle w:val="18"/>
                <w:rFonts w:hint="eastAsia" w:ascii="Times New Roman" w:hAnsi="Times New Roman" w:cs="Times New Roman"/>
                <w:lang w:val="en-US" w:eastAsia="zh-CN" w:bidi="ar"/>
              </w:rPr>
              <w:t>20</w:t>
            </w:r>
          </w:p>
        </w:tc>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Style w:val="18"/>
                <w:rFonts w:hint="default" w:ascii="Times New Roman" w:hAnsi="Times New Roman" w:cs="Times New Roman"/>
                <w:lang w:val="en-US" w:eastAsia="zh-CN" w:bidi="ar"/>
              </w:rPr>
            </w:pPr>
            <w:r>
              <w:rPr>
                <w:rStyle w:val="18"/>
                <w:rFonts w:hint="eastAsia" w:ascii="Times New Roman" w:hAnsi="Times New Roman" w:cs="Times New Roman"/>
                <w:lang w:val="en-US" w:eastAsia="zh-CN" w:bidi="ar"/>
              </w:rPr>
              <w:t>100</w:t>
            </w:r>
          </w:p>
        </w:tc>
        <w:tc>
          <w:tcPr>
            <w:tcW w:w="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Style w:val="18"/>
                <w:rFonts w:hint="default" w:ascii="Times New Roman" w:hAnsi="Times New Roman" w:cs="Times New Roman"/>
                <w:lang w:val="en-US" w:eastAsia="zh-CN" w:bidi="ar"/>
              </w:rPr>
            </w:pPr>
            <w:r>
              <w:rPr>
                <w:rStyle w:val="18"/>
                <w:rFonts w:hint="eastAsia" w:ascii="Times New Roman" w:hAnsi="Times New Roman" w:cs="Times New Roman"/>
                <w:lang w:val="en-US" w:eastAsia="zh-CN" w:bidi="ar"/>
              </w:rPr>
              <w:t>20</w:t>
            </w:r>
          </w:p>
        </w:tc>
        <w:tc>
          <w:tcPr>
            <w:tcW w:w="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Fonts w:hint="default"/>
                <w:lang w:val="en-US" w:eastAsia="zh-CN"/>
              </w:rPr>
            </w:pPr>
          </w:p>
        </w:tc>
        <w:tc>
          <w:tcPr>
            <w:tcW w:w="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Fonts w:hint="eastAsia"/>
                <w:lang w:val="en-US" w:eastAsia="zh-CN"/>
              </w:rPr>
            </w:pPr>
            <w:r>
              <w:rPr>
                <w:rStyle w:val="18"/>
                <w:rFonts w:hint="eastAsia" w:ascii="Times New Roman" w:hAnsi="Times New Roman" w:cs="Times New Roman"/>
                <w:lang w:val="en-US" w:eastAsia="zh-CN" w:bidi="ar"/>
              </w:rPr>
              <w:t>20</w:t>
            </w:r>
          </w:p>
        </w:tc>
      </w:tr>
      <w:tr>
        <w:tblPrEx>
          <w:tblLayout w:type="fixed"/>
          <w:tblCellMar>
            <w:top w:w="0" w:type="dxa"/>
            <w:left w:w="0" w:type="dxa"/>
            <w:bottom w:w="0" w:type="dxa"/>
            <w:right w:w="0" w:type="dxa"/>
          </w:tblCellMar>
        </w:tblPrEx>
        <w:trPr>
          <w:trHeight w:val="500" w:hRule="atLeast"/>
        </w:trPr>
        <w:tc>
          <w:tcPr>
            <w:tcW w:w="331" w:type="dxa"/>
            <w:vMerge w:val="continue"/>
            <w:tcBorders>
              <w:left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Style w:val="18"/>
                <w:rFonts w:hint="default" w:ascii="Times New Roman" w:hAnsi="Times New Roman" w:cs="Times New Roman"/>
                <w:lang w:val="en-US" w:eastAsia="zh-CN" w:bidi="ar"/>
              </w:rPr>
            </w:pPr>
          </w:p>
        </w:tc>
        <w:tc>
          <w:tcPr>
            <w:tcW w:w="1150" w:type="dxa"/>
            <w:vMerge w:val="continue"/>
            <w:tcBorders>
              <w:left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Style w:val="18"/>
                <w:rFonts w:hint="default" w:ascii="Times New Roman" w:hAnsi="Times New Roman" w:cs="Times New Roman"/>
                <w:lang w:val="en-US" w:eastAsia="zh-CN" w:bidi="ar"/>
              </w:rPr>
            </w:pPr>
          </w:p>
        </w:tc>
        <w:tc>
          <w:tcPr>
            <w:tcW w:w="584"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Style w:val="18"/>
                <w:rFonts w:hint="default" w:ascii="Times New Roman" w:hAnsi="Times New Roman" w:cs="Times New Roman"/>
                <w:lang w:val="en-US" w:eastAsia="zh-CN" w:bidi="ar"/>
              </w:rPr>
            </w:pPr>
            <w:r>
              <w:rPr>
                <w:rStyle w:val="18"/>
                <w:rFonts w:hint="default" w:ascii="Times New Roman" w:hAnsi="Times New Roman" w:cs="Times New Roman"/>
                <w:lang w:val="en-US" w:eastAsia="zh-CN" w:bidi="ar"/>
              </w:rPr>
              <w:t>资金支出时效性</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Style w:val="18"/>
                <w:rFonts w:hint="default" w:ascii="Times New Roman" w:hAnsi="Times New Roman" w:cs="Times New Roman"/>
                <w:lang w:val="en-US" w:eastAsia="zh-CN" w:bidi="ar"/>
              </w:rPr>
            </w:pPr>
            <w:r>
              <w:rPr>
                <w:rStyle w:val="18"/>
                <w:rFonts w:hint="default" w:ascii="Times New Roman" w:hAnsi="Times New Roman" w:cs="Times New Roman"/>
                <w:lang w:val="en-US" w:eastAsia="zh-CN" w:bidi="ar"/>
              </w:rPr>
              <w:t>≥</w:t>
            </w:r>
          </w:p>
        </w:tc>
        <w:tc>
          <w:tcPr>
            <w:tcW w:w="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Style w:val="18"/>
                <w:rFonts w:hint="default" w:ascii="Times New Roman" w:hAnsi="Times New Roman" w:cs="Times New Roman"/>
                <w:lang w:val="en-US" w:eastAsia="zh-CN" w:bidi="ar"/>
              </w:rPr>
            </w:pPr>
            <w:r>
              <w:rPr>
                <w:rStyle w:val="18"/>
                <w:rFonts w:hint="eastAsia" w:ascii="Times New Roman" w:hAnsi="Times New Roman" w:cs="Times New Roman"/>
                <w:lang w:val="en-US" w:eastAsia="zh-CN" w:bidi="ar"/>
              </w:rPr>
              <w:t>100</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Style w:val="18"/>
                <w:rFonts w:hint="default" w:ascii="Times New Roman" w:hAnsi="Times New Roman" w:cs="Times New Roman"/>
                <w:lang w:val="en-US" w:eastAsia="zh-CN" w:bidi="ar"/>
              </w:rPr>
            </w:pPr>
            <w:r>
              <w:rPr>
                <w:rStyle w:val="18"/>
                <w:rFonts w:hint="eastAsia" w:ascii="Times New Roman" w:hAnsi="Times New Roman" w:cs="Times New Roman"/>
                <w:lang w:val="en-US" w:eastAsia="zh-CN" w:bidi="ar"/>
              </w:rPr>
              <w:t>%</w:t>
            </w:r>
          </w:p>
        </w:tc>
        <w:tc>
          <w:tcPr>
            <w:tcW w:w="8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Style w:val="18"/>
                <w:rFonts w:hint="default" w:ascii="Times New Roman" w:hAnsi="Times New Roman" w:cs="Times New Roman"/>
                <w:lang w:val="en-US" w:eastAsia="zh-CN" w:bidi="ar"/>
              </w:rPr>
            </w:pPr>
            <w:r>
              <w:rPr>
                <w:rStyle w:val="18"/>
                <w:rFonts w:hint="eastAsia" w:ascii="Times New Roman" w:hAnsi="Times New Roman" w:cs="Times New Roman"/>
                <w:lang w:val="en-US" w:eastAsia="zh-CN" w:bidi="ar"/>
              </w:rPr>
              <w:t>20</w:t>
            </w:r>
          </w:p>
        </w:tc>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Style w:val="18"/>
                <w:rFonts w:hint="default" w:ascii="Times New Roman" w:hAnsi="Times New Roman" w:cs="Times New Roman"/>
                <w:lang w:val="en-US" w:eastAsia="zh-CN" w:bidi="ar"/>
              </w:rPr>
            </w:pPr>
            <w:r>
              <w:rPr>
                <w:rStyle w:val="18"/>
                <w:rFonts w:hint="eastAsia" w:ascii="Times New Roman" w:hAnsi="Times New Roman" w:cs="Times New Roman"/>
                <w:lang w:val="en-US" w:eastAsia="zh-CN" w:bidi="ar"/>
              </w:rPr>
              <w:t>100</w:t>
            </w:r>
          </w:p>
        </w:tc>
        <w:tc>
          <w:tcPr>
            <w:tcW w:w="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Style w:val="18"/>
                <w:rFonts w:hint="default" w:ascii="Times New Roman" w:hAnsi="Times New Roman" w:cs="Times New Roman"/>
                <w:lang w:val="en-US" w:eastAsia="zh-CN" w:bidi="ar"/>
              </w:rPr>
            </w:pPr>
            <w:r>
              <w:rPr>
                <w:rStyle w:val="18"/>
                <w:rFonts w:hint="eastAsia" w:ascii="Times New Roman" w:hAnsi="Times New Roman" w:cs="Times New Roman"/>
                <w:lang w:val="en-US" w:eastAsia="zh-CN" w:bidi="ar"/>
              </w:rPr>
              <w:t>20</w:t>
            </w:r>
          </w:p>
        </w:tc>
        <w:tc>
          <w:tcPr>
            <w:tcW w:w="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Style w:val="18"/>
                <w:rFonts w:hint="default" w:ascii="Times New Roman" w:hAnsi="Times New Roman" w:cs="Times New Roman"/>
                <w:lang w:val="en-US" w:eastAsia="zh-CN" w:bidi="ar"/>
              </w:rPr>
            </w:pPr>
          </w:p>
        </w:tc>
        <w:tc>
          <w:tcPr>
            <w:tcW w:w="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Style w:val="18"/>
                <w:rFonts w:hint="default" w:ascii="Times New Roman" w:hAnsi="Times New Roman" w:cs="Times New Roman"/>
                <w:lang w:val="en-US" w:eastAsia="zh-CN" w:bidi="ar"/>
              </w:rPr>
            </w:pPr>
            <w:r>
              <w:rPr>
                <w:rStyle w:val="18"/>
                <w:rFonts w:hint="eastAsia" w:ascii="Times New Roman" w:hAnsi="Times New Roman" w:cs="Times New Roman"/>
                <w:lang w:val="en-US" w:eastAsia="zh-CN" w:bidi="ar"/>
              </w:rPr>
              <w:t>20</w:t>
            </w:r>
          </w:p>
        </w:tc>
      </w:tr>
      <w:tr>
        <w:tblPrEx>
          <w:tblLayout w:type="fixed"/>
          <w:tblCellMar>
            <w:top w:w="0" w:type="dxa"/>
            <w:left w:w="0" w:type="dxa"/>
            <w:bottom w:w="0" w:type="dxa"/>
            <w:right w:w="0" w:type="dxa"/>
          </w:tblCellMar>
        </w:tblPrEx>
        <w:trPr>
          <w:trHeight w:val="500" w:hRule="atLeast"/>
        </w:trPr>
        <w:tc>
          <w:tcPr>
            <w:tcW w:w="331" w:type="dxa"/>
            <w:vMerge w:val="continue"/>
            <w:tcBorders>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Style w:val="18"/>
                <w:rFonts w:hint="default" w:ascii="Times New Roman" w:hAnsi="Times New Roman" w:cs="Times New Roman"/>
                <w:lang w:val="en-US" w:eastAsia="zh-CN" w:bidi="ar"/>
              </w:rPr>
            </w:pPr>
          </w:p>
        </w:tc>
        <w:tc>
          <w:tcPr>
            <w:tcW w:w="1150" w:type="dxa"/>
            <w:vMerge w:val="continue"/>
            <w:tcBorders>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Style w:val="18"/>
                <w:rFonts w:hint="default" w:ascii="Times New Roman" w:hAnsi="Times New Roman" w:cs="Times New Roman"/>
                <w:lang w:val="en-US" w:eastAsia="zh-CN" w:bidi="ar"/>
              </w:rPr>
            </w:pPr>
          </w:p>
        </w:tc>
        <w:tc>
          <w:tcPr>
            <w:tcW w:w="584"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Style w:val="18"/>
                <w:rFonts w:hint="default" w:ascii="Times New Roman" w:hAnsi="Times New Roman" w:cs="Times New Roman"/>
                <w:lang w:val="en-US" w:eastAsia="zh-CN" w:bidi="ar"/>
              </w:rPr>
            </w:pPr>
            <w:r>
              <w:rPr>
                <w:rStyle w:val="18"/>
                <w:rFonts w:hint="default" w:ascii="Times New Roman" w:hAnsi="Times New Roman" w:cs="Times New Roman"/>
                <w:lang w:val="en-US" w:eastAsia="zh-CN" w:bidi="ar"/>
              </w:rPr>
              <w:t>义务兵家庭每年增加收入</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Style w:val="18"/>
                <w:rFonts w:hint="default" w:ascii="Times New Roman" w:hAnsi="Times New Roman" w:cs="Times New Roman"/>
                <w:lang w:val="en-US" w:eastAsia="zh-CN" w:bidi="ar"/>
              </w:rPr>
            </w:pPr>
            <w:r>
              <w:rPr>
                <w:rStyle w:val="18"/>
                <w:rFonts w:hint="default" w:ascii="Times New Roman" w:hAnsi="Times New Roman" w:cs="Times New Roman"/>
                <w:lang w:val="en-US" w:eastAsia="zh-CN" w:bidi="ar"/>
              </w:rPr>
              <w:t>≥</w:t>
            </w:r>
          </w:p>
        </w:tc>
        <w:tc>
          <w:tcPr>
            <w:tcW w:w="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Style w:val="18"/>
                <w:rFonts w:hint="eastAsia" w:ascii="Times New Roman" w:hAnsi="Times New Roman" w:cs="Times New Roman"/>
                <w:lang w:val="en-US" w:eastAsia="zh-CN" w:bidi="ar"/>
              </w:rPr>
            </w:pPr>
            <w:r>
              <w:rPr>
                <w:rStyle w:val="18"/>
                <w:rFonts w:hint="eastAsia" w:ascii="Times New Roman" w:hAnsi="Times New Roman" w:cs="Times New Roman"/>
                <w:lang w:val="en-US" w:eastAsia="zh-CN" w:bidi="ar"/>
              </w:rPr>
              <w:t>6823</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Style w:val="18"/>
                <w:rFonts w:hint="eastAsia" w:ascii="Times New Roman" w:hAnsi="Times New Roman" w:cs="Times New Roman"/>
                <w:lang w:val="en-US" w:eastAsia="zh-CN" w:bidi="ar"/>
              </w:rPr>
            </w:pPr>
            <w:r>
              <w:rPr>
                <w:rStyle w:val="18"/>
                <w:rFonts w:hint="eastAsia" w:ascii="Times New Roman" w:hAnsi="Times New Roman" w:cs="Times New Roman"/>
                <w:lang w:val="en-US" w:eastAsia="zh-CN" w:bidi="ar"/>
              </w:rPr>
              <w:t>元</w:t>
            </w:r>
          </w:p>
        </w:tc>
        <w:tc>
          <w:tcPr>
            <w:tcW w:w="8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Style w:val="18"/>
                <w:rFonts w:hint="default" w:ascii="Times New Roman" w:hAnsi="Times New Roman" w:cs="Times New Roman"/>
                <w:lang w:val="en-US" w:eastAsia="zh-CN" w:bidi="ar"/>
              </w:rPr>
            </w:pPr>
            <w:r>
              <w:rPr>
                <w:rStyle w:val="18"/>
                <w:rFonts w:hint="eastAsia" w:ascii="Times New Roman" w:hAnsi="Times New Roman" w:cs="Times New Roman"/>
                <w:lang w:val="en-US" w:eastAsia="zh-CN" w:bidi="ar"/>
              </w:rPr>
              <w:t>30</w:t>
            </w:r>
          </w:p>
        </w:tc>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Style w:val="18"/>
                <w:rFonts w:hint="eastAsia" w:ascii="Times New Roman" w:hAnsi="Times New Roman" w:cs="Times New Roman"/>
                <w:lang w:val="en-US" w:eastAsia="zh-CN" w:bidi="ar"/>
              </w:rPr>
            </w:pPr>
            <w:r>
              <w:rPr>
                <w:rStyle w:val="18"/>
                <w:rFonts w:hint="eastAsia" w:ascii="Times New Roman" w:hAnsi="Times New Roman" w:cs="Times New Roman"/>
                <w:lang w:val="en-US" w:eastAsia="zh-CN" w:bidi="ar"/>
              </w:rPr>
              <w:t>6823</w:t>
            </w:r>
          </w:p>
        </w:tc>
        <w:tc>
          <w:tcPr>
            <w:tcW w:w="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Style w:val="18"/>
                <w:rFonts w:hint="eastAsia" w:ascii="Times New Roman" w:hAnsi="Times New Roman" w:cs="Times New Roman"/>
                <w:lang w:val="en-US" w:eastAsia="zh-CN" w:bidi="ar"/>
              </w:rPr>
            </w:pPr>
            <w:r>
              <w:rPr>
                <w:rStyle w:val="18"/>
                <w:rFonts w:hint="eastAsia" w:ascii="Times New Roman" w:hAnsi="Times New Roman" w:cs="Times New Roman"/>
                <w:lang w:val="en-US" w:eastAsia="zh-CN" w:bidi="ar"/>
              </w:rPr>
              <w:t>30</w:t>
            </w:r>
          </w:p>
        </w:tc>
        <w:tc>
          <w:tcPr>
            <w:tcW w:w="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Style w:val="18"/>
                <w:rFonts w:hint="default" w:ascii="Times New Roman" w:hAnsi="Times New Roman" w:cs="Times New Roman"/>
                <w:lang w:val="en-US" w:eastAsia="zh-CN" w:bidi="ar"/>
              </w:rPr>
            </w:pPr>
          </w:p>
        </w:tc>
        <w:tc>
          <w:tcPr>
            <w:tcW w:w="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Style w:val="18"/>
                <w:rFonts w:hint="eastAsia" w:ascii="Times New Roman" w:hAnsi="Times New Roman" w:cs="Times New Roman"/>
                <w:lang w:val="en-US" w:eastAsia="zh-CN" w:bidi="ar"/>
              </w:rPr>
            </w:pPr>
            <w:r>
              <w:rPr>
                <w:rStyle w:val="18"/>
                <w:rFonts w:hint="eastAsia" w:ascii="Times New Roman" w:hAnsi="Times New Roman" w:cs="Times New Roman"/>
                <w:lang w:val="en-US" w:eastAsia="zh-CN" w:bidi="ar"/>
              </w:rPr>
              <w:t>30</w:t>
            </w:r>
          </w:p>
        </w:tc>
      </w:tr>
    </w:tbl>
    <w:p>
      <w:pPr>
        <w:rPr>
          <w:rStyle w:val="9"/>
          <w:rFonts w:hint="eastAsia" w:ascii="Times New Roman" w:hAnsi="Times New Roman" w:eastAsia="方正楷体_GBK" w:cs="Times New Roman"/>
          <w:b w:val="0"/>
          <w:bCs/>
          <w:sz w:val="32"/>
          <w:szCs w:val="32"/>
          <w:shd w:val="clear" w:color="auto" w:fill="FFFFFF"/>
          <w:lang w:val="en-US" w:eastAsia="zh-CN"/>
        </w:rPr>
      </w:pPr>
      <w:r>
        <w:rPr>
          <w:rStyle w:val="9"/>
          <w:rFonts w:hint="eastAsia" w:ascii="Times New Roman" w:hAnsi="Times New Roman" w:eastAsia="方正楷体_GBK" w:cs="Times New Roman"/>
          <w:b w:val="0"/>
          <w:bCs/>
          <w:sz w:val="32"/>
          <w:szCs w:val="32"/>
          <w:shd w:val="clear" w:color="auto" w:fill="FFFFFF"/>
          <w:lang w:val="en-US" w:eastAsia="zh-CN"/>
        </w:rPr>
        <w:br w:type="page"/>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9"/>
          <w:rFonts w:hint="default" w:ascii="Times New Roman" w:hAnsi="Times New Roman" w:eastAsia="方正楷体_GBK" w:cs="Times New Roman"/>
          <w:b w:val="0"/>
          <w:bCs/>
          <w:sz w:val="32"/>
          <w:szCs w:val="32"/>
          <w:shd w:val="clear" w:color="auto" w:fill="FFFFFF"/>
          <w:lang w:val="en-US" w:eastAsia="zh-CN"/>
        </w:rPr>
      </w:pPr>
      <w:r>
        <w:rPr>
          <w:rStyle w:val="9"/>
          <w:rFonts w:hint="eastAsia" w:ascii="Times New Roman" w:hAnsi="Times New Roman" w:eastAsia="方正楷体_GBK" w:cs="Times New Roman"/>
          <w:b w:val="0"/>
          <w:bCs/>
          <w:sz w:val="32"/>
          <w:szCs w:val="32"/>
          <w:shd w:val="clear" w:color="auto" w:fill="FFFFFF"/>
          <w:lang w:val="en-US" w:eastAsia="zh-CN"/>
        </w:rPr>
        <w:t>（二）单位绩效评价情况</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22"/>
          <w:vertAlign w:val="baseline"/>
          <w:lang w:val="en-US" w:eastAsia="zh-CN" w:bidi="ar-SA"/>
        </w:rPr>
      </w:pPr>
      <w:r>
        <w:rPr>
          <w:rFonts w:hint="eastAsia" w:ascii="Times New Roman" w:hAnsi="Times New Roman" w:eastAsia="方正仿宋_GBK" w:cs="Times New Roman"/>
          <w:kern w:val="2"/>
          <w:sz w:val="32"/>
          <w:szCs w:val="22"/>
          <w:vertAlign w:val="baseline"/>
          <w:lang w:val="en-US" w:eastAsia="zh-CN" w:bidi="ar-SA"/>
        </w:rPr>
        <w:t>我单位未组织开展绩效评价。</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9"/>
          <w:rFonts w:hint="default" w:ascii="Times New Roman" w:hAnsi="Times New Roman" w:eastAsia="方正楷体_GBK" w:cs="Times New Roman"/>
          <w:b w:val="0"/>
          <w:bCs/>
          <w:sz w:val="32"/>
          <w:szCs w:val="32"/>
          <w:shd w:val="clear" w:color="auto" w:fill="FFFFFF"/>
          <w:lang w:val="en-US" w:eastAsia="zh-CN"/>
        </w:rPr>
      </w:pPr>
      <w:r>
        <w:rPr>
          <w:rStyle w:val="9"/>
          <w:rFonts w:hint="eastAsia" w:ascii="Times New Roman" w:hAnsi="Times New Roman" w:eastAsia="方正楷体_GBK" w:cs="Times New Roman"/>
          <w:b w:val="0"/>
          <w:bCs/>
          <w:sz w:val="32"/>
          <w:szCs w:val="32"/>
          <w:shd w:val="clear" w:color="auto" w:fill="FFFFFF"/>
          <w:lang w:val="en-US" w:eastAsia="zh-CN"/>
        </w:rPr>
        <w:t>（三）财政绩效评价情况</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22"/>
          <w:vertAlign w:val="baseline"/>
          <w:lang w:val="en-US" w:eastAsia="zh-CN" w:bidi="ar-SA"/>
        </w:rPr>
      </w:pPr>
      <w:r>
        <w:rPr>
          <w:rFonts w:hint="eastAsia" w:ascii="Times New Roman" w:hAnsi="Times New Roman" w:eastAsia="方正仿宋_GBK" w:cs="Times New Roman"/>
          <w:kern w:val="2"/>
          <w:sz w:val="32"/>
          <w:szCs w:val="22"/>
          <w:vertAlign w:val="baseline"/>
          <w:lang w:val="en-US" w:eastAsia="zh-CN" w:bidi="ar-SA"/>
        </w:rPr>
        <w:t>县财政局未委托第三方对我单位开展绩效评价。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atLeast"/>
        <w:ind w:firstLine="608" w:firstLineChars="200"/>
        <w:jc w:val="both"/>
        <w:textAlignment w:val="auto"/>
        <w:outlineLvl w:val="9"/>
        <w:rPr>
          <w:rFonts w:hint="default" w:ascii="Times New Roman" w:hAnsi="Times New Roman" w:eastAsia="方正黑体_GBK" w:cs="Times New Roman"/>
          <w:w w:val="95"/>
          <w:kern w:val="2"/>
          <w:sz w:val="32"/>
          <w:szCs w:val="32"/>
          <w:lang w:val="en-US" w:eastAsia="zh-CN"/>
        </w:rPr>
      </w:pPr>
      <w:r>
        <w:rPr>
          <w:rFonts w:hint="default" w:ascii="Times New Roman" w:hAnsi="Times New Roman" w:eastAsia="方正黑体_GBK" w:cs="Times New Roman"/>
          <w:w w:val="95"/>
          <w:kern w:val="2"/>
          <w:sz w:val="32"/>
          <w:szCs w:val="32"/>
          <w:lang w:val="en-US" w:eastAsia="zh-CN"/>
        </w:rPr>
        <w:t>六、专业名词解释</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22"/>
          <w:vertAlign w:val="baseline"/>
          <w:lang w:val="en-US" w:eastAsia="zh-CN" w:bidi="ar-SA"/>
        </w:rPr>
      </w:pPr>
      <w:r>
        <w:rPr>
          <w:rStyle w:val="9"/>
          <w:rFonts w:hint="default" w:ascii="Times New Roman" w:hAnsi="Times New Roman" w:eastAsia="方正楷体_GBK" w:cs="Times New Roman"/>
          <w:b w:val="0"/>
          <w:bCs/>
          <w:sz w:val="32"/>
          <w:szCs w:val="32"/>
          <w:shd w:val="clear" w:color="auto" w:fill="FFFFFF"/>
          <w:lang w:val="en-US" w:eastAsia="zh-CN"/>
        </w:rPr>
        <w:t>（一）财政拨款收入：</w:t>
      </w:r>
      <w:r>
        <w:rPr>
          <w:rFonts w:hint="default" w:ascii="Times New Roman" w:hAnsi="Times New Roman" w:eastAsia="方正仿宋_GBK" w:cs="Times New Roman"/>
          <w:kern w:val="2"/>
          <w:sz w:val="32"/>
          <w:szCs w:val="22"/>
          <w:vertAlign w:val="baseline"/>
          <w:lang w:val="en-US" w:eastAsia="zh-CN" w:bidi="ar-SA"/>
        </w:rPr>
        <w:t>指本年度从本级财政部门取得的财政拨款，包括一般公共预算财政拨款和政府性基金预算财政拨款。</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22"/>
          <w:vertAlign w:val="baseline"/>
          <w:lang w:val="en-US" w:eastAsia="zh-CN" w:bidi="ar-SA"/>
        </w:rPr>
      </w:pPr>
      <w:r>
        <w:rPr>
          <w:rStyle w:val="9"/>
          <w:rFonts w:hint="default" w:ascii="Times New Roman" w:hAnsi="Times New Roman" w:eastAsia="方正楷体_GBK" w:cs="Times New Roman"/>
          <w:b w:val="0"/>
          <w:bCs/>
          <w:sz w:val="32"/>
          <w:szCs w:val="32"/>
          <w:shd w:val="clear" w:color="auto" w:fill="FFFFFF"/>
          <w:lang w:val="en-US" w:eastAsia="zh-CN"/>
        </w:rPr>
        <w:t>（二）事业收入：</w:t>
      </w:r>
      <w:r>
        <w:rPr>
          <w:rFonts w:hint="default" w:ascii="Times New Roman" w:hAnsi="Times New Roman" w:eastAsia="方正仿宋_GBK" w:cs="Times New Roman"/>
          <w:kern w:val="2"/>
          <w:sz w:val="32"/>
          <w:szCs w:val="22"/>
          <w:vertAlign w:val="baseline"/>
          <w:lang w:val="en-US" w:eastAsia="zh-CN" w:bidi="ar-SA"/>
        </w:rPr>
        <w:t>指事业单位开展专业业务活动及其辅助活动取得的现金流入；事业单位收到的财政专户实际核拨的教育收费等资金在此反映。</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22"/>
          <w:vertAlign w:val="baseline"/>
          <w:lang w:val="en-US" w:eastAsia="zh-CN" w:bidi="ar-SA"/>
        </w:rPr>
      </w:pPr>
      <w:r>
        <w:rPr>
          <w:rStyle w:val="9"/>
          <w:rFonts w:hint="default" w:ascii="Times New Roman" w:hAnsi="Times New Roman" w:eastAsia="方正楷体_GBK" w:cs="Times New Roman"/>
          <w:b w:val="0"/>
          <w:bCs/>
          <w:sz w:val="32"/>
          <w:szCs w:val="32"/>
          <w:shd w:val="clear" w:color="auto" w:fill="FFFFFF"/>
          <w:lang w:val="en-US" w:eastAsia="zh-CN"/>
        </w:rPr>
        <w:t>（三）经营收入：</w:t>
      </w:r>
      <w:r>
        <w:rPr>
          <w:rFonts w:hint="default" w:ascii="Times New Roman" w:hAnsi="Times New Roman" w:eastAsia="方正仿宋_GBK" w:cs="Times New Roman"/>
          <w:kern w:val="2"/>
          <w:sz w:val="32"/>
          <w:szCs w:val="22"/>
          <w:vertAlign w:val="baseline"/>
          <w:lang w:val="en-US" w:eastAsia="zh-CN" w:bidi="ar-SA"/>
        </w:rPr>
        <w:t>指事业单位在专业业务活动及其辅助活动之外开展非独立核算经营活动取得的现金流入。</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22"/>
          <w:vertAlign w:val="baseline"/>
          <w:lang w:val="en-US" w:eastAsia="zh-CN" w:bidi="ar-SA"/>
        </w:rPr>
      </w:pPr>
      <w:r>
        <w:rPr>
          <w:rStyle w:val="9"/>
          <w:rFonts w:hint="default" w:ascii="Times New Roman" w:hAnsi="Times New Roman" w:eastAsia="方正楷体_GBK" w:cs="Times New Roman"/>
          <w:b w:val="0"/>
          <w:bCs/>
          <w:sz w:val="32"/>
          <w:szCs w:val="32"/>
          <w:shd w:val="clear" w:color="auto" w:fill="FFFFFF"/>
          <w:lang w:val="en-US" w:eastAsia="zh-CN"/>
        </w:rPr>
        <w:t>（四）其他收入：</w:t>
      </w:r>
      <w:r>
        <w:rPr>
          <w:rFonts w:hint="default" w:ascii="Times New Roman" w:hAnsi="Times New Roman" w:eastAsia="方正仿宋_GBK" w:cs="Times New Roman"/>
          <w:kern w:val="2"/>
          <w:sz w:val="32"/>
          <w:szCs w:val="22"/>
          <w:vertAlign w:val="baseline"/>
          <w:lang w:val="en-US" w:eastAsia="zh-CN" w:bidi="ar-SA"/>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22"/>
          <w:vertAlign w:val="baseline"/>
          <w:lang w:val="en-US" w:eastAsia="zh-CN" w:bidi="ar-SA"/>
        </w:rPr>
      </w:pPr>
      <w:r>
        <w:rPr>
          <w:rStyle w:val="9"/>
          <w:rFonts w:hint="default" w:ascii="Times New Roman" w:hAnsi="Times New Roman" w:eastAsia="方正楷体_GBK" w:cs="Times New Roman"/>
          <w:b w:val="0"/>
          <w:bCs/>
          <w:sz w:val="32"/>
          <w:szCs w:val="32"/>
          <w:shd w:val="clear" w:color="auto" w:fill="FFFFFF"/>
          <w:lang w:val="en-US" w:eastAsia="zh-CN"/>
        </w:rPr>
        <w:t>（五）使用非财政拨款结余：</w:t>
      </w:r>
      <w:r>
        <w:rPr>
          <w:rFonts w:hint="default" w:ascii="Times New Roman" w:hAnsi="Times New Roman" w:eastAsia="方正仿宋_GBK" w:cs="Times New Roman"/>
          <w:kern w:val="2"/>
          <w:sz w:val="32"/>
          <w:szCs w:val="22"/>
          <w:vertAlign w:val="baseline"/>
          <w:lang w:val="en-US" w:eastAsia="zh-CN" w:bidi="ar-SA"/>
        </w:rPr>
        <w:t>指单位在当年的“财政拨款收入”、“事业收入”、“经营收入”、“其他收入”等不足以安排当年支出的情况下，使用以前年度积累的非财政拨款结余弥补本年度收支缺口的资金。</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22"/>
          <w:vertAlign w:val="baseline"/>
          <w:lang w:val="en-US" w:eastAsia="zh-CN" w:bidi="ar-SA"/>
        </w:rPr>
      </w:pPr>
      <w:r>
        <w:rPr>
          <w:rStyle w:val="9"/>
          <w:rFonts w:hint="default" w:ascii="Times New Roman" w:hAnsi="Times New Roman" w:eastAsia="方正楷体_GBK" w:cs="Times New Roman"/>
          <w:b w:val="0"/>
          <w:bCs/>
          <w:sz w:val="32"/>
          <w:szCs w:val="32"/>
          <w:shd w:val="clear" w:color="auto" w:fill="FFFFFF"/>
          <w:lang w:val="en-US" w:eastAsia="zh-CN"/>
        </w:rPr>
        <w:t>（六）年初结转和结余：</w:t>
      </w:r>
      <w:r>
        <w:rPr>
          <w:rFonts w:hint="default" w:ascii="Times New Roman" w:hAnsi="Times New Roman" w:eastAsia="方正仿宋_GBK" w:cs="Times New Roman"/>
          <w:kern w:val="2"/>
          <w:sz w:val="32"/>
          <w:szCs w:val="22"/>
          <w:vertAlign w:val="baseline"/>
          <w:lang w:val="en-US" w:eastAsia="zh-CN" w:bidi="ar-SA"/>
        </w:rPr>
        <w:t>指单位上年结转本年使用的基本支出结转、项目支出结转和结余、经营结余。</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22"/>
          <w:vertAlign w:val="baseline"/>
          <w:lang w:val="en-US" w:eastAsia="zh-CN" w:bidi="ar-SA"/>
        </w:rPr>
      </w:pPr>
      <w:r>
        <w:rPr>
          <w:rStyle w:val="9"/>
          <w:rFonts w:hint="default" w:ascii="Times New Roman" w:hAnsi="Times New Roman" w:eastAsia="方正楷体_GBK" w:cs="Times New Roman"/>
          <w:b w:val="0"/>
          <w:bCs/>
          <w:sz w:val="32"/>
          <w:szCs w:val="32"/>
          <w:shd w:val="clear" w:color="auto" w:fill="FFFFFF"/>
          <w:lang w:val="en-US" w:eastAsia="zh-CN"/>
        </w:rPr>
        <w:t>（七）结余分配：</w:t>
      </w:r>
      <w:r>
        <w:rPr>
          <w:rFonts w:hint="default" w:ascii="Times New Roman" w:hAnsi="Times New Roman" w:eastAsia="方正仿宋_GBK" w:cs="Times New Roman"/>
          <w:kern w:val="2"/>
          <w:sz w:val="32"/>
          <w:szCs w:val="22"/>
          <w:vertAlign w:val="baseline"/>
          <w:lang w:val="en-US" w:eastAsia="zh-CN" w:bidi="ar-SA"/>
        </w:rPr>
        <w:t>指单位按照国家有关规定，缴纳所得税、提取专用基金、转入非财政拨款结余等当年结余的分配情况。</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22"/>
          <w:vertAlign w:val="baseline"/>
          <w:lang w:val="en-US" w:eastAsia="zh-CN" w:bidi="ar-SA"/>
        </w:rPr>
      </w:pPr>
      <w:r>
        <w:rPr>
          <w:rStyle w:val="9"/>
          <w:rFonts w:hint="default" w:ascii="Times New Roman" w:hAnsi="Times New Roman" w:eastAsia="方正楷体_GBK" w:cs="Times New Roman"/>
          <w:b w:val="0"/>
          <w:bCs/>
          <w:sz w:val="32"/>
          <w:szCs w:val="32"/>
          <w:shd w:val="clear" w:color="auto" w:fill="FFFFFF"/>
          <w:lang w:val="en-US" w:eastAsia="zh-CN"/>
        </w:rPr>
        <w:t>（八）年末结转和结余：</w:t>
      </w:r>
      <w:r>
        <w:rPr>
          <w:rFonts w:hint="default" w:ascii="Times New Roman" w:hAnsi="Times New Roman" w:eastAsia="方正仿宋_GBK" w:cs="Times New Roman"/>
          <w:kern w:val="2"/>
          <w:sz w:val="32"/>
          <w:szCs w:val="22"/>
          <w:vertAlign w:val="baseline"/>
          <w:lang w:val="en-US" w:eastAsia="zh-CN" w:bidi="ar-SA"/>
        </w:rPr>
        <w:t>指单位结转下年的基本支出结转、项目支出结转和结余、经营结余。</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22"/>
          <w:vertAlign w:val="baseline"/>
          <w:lang w:val="en-US" w:eastAsia="zh-CN" w:bidi="ar-SA"/>
        </w:rPr>
      </w:pPr>
      <w:r>
        <w:rPr>
          <w:rStyle w:val="9"/>
          <w:rFonts w:hint="default" w:ascii="Times New Roman" w:hAnsi="Times New Roman" w:eastAsia="方正楷体_GBK" w:cs="Times New Roman"/>
          <w:b w:val="0"/>
          <w:bCs/>
          <w:sz w:val="32"/>
          <w:szCs w:val="32"/>
          <w:shd w:val="clear" w:color="auto" w:fill="FFFFFF"/>
          <w:lang w:val="en-US" w:eastAsia="zh-CN"/>
        </w:rPr>
        <w:t>（九）基本支出：</w:t>
      </w:r>
      <w:r>
        <w:rPr>
          <w:rFonts w:hint="default" w:ascii="Times New Roman" w:hAnsi="Times New Roman" w:eastAsia="方正仿宋_GBK" w:cs="Times New Roman"/>
          <w:kern w:val="2"/>
          <w:sz w:val="32"/>
          <w:szCs w:val="22"/>
          <w:vertAlign w:val="baseline"/>
          <w:lang w:val="en-US" w:eastAsia="zh-CN" w:bidi="ar-SA"/>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22"/>
          <w:vertAlign w:val="baseline"/>
          <w:lang w:val="en-US" w:eastAsia="zh-CN" w:bidi="ar-SA"/>
        </w:rPr>
      </w:pPr>
      <w:r>
        <w:rPr>
          <w:rStyle w:val="9"/>
          <w:rFonts w:hint="default" w:ascii="Times New Roman" w:hAnsi="Times New Roman" w:eastAsia="方正楷体_GBK" w:cs="Times New Roman"/>
          <w:b w:val="0"/>
          <w:bCs/>
          <w:sz w:val="32"/>
          <w:szCs w:val="32"/>
          <w:shd w:val="clear" w:color="auto" w:fill="FFFFFF"/>
          <w:lang w:val="en-US" w:eastAsia="zh-CN"/>
        </w:rPr>
        <w:t>（十）项目支出：</w:t>
      </w:r>
      <w:r>
        <w:rPr>
          <w:rFonts w:hint="default" w:ascii="Times New Roman" w:hAnsi="Times New Roman" w:eastAsia="方正仿宋_GBK" w:cs="Times New Roman"/>
          <w:kern w:val="2"/>
          <w:sz w:val="32"/>
          <w:szCs w:val="22"/>
          <w:vertAlign w:val="baseline"/>
          <w:lang w:val="en-US" w:eastAsia="zh-CN" w:bidi="ar-SA"/>
        </w:rPr>
        <w:t>指在基本支出之外为完成特定行政任务和事业发展目标所发生的支出。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22"/>
          <w:vertAlign w:val="baseline"/>
          <w:lang w:val="en-US" w:eastAsia="zh-CN" w:bidi="ar-SA"/>
        </w:rPr>
      </w:pPr>
      <w:r>
        <w:rPr>
          <w:rStyle w:val="9"/>
          <w:rFonts w:hint="default" w:ascii="Times New Roman" w:hAnsi="Times New Roman" w:eastAsia="方正楷体_GBK" w:cs="Times New Roman"/>
          <w:b w:val="0"/>
          <w:bCs/>
          <w:sz w:val="32"/>
          <w:szCs w:val="32"/>
          <w:shd w:val="clear" w:color="auto" w:fill="FFFFFF"/>
          <w:lang w:val="en-US" w:eastAsia="zh-CN"/>
        </w:rPr>
        <w:t>（十一）经营支出：</w:t>
      </w:r>
      <w:r>
        <w:rPr>
          <w:rFonts w:hint="default" w:ascii="Times New Roman" w:hAnsi="Times New Roman" w:eastAsia="方正仿宋_GBK" w:cs="Times New Roman"/>
          <w:kern w:val="2"/>
          <w:sz w:val="32"/>
          <w:szCs w:val="22"/>
          <w:vertAlign w:val="baseline"/>
          <w:lang w:val="en-US" w:eastAsia="zh-CN" w:bidi="ar-SA"/>
        </w:rPr>
        <w:t>指事业单位在专业业务活动及其辅助活动之外开展非独立核算经营活动发生的支出。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22"/>
          <w:vertAlign w:val="baseline"/>
          <w:lang w:val="en-US" w:eastAsia="zh-CN" w:bidi="ar-SA"/>
        </w:rPr>
      </w:pPr>
      <w:r>
        <w:rPr>
          <w:rStyle w:val="9"/>
          <w:rFonts w:hint="default" w:ascii="Times New Roman" w:hAnsi="Times New Roman" w:eastAsia="方正楷体_GBK" w:cs="Times New Roman"/>
          <w:b w:val="0"/>
          <w:bCs/>
          <w:sz w:val="32"/>
          <w:szCs w:val="32"/>
          <w:shd w:val="clear" w:color="auto" w:fill="FFFFFF"/>
          <w:lang w:val="en-US" w:eastAsia="zh-CN"/>
        </w:rPr>
        <w:t>（十二）“三公”经费：</w:t>
      </w:r>
      <w:r>
        <w:rPr>
          <w:rFonts w:hint="default" w:ascii="Times New Roman" w:hAnsi="Times New Roman" w:eastAsia="方正仿宋_GBK" w:cs="Times New Roman"/>
          <w:kern w:val="2"/>
          <w:sz w:val="32"/>
          <w:szCs w:val="22"/>
          <w:vertAlign w:val="baseline"/>
          <w:lang w:val="en-US" w:eastAsia="zh-CN" w:bidi="ar-SA"/>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22"/>
          <w:vertAlign w:val="baseline"/>
          <w:lang w:val="en-US" w:eastAsia="zh-CN" w:bidi="ar-SA"/>
        </w:rPr>
      </w:pPr>
      <w:r>
        <w:rPr>
          <w:rStyle w:val="9"/>
          <w:rFonts w:hint="default" w:ascii="Times New Roman" w:hAnsi="Times New Roman" w:eastAsia="方正楷体_GBK" w:cs="Times New Roman"/>
          <w:b w:val="0"/>
          <w:bCs/>
          <w:sz w:val="32"/>
          <w:szCs w:val="32"/>
          <w:shd w:val="clear" w:color="auto" w:fill="FFFFFF"/>
          <w:lang w:val="en-US" w:eastAsia="zh-CN"/>
        </w:rPr>
        <w:t>（十三）机关运行经费：</w:t>
      </w:r>
      <w:r>
        <w:rPr>
          <w:rFonts w:hint="default" w:ascii="Times New Roman" w:hAnsi="Times New Roman" w:eastAsia="方正仿宋_GBK" w:cs="Times New Roman"/>
          <w:kern w:val="2"/>
          <w:sz w:val="32"/>
          <w:szCs w:val="22"/>
          <w:vertAlign w:val="baseline"/>
          <w:lang w:val="en-US" w:eastAsia="zh-CN" w:bidi="ar-SA"/>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22"/>
          <w:vertAlign w:val="baseline"/>
          <w:lang w:val="en-US" w:eastAsia="zh-CN" w:bidi="ar-SA"/>
        </w:rPr>
      </w:pPr>
      <w:r>
        <w:rPr>
          <w:rStyle w:val="9"/>
          <w:rFonts w:hint="default" w:ascii="Times New Roman" w:hAnsi="Times New Roman" w:eastAsia="方正楷体_GBK" w:cs="Times New Roman"/>
          <w:b w:val="0"/>
          <w:bCs/>
          <w:sz w:val="32"/>
          <w:szCs w:val="32"/>
          <w:shd w:val="clear" w:color="auto" w:fill="FFFFFF"/>
          <w:lang w:val="en-US" w:eastAsia="zh-CN"/>
        </w:rPr>
        <w:t>（十四）工资福利支出（支出经济分类科目类级）：</w:t>
      </w:r>
      <w:r>
        <w:rPr>
          <w:rFonts w:hint="default" w:ascii="Times New Roman" w:hAnsi="Times New Roman" w:eastAsia="方正仿宋_GBK" w:cs="Times New Roman"/>
          <w:kern w:val="2"/>
          <w:sz w:val="32"/>
          <w:szCs w:val="22"/>
          <w:vertAlign w:val="baseline"/>
          <w:lang w:val="en-US" w:eastAsia="zh-CN" w:bidi="ar-SA"/>
        </w:rPr>
        <w:t>反映单位开支的在职职工和编制外长期聘用人员的各类劳动报酬，以及为上述人员缴纳的各项社会保险费等。</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22"/>
          <w:vertAlign w:val="baseline"/>
          <w:lang w:val="en-US" w:eastAsia="zh-CN" w:bidi="ar-SA"/>
        </w:rPr>
      </w:pPr>
      <w:r>
        <w:rPr>
          <w:rStyle w:val="9"/>
          <w:rFonts w:hint="default" w:ascii="Times New Roman" w:hAnsi="Times New Roman" w:eastAsia="方正楷体_GBK" w:cs="Times New Roman"/>
          <w:b w:val="0"/>
          <w:bCs/>
          <w:sz w:val="32"/>
          <w:szCs w:val="32"/>
          <w:shd w:val="clear" w:color="auto" w:fill="FFFFFF"/>
          <w:lang w:val="en-US" w:eastAsia="zh-CN"/>
        </w:rPr>
        <w:t>（十五）商品和服务支出（支出经济分类科目类级）：</w:t>
      </w:r>
      <w:r>
        <w:rPr>
          <w:rFonts w:hint="default" w:ascii="Times New Roman" w:hAnsi="Times New Roman" w:eastAsia="方正仿宋_GBK" w:cs="Times New Roman"/>
          <w:kern w:val="2"/>
          <w:sz w:val="32"/>
          <w:szCs w:val="22"/>
          <w:vertAlign w:val="baseline"/>
          <w:lang w:val="en-US" w:eastAsia="zh-CN" w:bidi="ar-SA"/>
        </w:rPr>
        <w:t>反映单位购买商品和服务的支出（不包括用于购置固定资产的支出、战略性和应急储备支出）。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22"/>
          <w:vertAlign w:val="baseline"/>
          <w:lang w:val="en-US" w:eastAsia="zh-CN" w:bidi="ar-SA"/>
        </w:rPr>
      </w:pPr>
      <w:r>
        <w:rPr>
          <w:rStyle w:val="9"/>
          <w:rFonts w:hint="default" w:ascii="Times New Roman" w:hAnsi="Times New Roman" w:eastAsia="方正楷体_GBK" w:cs="Times New Roman"/>
          <w:b w:val="0"/>
          <w:bCs/>
          <w:sz w:val="32"/>
          <w:szCs w:val="32"/>
          <w:shd w:val="clear" w:color="auto" w:fill="FFFFFF"/>
          <w:lang w:val="en-US" w:eastAsia="zh-CN"/>
        </w:rPr>
        <w:t>（十六）对个人和家庭的补助（支出经济分类科目类级）：</w:t>
      </w:r>
      <w:r>
        <w:rPr>
          <w:rFonts w:hint="default" w:ascii="Times New Roman" w:hAnsi="Times New Roman" w:eastAsia="方正仿宋_GBK" w:cs="Times New Roman"/>
          <w:kern w:val="2"/>
          <w:sz w:val="32"/>
          <w:szCs w:val="22"/>
          <w:vertAlign w:val="baseline"/>
          <w:lang w:val="en-US" w:eastAsia="zh-CN" w:bidi="ar-SA"/>
        </w:rPr>
        <w:t>反映用于对个人和家庭的补助支出。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22"/>
          <w:vertAlign w:val="baseline"/>
          <w:lang w:val="en-US" w:eastAsia="zh-CN" w:bidi="ar-SA"/>
        </w:rPr>
      </w:pPr>
      <w:r>
        <w:rPr>
          <w:rStyle w:val="9"/>
          <w:rFonts w:hint="default" w:ascii="Times New Roman" w:hAnsi="Times New Roman" w:eastAsia="方正楷体_GBK" w:cs="Times New Roman"/>
          <w:b w:val="0"/>
          <w:bCs/>
          <w:sz w:val="32"/>
          <w:szCs w:val="32"/>
          <w:shd w:val="clear" w:color="auto" w:fill="FFFFFF"/>
          <w:lang w:val="en-US" w:eastAsia="zh-CN"/>
        </w:rPr>
        <w:t>（十七）其他资本性支出（支出经济分类科目类级）：</w:t>
      </w:r>
      <w:r>
        <w:rPr>
          <w:rFonts w:hint="default" w:ascii="Times New Roman" w:hAnsi="Times New Roman" w:eastAsia="方正仿宋_GBK" w:cs="Times New Roman"/>
          <w:kern w:val="2"/>
          <w:sz w:val="32"/>
          <w:szCs w:val="22"/>
          <w:vertAlign w:val="baseline"/>
          <w:lang w:val="en-US" w:eastAsia="zh-CN" w:bidi="ar-SA"/>
        </w:rPr>
        <w:t>反映非各级发展与改革部门集中安排的用于购置固定资产、战略性和应急性储备、土地和无形资产，以及构建基础设施、大型修缮和财政支持企业更新改造所发生的支出。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atLeast"/>
        <w:ind w:firstLine="608" w:firstLineChars="200"/>
        <w:jc w:val="both"/>
        <w:textAlignment w:val="auto"/>
        <w:outlineLvl w:val="9"/>
        <w:rPr>
          <w:rFonts w:hint="default" w:ascii="Times New Roman" w:hAnsi="Times New Roman" w:eastAsia="方正黑体_GBK" w:cs="Times New Roman"/>
          <w:w w:val="95"/>
          <w:kern w:val="2"/>
          <w:sz w:val="32"/>
          <w:szCs w:val="32"/>
          <w:lang w:val="en-US" w:eastAsia="zh-CN"/>
        </w:rPr>
      </w:pPr>
      <w:r>
        <w:rPr>
          <w:rFonts w:hint="default" w:ascii="Times New Roman" w:hAnsi="Times New Roman" w:eastAsia="方正黑体_GBK" w:cs="Times New Roman"/>
          <w:w w:val="95"/>
          <w:kern w:val="2"/>
          <w:sz w:val="32"/>
          <w:szCs w:val="32"/>
          <w:lang w:val="en-US" w:eastAsia="zh-CN"/>
        </w:rPr>
        <w:t>七、决算公开联系方式及信息反馈渠道</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22"/>
          <w:vertAlign w:val="baseline"/>
          <w:lang w:val="en-US" w:eastAsia="zh-CN" w:bidi="ar-SA"/>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hint="default" w:ascii="Times New Roman" w:hAnsi="Times New Roman" w:eastAsia="方正仿宋_GBK" w:cs="Times New Roman"/>
          <w:kern w:val="2"/>
          <w:sz w:val="32"/>
          <w:szCs w:val="22"/>
          <w:vertAlign w:val="baseline"/>
          <w:lang w:val="en-US" w:eastAsia="zh-CN" w:bidi="ar-SA"/>
        </w:rPr>
        <w:t>本单位决算公开信息反馈和联系方式：</w:t>
      </w:r>
      <w:r>
        <w:rPr>
          <w:rFonts w:hint="eastAsia" w:ascii="Times New Roman" w:hAnsi="Times New Roman" w:eastAsia="方正仿宋_GBK" w:cs="Times New Roman"/>
          <w:kern w:val="2"/>
          <w:sz w:val="32"/>
          <w:szCs w:val="22"/>
          <w:vertAlign w:val="baseline"/>
          <w:lang w:val="en-US" w:eastAsia="zh-CN" w:bidi="ar-SA"/>
        </w:rPr>
        <w:t>龙吉  023-76865666</w:t>
      </w:r>
    </w:p>
    <w:p>
      <w:pPr>
        <w:rPr>
          <w:rFonts w:hint="default" w:cs="宋体"/>
          <w:color w:val="auto"/>
          <w:sz w:val="21"/>
          <w:szCs w:val="21"/>
        </w:rPr>
      </w:pPr>
    </w:p>
    <w:tbl>
      <w:tblPr>
        <w:tblStyle w:val="10"/>
        <w:tblW w:w="15393" w:type="dxa"/>
        <w:tblInd w:w="0" w:type="dxa"/>
        <w:tblLayout w:type="fixed"/>
        <w:tblCellMar>
          <w:top w:w="0" w:type="dxa"/>
          <w:left w:w="0" w:type="dxa"/>
          <w:bottom w:w="0" w:type="dxa"/>
          <w:right w:w="0" w:type="dxa"/>
        </w:tblCellMar>
      </w:tblPr>
      <w:tblGrid>
        <w:gridCol w:w="5122"/>
        <w:gridCol w:w="2020"/>
        <w:gridCol w:w="4809"/>
        <w:gridCol w:w="3442"/>
      </w:tblGrid>
      <w:tr>
        <w:tblPrEx>
          <w:tblLayout w:type="fixed"/>
          <w:tblCellMar>
            <w:top w:w="0" w:type="dxa"/>
            <w:left w:w="0" w:type="dxa"/>
            <w:bottom w:w="0" w:type="dxa"/>
            <w:right w:w="0" w:type="dxa"/>
          </w:tblCellMar>
        </w:tblPrEx>
        <w:trPr>
          <w:trHeight w:val="232" w:hRule="atLeast"/>
        </w:trPr>
        <w:tc>
          <w:tcPr>
            <w:tcW w:w="15393" w:type="dxa"/>
            <w:gridSpan w:val="4"/>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auto"/>
                <w:sz w:val="32"/>
                <w:szCs w:val="32"/>
              </w:rPr>
            </w:pPr>
            <w:r>
              <w:rPr>
                <w:rFonts w:cs="宋体"/>
                <w:b/>
                <w:color w:val="auto"/>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5122"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auto"/>
                <w:sz w:val="20"/>
                <w:szCs w:val="20"/>
              </w:rPr>
            </w:pPr>
          </w:p>
        </w:tc>
        <w:tc>
          <w:tcPr>
            <w:tcW w:w="2020" w:type="dxa"/>
            <w:tcBorders>
              <w:top w:val="nil"/>
              <w:left w:val="nil"/>
              <w:bottom w:val="nil"/>
              <w:right w:val="nil"/>
            </w:tcBorders>
            <w:shd w:val="clear" w:color="auto" w:fill="auto"/>
            <w:tcMar>
              <w:top w:w="15" w:type="dxa"/>
              <w:left w:w="15" w:type="dxa"/>
              <w:right w:w="15" w:type="dxa"/>
            </w:tcMar>
            <w:vAlign w:val="bottom"/>
          </w:tcPr>
          <w:p>
            <w:pPr>
              <w:spacing w:line="200" w:lineRule="exact"/>
              <w:jc w:val="right"/>
              <w:rPr>
                <w:rFonts w:hint="default" w:ascii="Arial" w:hAnsi="Arial" w:cs="Arial"/>
                <w:color w:val="auto"/>
                <w:sz w:val="20"/>
                <w:szCs w:val="20"/>
              </w:rPr>
            </w:pPr>
          </w:p>
        </w:tc>
        <w:tc>
          <w:tcPr>
            <w:tcW w:w="4809"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auto"/>
                <w:sz w:val="20"/>
                <w:szCs w:val="20"/>
              </w:rPr>
            </w:pPr>
          </w:p>
        </w:tc>
        <w:tc>
          <w:tcPr>
            <w:tcW w:w="344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auto"/>
                <w:sz w:val="20"/>
                <w:szCs w:val="20"/>
              </w:rPr>
            </w:pPr>
            <w:r>
              <w:rPr>
                <w:rFonts w:cs="宋体"/>
                <w:color w:val="auto"/>
                <w:sz w:val="20"/>
                <w:szCs w:val="20"/>
              </w:rPr>
              <w:t>公开01表</w:t>
            </w:r>
          </w:p>
        </w:tc>
      </w:tr>
      <w:tr>
        <w:tblPrEx>
          <w:tblLayout w:type="fixed"/>
          <w:tblCellMar>
            <w:top w:w="0" w:type="dxa"/>
            <w:left w:w="0" w:type="dxa"/>
            <w:bottom w:w="0" w:type="dxa"/>
            <w:right w:w="0" w:type="dxa"/>
          </w:tblCellMar>
        </w:tblPrEx>
        <w:trPr>
          <w:trHeight w:val="232" w:hRule="atLeast"/>
        </w:trPr>
        <w:tc>
          <w:tcPr>
            <w:tcW w:w="5122" w:type="dxa"/>
            <w:tcBorders>
              <w:top w:val="nil"/>
              <w:left w:val="nil"/>
              <w:bottom w:val="nil"/>
              <w:right w:val="nil"/>
            </w:tcBorders>
            <w:shd w:val="clear" w:color="auto" w:fill="auto"/>
            <w:tcMar>
              <w:top w:w="15" w:type="dxa"/>
              <w:left w:w="15" w:type="dxa"/>
              <w:right w:w="15" w:type="dxa"/>
            </w:tcMar>
            <w:vAlign w:val="bottom"/>
          </w:tcPr>
          <w:p>
            <w:pPr>
              <w:spacing w:line="280" w:lineRule="exact"/>
              <w:textAlignment w:val="bottom"/>
              <w:rPr>
                <w:rFonts w:hint="default" w:cs="宋体"/>
                <w:color w:val="auto"/>
                <w:sz w:val="20"/>
                <w:szCs w:val="20"/>
              </w:rPr>
            </w:pPr>
            <w:r>
              <w:rPr>
                <w:rFonts w:cs="宋体"/>
                <w:color w:val="auto"/>
                <w:sz w:val="20"/>
                <w:szCs w:val="20"/>
              </w:rPr>
              <w:t>公开单位：</w:t>
            </w:r>
            <w:r>
              <w:rPr>
                <w:color w:val="auto"/>
                <w:sz w:val="20"/>
                <w:u w:color="auto"/>
              </w:rPr>
              <w:t>重庆市秀山土家族苗族自治县龙凤坝镇退役军人服务站</w:t>
            </w:r>
          </w:p>
        </w:tc>
        <w:tc>
          <w:tcPr>
            <w:tcW w:w="2020" w:type="dxa"/>
            <w:tcBorders>
              <w:top w:val="nil"/>
              <w:left w:val="nil"/>
              <w:bottom w:val="nil"/>
              <w:right w:val="nil"/>
            </w:tcBorders>
            <w:shd w:val="clear" w:color="auto" w:fill="auto"/>
            <w:tcMar>
              <w:top w:w="15" w:type="dxa"/>
              <w:left w:w="15" w:type="dxa"/>
              <w:right w:w="15" w:type="dxa"/>
            </w:tcMar>
            <w:vAlign w:val="bottom"/>
          </w:tcPr>
          <w:p>
            <w:pPr>
              <w:spacing w:line="200" w:lineRule="exact"/>
              <w:jc w:val="right"/>
              <w:rPr>
                <w:rFonts w:hint="default" w:ascii="Arial" w:hAnsi="Arial" w:cs="Arial"/>
                <w:color w:val="auto"/>
                <w:sz w:val="22"/>
                <w:szCs w:val="22"/>
              </w:rPr>
            </w:pPr>
          </w:p>
        </w:tc>
        <w:tc>
          <w:tcPr>
            <w:tcW w:w="4809"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auto"/>
                <w:sz w:val="22"/>
                <w:szCs w:val="22"/>
              </w:rPr>
            </w:pPr>
          </w:p>
        </w:tc>
        <w:tc>
          <w:tcPr>
            <w:tcW w:w="344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auto"/>
                <w:sz w:val="20"/>
                <w:szCs w:val="20"/>
              </w:rPr>
            </w:pPr>
            <w:r>
              <w:rPr>
                <w:rFonts w:cs="宋体"/>
                <w:color w:val="auto"/>
                <w:sz w:val="20"/>
                <w:szCs w:val="20"/>
              </w:rPr>
              <w:t>单位：万元</w:t>
            </w:r>
          </w:p>
        </w:tc>
      </w:tr>
      <w:tr>
        <w:tblPrEx>
          <w:tblLayout w:type="fixed"/>
          <w:tblCellMar>
            <w:top w:w="0" w:type="dxa"/>
            <w:left w:w="0" w:type="dxa"/>
            <w:bottom w:w="0" w:type="dxa"/>
            <w:right w:w="0" w:type="dxa"/>
          </w:tblCellMar>
        </w:tblPrEx>
        <w:trPr>
          <w:trHeight w:val="243" w:hRule="atLeast"/>
        </w:trPr>
        <w:tc>
          <w:tcPr>
            <w:tcW w:w="71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auto"/>
                <w:sz w:val="20"/>
                <w:szCs w:val="20"/>
              </w:rPr>
            </w:pPr>
            <w:r>
              <w:rPr>
                <w:rFonts w:cs="宋体"/>
                <w:b/>
                <w:color w:val="auto"/>
                <w:sz w:val="20"/>
                <w:szCs w:val="20"/>
              </w:rPr>
              <w:t>收入</w:t>
            </w:r>
          </w:p>
        </w:tc>
        <w:tc>
          <w:tcPr>
            <w:tcW w:w="8251" w:type="dxa"/>
            <w:gridSpan w:val="2"/>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auto"/>
                <w:sz w:val="20"/>
                <w:szCs w:val="20"/>
              </w:rPr>
            </w:pPr>
            <w:r>
              <w:rPr>
                <w:rFonts w:cs="宋体"/>
                <w:b/>
                <w:color w:val="auto"/>
                <w:sz w:val="20"/>
                <w:szCs w:val="20"/>
              </w:rPr>
              <w:t>支出</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auto"/>
                <w:sz w:val="20"/>
                <w:szCs w:val="20"/>
              </w:rPr>
            </w:pPr>
            <w:r>
              <w:rPr>
                <w:rFonts w:cs="宋体"/>
                <w:b/>
                <w:color w:val="auto"/>
                <w:sz w:val="20"/>
                <w:szCs w:val="20"/>
              </w:rPr>
              <w:t>项目</w:t>
            </w:r>
          </w:p>
        </w:tc>
        <w:tc>
          <w:tcPr>
            <w:tcW w:w="202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auto"/>
                <w:sz w:val="20"/>
                <w:szCs w:val="20"/>
              </w:rPr>
            </w:pPr>
            <w:r>
              <w:rPr>
                <w:rFonts w:cs="宋体"/>
                <w:b/>
                <w:color w:val="auto"/>
                <w:sz w:val="20"/>
                <w:szCs w:val="20"/>
              </w:rPr>
              <w:t>决算数</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auto"/>
                <w:sz w:val="20"/>
                <w:szCs w:val="20"/>
              </w:rPr>
            </w:pPr>
            <w:r>
              <w:rPr>
                <w:rFonts w:cs="宋体"/>
                <w:b/>
                <w:color w:val="auto"/>
                <w:sz w:val="20"/>
                <w:szCs w:val="20"/>
              </w:rPr>
              <w:t>功能分类科目</w:t>
            </w:r>
          </w:p>
        </w:tc>
        <w:tc>
          <w:tcPr>
            <w:tcW w:w="344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auto"/>
                <w:sz w:val="20"/>
                <w:szCs w:val="20"/>
              </w:rPr>
            </w:pPr>
            <w:r>
              <w:rPr>
                <w:rFonts w:cs="宋体"/>
                <w:b/>
                <w:color w:val="auto"/>
                <w:sz w:val="20"/>
                <w:szCs w:val="20"/>
              </w:rPr>
              <w:t>决算数</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一、一般公共预算财政拨款收入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eastAsia" w:eastAsia="宋体" w:cs="宋体"/>
                <w:color w:val="auto"/>
                <w:sz w:val="20"/>
                <w:szCs w:val="20"/>
                <w:lang w:eastAsia="zh-CN"/>
              </w:rPr>
            </w:pPr>
            <w:r>
              <w:rPr>
                <w:rFonts w:cs="宋体"/>
                <w:color w:val="auto"/>
                <w:sz w:val="20"/>
                <w:szCs w:val="20"/>
              </w:rPr>
              <w:t>47.05</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一、一般公共服务支出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二、政府性基金预算财政拨款收入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eastAsia" w:eastAsia="宋体" w:cs="宋体"/>
                <w:color w:val="auto"/>
                <w:sz w:val="20"/>
                <w:szCs w:val="20"/>
                <w:lang w:eastAsia="zh-CN"/>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二、外交支出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三、国有资本经营预算财政拨款收入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eastAsia" w:eastAsia="宋体" w:cs="宋体"/>
                <w:color w:val="auto"/>
                <w:sz w:val="20"/>
                <w:szCs w:val="20"/>
                <w:lang w:eastAsia="zh-CN"/>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三、国防支出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四、上级补助收入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eastAsia" w:eastAsia="宋体" w:cs="宋体"/>
                <w:color w:val="auto"/>
                <w:sz w:val="20"/>
                <w:szCs w:val="20"/>
                <w:lang w:eastAsia="zh-CN"/>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四、公共安全支出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五、事业收入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eastAsia" w:eastAsia="宋体" w:cs="宋体"/>
                <w:color w:val="auto"/>
                <w:sz w:val="20"/>
                <w:szCs w:val="20"/>
                <w:lang w:eastAsia="zh-CN"/>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五、教育支出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六、经营收入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eastAsia" w:eastAsia="宋体" w:cs="宋体"/>
                <w:color w:val="auto"/>
                <w:sz w:val="20"/>
                <w:szCs w:val="20"/>
                <w:lang w:eastAsia="zh-CN"/>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六、科学技术支出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七、附属单位上缴收入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eastAsia" w:eastAsia="宋体" w:cs="宋体"/>
                <w:color w:val="auto"/>
                <w:sz w:val="20"/>
                <w:szCs w:val="20"/>
                <w:lang w:eastAsia="zh-CN"/>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七、文化旅游体育与传媒支出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八、其他收入</w:t>
            </w:r>
          </w:p>
        </w:tc>
        <w:tc>
          <w:tcPr>
            <w:tcW w:w="2020" w:type="dxa"/>
            <w:tcBorders>
              <w:top w:val="nil"/>
              <w:left w:val="nil"/>
              <w:bottom w:val="nil"/>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eastAsia" w:eastAsia="宋体" w:cs="宋体"/>
                <w:color w:val="auto"/>
                <w:sz w:val="20"/>
                <w:szCs w:val="20"/>
                <w:lang w:eastAsia="zh-CN"/>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八、社会保障和就业支出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eastAsia" w:eastAsia="宋体" w:cs="宋体"/>
                <w:color w:val="auto"/>
                <w:sz w:val="20"/>
                <w:szCs w:val="20"/>
                <w:lang w:eastAsia="zh-CN"/>
              </w:rPr>
            </w:pPr>
            <w:r>
              <w:rPr>
                <w:rFonts w:cs="宋体"/>
                <w:color w:val="auto"/>
                <w:sz w:val="20"/>
                <w:szCs w:val="20"/>
              </w:rPr>
              <w:t>42.73</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auto"/>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auto"/>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九、卫生健康支出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eastAsia" w:eastAsia="宋体" w:cs="宋体"/>
                <w:color w:val="auto"/>
                <w:sz w:val="20"/>
                <w:szCs w:val="20"/>
                <w:lang w:eastAsia="zh-CN"/>
              </w:rPr>
            </w:pPr>
            <w:r>
              <w:rPr>
                <w:rFonts w:cs="宋体"/>
                <w:color w:val="auto"/>
                <w:sz w:val="20"/>
                <w:szCs w:val="20"/>
              </w:rPr>
              <w:t>1.45</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auto"/>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auto"/>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十、节能环保支出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auto"/>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auto"/>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十一、城乡社区支出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auto"/>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auto"/>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十二、农林水支出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auto"/>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auto"/>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十三、交通运输支出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auto"/>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auto"/>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十四、资源勘探工业信息等支出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auto"/>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auto"/>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十五、商业服务业等支出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auto"/>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auto"/>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十六、金融支出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auto"/>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auto"/>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十七、援助其他地区支出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auto"/>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auto"/>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十八、自然资源海洋气象等支出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auto"/>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auto"/>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十九、住房保障支出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eastAsia" w:eastAsia="宋体" w:cs="宋体"/>
                <w:color w:val="auto"/>
                <w:sz w:val="20"/>
                <w:szCs w:val="20"/>
                <w:lang w:eastAsia="zh-CN"/>
              </w:rPr>
            </w:pPr>
            <w:r>
              <w:rPr>
                <w:rFonts w:cs="宋体"/>
                <w:color w:val="auto"/>
                <w:sz w:val="20"/>
                <w:szCs w:val="20"/>
              </w:rPr>
              <w:t>2.87</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auto"/>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auto"/>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二十、粮油物资储备支出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auto"/>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auto"/>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二十一、国有资本经营预算支出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auto"/>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auto"/>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二十二、灾害防治及应急管理支出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auto"/>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auto"/>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二十三、其他支出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rPr>
                <w:rFonts w:hint="default" w:cs="宋体"/>
                <w:b/>
                <w:color w:val="auto"/>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auto"/>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二十四、债务还本支出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auto"/>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auto"/>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二十五、债务付息支出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auto"/>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auto"/>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二十六、抗疫特别国债安排的支出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auto"/>
                <w:sz w:val="20"/>
                <w:szCs w:val="20"/>
              </w:rPr>
            </w:pPr>
            <w:r>
              <w:rPr>
                <w:rFonts w:cs="宋体"/>
                <w:b/>
                <w:color w:val="auto"/>
                <w:sz w:val="20"/>
                <w:szCs w:val="20"/>
              </w:rPr>
              <w:t>本年收入合计</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eastAsia" w:eastAsia="宋体" w:cs="宋体"/>
                <w:color w:val="auto"/>
                <w:sz w:val="20"/>
                <w:szCs w:val="20"/>
                <w:lang w:eastAsia="zh-CN"/>
              </w:rPr>
            </w:pPr>
            <w:r>
              <w:rPr>
                <w:rFonts w:cs="宋体"/>
                <w:color w:val="auto"/>
                <w:sz w:val="20"/>
                <w:szCs w:val="20"/>
              </w:rPr>
              <w:t>47.05</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auto"/>
                <w:sz w:val="20"/>
                <w:szCs w:val="20"/>
              </w:rPr>
            </w:pPr>
            <w:r>
              <w:rPr>
                <w:rFonts w:cs="宋体"/>
                <w:b/>
                <w:color w:val="auto"/>
                <w:sz w:val="20"/>
                <w:szCs w:val="20"/>
              </w:rPr>
              <w:t>本年支出合计</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eastAsia" w:eastAsia="宋体" w:cs="宋体"/>
                <w:color w:val="auto"/>
                <w:sz w:val="20"/>
                <w:szCs w:val="20"/>
                <w:lang w:eastAsia="zh-CN"/>
              </w:rPr>
            </w:pPr>
            <w:r>
              <w:rPr>
                <w:rFonts w:cs="宋体"/>
                <w:color w:val="auto"/>
                <w:sz w:val="20"/>
                <w:szCs w:val="20"/>
              </w:rPr>
              <w:t>47.05</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使用非财政拨款结余和专用结余</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eastAsia" w:eastAsia="宋体" w:cs="宋体"/>
                <w:color w:val="auto"/>
                <w:sz w:val="20"/>
                <w:szCs w:val="20"/>
                <w:lang w:eastAsia="zh-CN"/>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结余分配</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年初结转和结余</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eastAsia" w:eastAsia="宋体" w:cs="宋体"/>
                <w:color w:val="auto"/>
                <w:sz w:val="20"/>
                <w:szCs w:val="20"/>
                <w:lang w:eastAsia="zh-CN"/>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年末结转和结余</w:t>
            </w:r>
          </w:p>
        </w:tc>
        <w:tc>
          <w:tcPr>
            <w:tcW w:w="3442"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25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auto"/>
                <w:sz w:val="20"/>
                <w:szCs w:val="20"/>
              </w:rPr>
            </w:pPr>
            <w:r>
              <w:rPr>
                <w:rFonts w:cs="宋体"/>
                <w:b/>
                <w:color w:val="auto"/>
                <w:sz w:val="20"/>
                <w:szCs w:val="20"/>
              </w:rPr>
              <w:t>总计</w:t>
            </w: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eastAsia" w:eastAsia="宋体" w:cs="宋体"/>
                <w:color w:val="auto"/>
                <w:sz w:val="20"/>
                <w:szCs w:val="20"/>
                <w:lang w:eastAsia="zh-CN"/>
              </w:rPr>
            </w:pPr>
            <w:r>
              <w:rPr>
                <w:rFonts w:cs="宋体"/>
                <w:color w:val="auto"/>
                <w:sz w:val="20"/>
                <w:szCs w:val="20"/>
              </w:rPr>
              <w:t>47.05</w:t>
            </w:r>
          </w:p>
        </w:tc>
        <w:tc>
          <w:tcPr>
            <w:tcW w:w="4809" w:type="dxa"/>
            <w:tcBorders>
              <w:top w:val="nil"/>
              <w:left w:val="nil"/>
              <w:bottom w:val="single" w:color="000000"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auto"/>
                <w:sz w:val="20"/>
                <w:szCs w:val="20"/>
              </w:rPr>
            </w:pPr>
            <w:r>
              <w:rPr>
                <w:rFonts w:cs="宋体"/>
                <w:b/>
                <w:color w:val="auto"/>
                <w:sz w:val="20"/>
                <w:szCs w:val="20"/>
              </w:rPr>
              <w:t>总计</w:t>
            </w:r>
          </w:p>
        </w:tc>
        <w:tc>
          <w:tcPr>
            <w:tcW w:w="34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right"/>
              <w:textAlignment w:val="center"/>
              <w:rPr>
                <w:rFonts w:hint="eastAsia" w:eastAsia="宋体" w:cs="宋体"/>
                <w:color w:val="auto"/>
                <w:sz w:val="20"/>
                <w:szCs w:val="20"/>
                <w:lang w:eastAsia="zh-CN"/>
              </w:rPr>
            </w:pPr>
            <w:r>
              <w:rPr>
                <w:rFonts w:cs="宋体"/>
                <w:color w:val="auto"/>
                <w:sz w:val="20"/>
                <w:szCs w:val="20"/>
              </w:rPr>
              <w:t>47.05</w:t>
            </w:r>
          </w:p>
        </w:tc>
      </w:tr>
    </w:tbl>
    <w:p>
      <w:pPr>
        <w:spacing w:line="240" w:lineRule="exact"/>
        <w:rPr>
          <w:rFonts w:hint="default" w:cs="宋体"/>
          <w:color w:val="auto"/>
          <w:sz w:val="20"/>
          <w:szCs w:val="20"/>
        </w:rPr>
      </w:pPr>
      <w:r>
        <w:rPr>
          <w:rFonts w:cs="宋体"/>
          <w:color w:val="auto"/>
          <w:sz w:val="20"/>
          <w:szCs w:val="20"/>
        </w:rPr>
        <w:t>备注：1.本表反映单位本年度的总收支和年末结转结余情况。</w:t>
      </w:r>
      <w:r>
        <w:rPr>
          <w:rFonts w:cs="宋体"/>
          <w:color w:val="auto"/>
          <w:sz w:val="20"/>
          <w:szCs w:val="20"/>
        </w:rPr>
        <w:br w:type="textWrapping"/>
      </w:r>
      <w:r>
        <w:rPr>
          <w:rFonts w:cs="宋体"/>
          <w:color w:val="auto"/>
          <w:sz w:val="20"/>
          <w:szCs w:val="20"/>
        </w:rPr>
        <w:t>2.本套报表金额单位转换时可能存在尾数误差。</w:t>
      </w:r>
      <w:r>
        <w:rPr>
          <w:rFonts w:cs="宋体"/>
          <w:color w:val="auto"/>
          <w:sz w:val="20"/>
          <w:szCs w:val="20"/>
        </w:rPr>
        <w:br w:type="textWrapping"/>
      </w:r>
      <w:r>
        <w:rPr>
          <w:rFonts w:cs="宋体"/>
          <w:color w:val="auto"/>
          <w:sz w:val="20"/>
          <w:szCs w:val="20"/>
        </w:rPr>
        <w:br w:type="textWrapping"/>
      </w:r>
    </w:p>
    <w:tbl>
      <w:tblPr>
        <w:tblStyle w:val="10"/>
        <w:tblW w:w="15378" w:type="dxa"/>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Layout w:type="fixed"/>
          <w:tblCellMar>
            <w:top w:w="0" w:type="dxa"/>
            <w:left w:w="0" w:type="dxa"/>
            <w:bottom w:w="0" w:type="dxa"/>
            <w:right w:w="0" w:type="dxa"/>
          </w:tblCellMar>
        </w:tblPrEx>
        <w:trPr>
          <w:trHeight w:val="641" w:hRule="atLeast"/>
        </w:trPr>
        <w:tc>
          <w:tcPr>
            <w:tcW w:w="15378" w:type="dxa"/>
            <w:gridSpan w:val="10"/>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auto"/>
                <w:sz w:val="32"/>
                <w:szCs w:val="32"/>
              </w:rPr>
            </w:pPr>
            <w:r>
              <w:rPr>
                <w:rFonts w:cs="宋体"/>
                <w:b/>
                <w:color w:val="auto"/>
                <w:sz w:val="32"/>
                <w:szCs w:val="32"/>
              </w:rPr>
              <w:t>收入决算表</w:t>
            </w:r>
          </w:p>
        </w:tc>
      </w:tr>
      <w:tr>
        <w:tblPrEx>
          <w:tblLayout w:type="fixed"/>
          <w:tblCellMar>
            <w:top w:w="0" w:type="dxa"/>
            <w:left w:w="0" w:type="dxa"/>
            <w:bottom w:w="0" w:type="dxa"/>
            <w:right w:w="0" w:type="dxa"/>
          </w:tblCellMar>
        </w:tblPrEx>
        <w:trPr>
          <w:trHeight w:val="328" w:hRule="atLeast"/>
        </w:trPr>
        <w:tc>
          <w:tcPr>
            <w:tcW w:w="4873"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cs="宋体"/>
                <w:color w:val="auto"/>
                <w:sz w:val="20"/>
                <w:szCs w:val="20"/>
              </w:rPr>
            </w:pPr>
            <w:r>
              <w:rPr>
                <w:rFonts w:cs="宋体"/>
                <w:color w:val="auto"/>
                <w:sz w:val="20"/>
                <w:szCs w:val="20"/>
              </w:rPr>
              <w:t>公开单位：</w:t>
            </w:r>
            <w:r>
              <w:rPr>
                <w:color w:val="auto"/>
                <w:sz w:val="20"/>
                <w:u w:color="auto"/>
              </w:rPr>
              <w:t>重庆市秀山土家族苗族自治县龙凤坝镇退役军人服务站</w:t>
            </w: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136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13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143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146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auto"/>
                <w:sz w:val="20"/>
                <w:szCs w:val="20"/>
              </w:rPr>
            </w:pPr>
            <w:r>
              <w:rPr>
                <w:rFonts w:cs="宋体"/>
                <w:color w:val="auto"/>
                <w:sz w:val="20"/>
                <w:szCs w:val="20"/>
              </w:rPr>
              <w:t>公开02表</w:t>
            </w:r>
          </w:p>
        </w:tc>
      </w:tr>
      <w:tr>
        <w:tblPrEx>
          <w:tblLayout w:type="fixed"/>
          <w:tblCellMar>
            <w:top w:w="0" w:type="dxa"/>
            <w:left w:w="0" w:type="dxa"/>
            <w:bottom w:w="0" w:type="dxa"/>
            <w:right w:w="0" w:type="dxa"/>
          </w:tblCellMar>
        </w:tblPrEx>
        <w:trPr>
          <w:trHeight w:val="328" w:hRule="atLeast"/>
        </w:trPr>
        <w:tc>
          <w:tcPr>
            <w:tcW w:w="4873"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136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13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143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146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auto"/>
                <w:sz w:val="20"/>
                <w:szCs w:val="20"/>
              </w:rPr>
            </w:pPr>
            <w:r>
              <w:rPr>
                <w:rFonts w:cs="宋体"/>
                <w:color w:val="auto"/>
                <w:sz w:val="20"/>
                <w:szCs w:val="20"/>
              </w:rPr>
              <w:t>单位：万元</w:t>
            </w:r>
          </w:p>
        </w:tc>
      </w:tr>
      <w:tr>
        <w:tblPrEx>
          <w:tblLayout w:type="fixed"/>
          <w:tblCellMar>
            <w:top w:w="0" w:type="dxa"/>
            <w:left w:w="0" w:type="dxa"/>
            <w:bottom w:w="0" w:type="dxa"/>
            <w:right w:w="0" w:type="dxa"/>
          </w:tblCellMar>
        </w:tblPrEx>
        <w:trPr>
          <w:trHeight w:val="431" w:hRule="atLeast"/>
        </w:trPr>
        <w:tc>
          <w:tcPr>
            <w:tcW w:w="4873" w:type="dxa"/>
            <w:gridSpan w:val="2"/>
            <w:tcBorders>
              <w:top w:val="single" w:color="000000" w:sz="4" w:space="0"/>
              <w:left w:val="single" w:color="000000" w:sz="4" w:space="0"/>
              <w:bottom w:val="single" w:color="000000" w:sz="4" w:space="0"/>
              <w:right w:val="nil"/>
            </w:tcBorders>
            <w:shd w:val="clear" w:color="auto" w:fill="D0CECE"/>
            <w:tcMar>
              <w:top w:w="15" w:type="dxa"/>
              <w:left w:w="15" w:type="dxa"/>
              <w:right w:w="15" w:type="dxa"/>
            </w:tcMar>
            <w:vAlign w:val="bottom"/>
          </w:tcPr>
          <w:p>
            <w:pPr>
              <w:jc w:val="center"/>
              <w:textAlignment w:val="bottom"/>
              <w:rPr>
                <w:rFonts w:hint="default" w:cs="宋体"/>
                <w:b/>
                <w:color w:val="auto"/>
                <w:sz w:val="20"/>
                <w:szCs w:val="20"/>
              </w:rPr>
            </w:pPr>
            <w:r>
              <w:rPr>
                <w:rFonts w:cs="宋体"/>
                <w:b/>
                <w:color w:val="auto"/>
                <w:sz w:val="20"/>
                <w:szCs w:val="20"/>
              </w:rPr>
              <w:t>项目</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本年收入合计</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财政拨款收入</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上级补助收入</w:t>
            </w:r>
          </w:p>
        </w:tc>
        <w:tc>
          <w:tcPr>
            <w:tcW w:w="2599"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auto"/>
                <w:sz w:val="20"/>
                <w:szCs w:val="20"/>
              </w:rPr>
            </w:pPr>
            <w:r>
              <w:rPr>
                <w:rFonts w:cs="宋体"/>
                <w:b/>
                <w:color w:val="auto"/>
                <w:sz w:val="20"/>
                <w:szCs w:val="20"/>
              </w:rPr>
              <w:t>事业收入</w:t>
            </w:r>
          </w:p>
        </w:tc>
        <w:tc>
          <w:tcPr>
            <w:tcW w:w="13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经营收入</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附属单位上缴收入</w:t>
            </w:r>
          </w:p>
        </w:tc>
        <w:tc>
          <w:tcPr>
            <w:tcW w:w="146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其他收入</w:t>
            </w:r>
          </w:p>
        </w:tc>
      </w:tr>
      <w:tr>
        <w:tblPrEx>
          <w:tblLayout w:type="fixed"/>
          <w:tblCellMar>
            <w:top w:w="0" w:type="dxa"/>
            <w:left w:w="0" w:type="dxa"/>
            <w:bottom w:w="0" w:type="dxa"/>
            <w:right w:w="0" w:type="dxa"/>
          </w:tblCellMar>
        </w:tblPrEx>
        <w:trPr>
          <w:trHeight w:val="334" w:hRule="atLeast"/>
        </w:trPr>
        <w:tc>
          <w:tcPr>
            <w:tcW w:w="170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功能分类科目编码</w:t>
            </w:r>
          </w:p>
        </w:tc>
        <w:tc>
          <w:tcPr>
            <w:tcW w:w="3171"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项目（按“项”级功能分类科目）</w:t>
            </w: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小计</w:t>
            </w:r>
          </w:p>
        </w:tc>
        <w:tc>
          <w:tcPr>
            <w:tcW w:w="136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其中：教育收费</w:t>
            </w: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r>
      <w:tr>
        <w:tblPrEx>
          <w:tblLayout w:type="fixed"/>
          <w:tblCellMar>
            <w:top w:w="0" w:type="dxa"/>
            <w:left w:w="0" w:type="dxa"/>
            <w:bottom w:w="0" w:type="dxa"/>
            <w:right w:w="0" w:type="dxa"/>
          </w:tblCellMar>
        </w:tblPrEx>
        <w:trPr>
          <w:trHeight w:val="338" w:hRule="atLeast"/>
        </w:trPr>
        <w:tc>
          <w:tcPr>
            <w:tcW w:w="4873"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合计</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r>
              <w:rPr>
                <w:rFonts w:cs="宋体"/>
                <w:b/>
                <w:bCs/>
                <w:color w:val="auto"/>
                <w:sz w:val="20"/>
                <w:szCs w:val="20"/>
              </w:rPr>
              <w:t>47.05</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r>
              <w:rPr>
                <w:rFonts w:cs="宋体"/>
                <w:b/>
                <w:bCs/>
                <w:color w:val="auto"/>
                <w:sz w:val="20"/>
                <w:szCs w:val="20"/>
              </w:rPr>
              <w:t>47.05</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p>
        </w:tc>
        <w:tc>
          <w:tcPr>
            <w:tcW w:w="13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p>
        </w:tc>
        <w:tc>
          <w:tcPr>
            <w:tcW w:w="13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p>
        </w:tc>
        <w:tc>
          <w:tcPr>
            <w:tcW w:w="14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p>
        </w:tc>
        <w:tc>
          <w:tcPr>
            <w:tcW w:w="14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208</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社会保障和就业支出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b/>
                <w:color w:val="auto"/>
                <w:sz w:val="20"/>
                <w:szCs w:val="20"/>
              </w:rPr>
              <w:t>42.73</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b/>
                <w:color w:val="auto"/>
                <w:sz w:val="20"/>
                <w:szCs w:val="20"/>
              </w:rPr>
              <w:t>42.73</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20805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行政事业单位养老支出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b/>
                <w:color w:val="auto"/>
                <w:sz w:val="20"/>
                <w:szCs w:val="20"/>
              </w:rPr>
              <w:t>3.51</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b/>
                <w:color w:val="auto"/>
                <w:sz w:val="20"/>
                <w:szCs w:val="20"/>
              </w:rPr>
              <w:t>3.51</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2080505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机关事业单位基本养老保险缴费支出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color w:val="auto"/>
                <w:sz w:val="20"/>
                <w:szCs w:val="20"/>
              </w:rPr>
              <w:t>2.34</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color w:val="auto"/>
                <w:sz w:val="20"/>
                <w:szCs w:val="20"/>
              </w:rPr>
              <w:t>2.34</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2080506</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机关事业单位职业年金缴费支出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color w:val="auto"/>
                <w:sz w:val="20"/>
                <w:szCs w:val="20"/>
              </w:rPr>
              <w:t>1.17</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color w:val="auto"/>
                <w:sz w:val="20"/>
                <w:szCs w:val="20"/>
              </w:rPr>
              <w:t>1.17</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20808</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抚恤</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b/>
                <w:color w:val="auto"/>
                <w:sz w:val="20"/>
                <w:szCs w:val="20"/>
              </w:rPr>
              <w:t>14.60</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b/>
                <w:color w:val="auto"/>
                <w:sz w:val="20"/>
                <w:szCs w:val="20"/>
              </w:rPr>
              <w:t>14.60</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2080805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义务兵优待</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color w:val="auto"/>
                <w:sz w:val="20"/>
                <w:szCs w:val="20"/>
              </w:rPr>
              <w:t>14.60</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color w:val="auto"/>
                <w:sz w:val="20"/>
                <w:szCs w:val="20"/>
              </w:rPr>
              <w:t>14.60</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20828</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退役军人管理事务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b/>
                <w:color w:val="auto"/>
                <w:sz w:val="20"/>
                <w:szCs w:val="20"/>
              </w:rPr>
              <w:t>24.61</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b/>
                <w:color w:val="auto"/>
                <w:sz w:val="20"/>
                <w:szCs w:val="20"/>
              </w:rPr>
              <w:t>24.61</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2082850</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事业运行</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color w:val="auto"/>
                <w:sz w:val="20"/>
                <w:szCs w:val="20"/>
              </w:rPr>
              <w:t>24.61</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color w:val="auto"/>
                <w:sz w:val="20"/>
                <w:szCs w:val="20"/>
              </w:rPr>
              <w:t>24.61</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210</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卫生健康支出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b/>
                <w:color w:val="auto"/>
                <w:sz w:val="20"/>
                <w:szCs w:val="20"/>
              </w:rPr>
              <w:t>1.45</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b/>
                <w:color w:val="auto"/>
                <w:sz w:val="20"/>
                <w:szCs w:val="20"/>
              </w:rPr>
              <w:t>1.45</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21011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行政事业单位医疗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b/>
                <w:color w:val="auto"/>
                <w:sz w:val="20"/>
                <w:szCs w:val="20"/>
              </w:rPr>
              <w:t>1.45</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b/>
                <w:color w:val="auto"/>
                <w:sz w:val="20"/>
                <w:szCs w:val="20"/>
              </w:rPr>
              <w:t>1.45</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2101102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color w:val="auto"/>
                <w:sz w:val="20"/>
                <w:szCs w:val="20"/>
              </w:rPr>
              <w:t>1.45</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color w:val="auto"/>
                <w:sz w:val="20"/>
                <w:szCs w:val="20"/>
              </w:rPr>
              <w:t>1.45</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221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住房保障支出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b/>
                <w:color w:val="auto"/>
                <w:sz w:val="20"/>
                <w:szCs w:val="20"/>
              </w:rPr>
              <w:t>2.87</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b/>
                <w:color w:val="auto"/>
                <w:sz w:val="20"/>
                <w:szCs w:val="20"/>
              </w:rPr>
              <w:t>2.87</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22102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住房改革支出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b/>
                <w:color w:val="auto"/>
                <w:sz w:val="20"/>
                <w:szCs w:val="20"/>
              </w:rPr>
              <w:t>2.87</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b/>
                <w:color w:val="auto"/>
                <w:sz w:val="20"/>
                <w:szCs w:val="20"/>
              </w:rPr>
              <w:t>2.87</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2210201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住房公积金</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color w:val="auto"/>
                <w:sz w:val="20"/>
                <w:szCs w:val="20"/>
              </w:rPr>
              <w:t>2.87</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color w:val="auto"/>
                <w:sz w:val="20"/>
                <w:szCs w:val="20"/>
              </w:rPr>
              <w:t>2.87</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r>
    </w:tbl>
    <w:p>
      <w:pPr>
        <w:ind w:left="600" w:hanging="600" w:hangingChars="300"/>
        <w:rPr>
          <w:rFonts w:hint="default" w:cs="宋体"/>
          <w:color w:val="auto"/>
          <w:sz w:val="20"/>
          <w:szCs w:val="20"/>
        </w:rPr>
      </w:pPr>
      <w:r>
        <w:rPr>
          <w:rFonts w:cs="宋体"/>
          <w:color w:val="auto"/>
          <w:sz w:val="20"/>
          <w:szCs w:val="20"/>
        </w:rPr>
        <w:t>备注：1.本表反映单位本年度取得的各项收入情况。</w:t>
      </w:r>
      <w:r>
        <w:rPr>
          <w:rFonts w:cs="宋体"/>
          <w:color w:val="auto"/>
          <w:sz w:val="20"/>
          <w:szCs w:val="20"/>
        </w:rPr>
        <w:br w:type="textWrapping"/>
      </w:r>
      <w:r>
        <w:rPr>
          <w:rFonts w:cs="宋体"/>
          <w:color w:val="auto"/>
          <w:sz w:val="20"/>
          <w:szCs w:val="20"/>
        </w:rPr>
        <w:t>2.本套报表金额单位转换时可能存在尾数误差。</w:t>
      </w:r>
      <w:r>
        <w:rPr>
          <w:rFonts w:cs="宋体"/>
          <w:color w:val="auto"/>
          <w:sz w:val="20"/>
          <w:szCs w:val="20"/>
        </w:rPr>
        <w:br w:type="textWrapping"/>
      </w:r>
    </w:p>
    <w:tbl>
      <w:tblPr>
        <w:tblStyle w:val="10"/>
        <w:tblW w:w="15378" w:type="dxa"/>
        <w:tblInd w:w="0" w:type="dxa"/>
        <w:tblLayout w:type="fixed"/>
        <w:tblCellMar>
          <w:top w:w="0" w:type="dxa"/>
          <w:left w:w="0" w:type="dxa"/>
          <w:bottom w:w="0" w:type="dxa"/>
          <w:right w:w="0" w:type="dxa"/>
        </w:tblCellMar>
      </w:tblPr>
      <w:tblGrid>
        <w:gridCol w:w="1803"/>
        <w:gridCol w:w="3355"/>
        <w:gridCol w:w="1701"/>
        <w:gridCol w:w="1701"/>
        <w:gridCol w:w="1701"/>
        <w:gridCol w:w="1685"/>
        <w:gridCol w:w="1685"/>
        <w:gridCol w:w="1747"/>
      </w:tblGrid>
      <w:tr>
        <w:tblPrEx>
          <w:tblLayout w:type="fixed"/>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auto"/>
                <w:sz w:val="32"/>
                <w:szCs w:val="32"/>
              </w:rPr>
            </w:pPr>
            <w:r>
              <w:rPr>
                <w:rFonts w:cs="宋体"/>
                <w:b/>
                <w:color w:val="auto"/>
                <w:sz w:val="32"/>
                <w:szCs w:val="32"/>
              </w:rPr>
              <w:t>支出决算表</w:t>
            </w:r>
          </w:p>
        </w:tc>
      </w:tr>
      <w:tr>
        <w:tblPrEx>
          <w:tblLayout w:type="fixed"/>
          <w:tblCellMar>
            <w:top w:w="0" w:type="dxa"/>
            <w:left w:w="0" w:type="dxa"/>
            <w:bottom w:w="0" w:type="dxa"/>
            <w:right w:w="0" w:type="dxa"/>
          </w:tblCellMar>
        </w:tblPrEx>
        <w:trPr>
          <w:trHeight w:val="342" w:hRule="atLeast"/>
        </w:trPr>
        <w:tc>
          <w:tcPr>
            <w:tcW w:w="5158" w:type="dxa"/>
            <w:gridSpan w:val="2"/>
            <w:vMerge w:val="restart"/>
            <w:tcBorders>
              <w:top w:val="nil"/>
              <w:left w:val="nil"/>
              <w:right w:val="nil"/>
            </w:tcBorders>
            <w:shd w:val="clear" w:color="auto" w:fill="auto"/>
            <w:tcMar>
              <w:top w:w="15" w:type="dxa"/>
              <w:left w:w="15" w:type="dxa"/>
              <w:right w:w="15" w:type="dxa"/>
            </w:tcMar>
            <w:vAlign w:val="bottom"/>
          </w:tcPr>
          <w:p>
            <w:pPr>
              <w:rPr>
                <w:rFonts w:hint="eastAsia" w:eastAsia="宋体" w:cs="宋体"/>
                <w:color w:val="auto"/>
                <w:sz w:val="20"/>
                <w:szCs w:val="20"/>
                <w:lang w:eastAsia="zh-CN"/>
              </w:rPr>
            </w:pPr>
            <w:r>
              <w:rPr>
                <w:rFonts w:cs="宋体"/>
                <w:color w:val="auto"/>
                <w:sz w:val="20"/>
                <w:szCs w:val="20"/>
              </w:rPr>
              <w:t>公开单位：</w:t>
            </w:r>
            <w:r>
              <w:rPr>
                <w:color w:val="auto"/>
                <w:sz w:val="20"/>
                <w:u w:color="auto"/>
              </w:rPr>
              <w:t>重庆市秀山土家族苗族自治县龙凤坝镇退役军人服务站</w:t>
            </w: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1747"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auto"/>
                <w:sz w:val="20"/>
                <w:szCs w:val="20"/>
              </w:rPr>
            </w:pPr>
            <w:r>
              <w:rPr>
                <w:rFonts w:cs="宋体"/>
                <w:color w:val="auto"/>
                <w:sz w:val="20"/>
                <w:szCs w:val="20"/>
              </w:rPr>
              <w:t>公开03表</w:t>
            </w:r>
          </w:p>
        </w:tc>
      </w:tr>
      <w:tr>
        <w:tblPrEx>
          <w:tblLayout w:type="fixed"/>
          <w:tblCellMar>
            <w:top w:w="0" w:type="dxa"/>
            <w:left w:w="0" w:type="dxa"/>
            <w:bottom w:w="0" w:type="dxa"/>
            <w:right w:w="0" w:type="dxa"/>
          </w:tblCellMar>
        </w:tblPrEx>
        <w:trPr>
          <w:trHeight w:val="342" w:hRule="atLeast"/>
        </w:trPr>
        <w:tc>
          <w:tcPr>
            <w:tcW w:w="5158"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1747"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auto"/>
                <w:sz w:val="20"/>
                <w:szCs w:val="20"/>
              </w:rPr>
            </w:pPr>
            <w:r>
              <w:rPr>
                <w:rFonts w:cs="宋体"/>
                <w:color w:val="auto"/>
                <w:sz w:val="20"/>
                <w:szCs w:val="20"/>
              </w:rPr>
              <w:t>单位：万元</w:t>
            </w:r>
          </w:p>
        </w:tc>
      </w:tr>
      <w:tr>
        <w:tblPrEx>
          <w:tblLayout w:type="fixed"/>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auto"/>
                <w:sz w:val="20"/>
                <w:szCs w:val="20"/>
              </w:rPr>
            </w:pPr>
            <w:r>
              <w:rPr>
                <w:rFonts w:cs="宋体"/>
                <w:b/>
                <w:color w:val="auto"/>
                <w:sz w:val="20"/>
                <w:szCs w:val="20"/>
              </w:rPr>
              <w:t>项目</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本年支出合计</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项目支出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上缴上级支出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经营支出</w:t>
            </w:r>
          </w:p>
        </w:tc>
        <w:tc>
          <w:tcPr>
            <w:tcW w:w="174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对附属单位补助支出</w:t>
            </w:r>
          </w:p>
        </w:tc>
      </w:tr>
      <w:tr>
        <w:tblPrEx>
          <w:tblLayout w:type="fixed"/>
          <w:tblCellMar>
            <w:top w:w="0" w:type="dxa"/>
            <w:left w:w="0" w:type="dxa"/>
            <w:bottom w:w="0" w:type="dxa"/>
            <w:right w:w="0" w:type="dxa"/>
          </w:tblCellMar>
        </w:tblPrEx>
        <w:trPr>
          <w:trHeight w:val="338" w:hRule="atLeast"/>
        </w:trPr>
        <w:tc>
          <w:tcPr>
            <w:tcW w:w="1803"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功能分类科目编码</w:t>
            </w:r>
          </w:p>
        </w:tc>
        <w:tc>
          <w:tcPr>
            <w:tcW w:w="3355"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项目（按“项”级功能分类科目）</w:t>
            </w: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r>
      <w:tr>
        <w:tblPrEx>
          <w:tblLayout w:type="fixed"/>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合计</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r>
              <w:rPr>
                <w:rFonts w:cs="宋体"/>
                <w:b/>
                <w:bCs/>
                <w:color w:val="auto"/>
                <w:sz w:val="20"/>
                <w:szCs w:val="20"/>
              </w:rPr>
              <w:t>47.05</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r>
              <w:rPr>
                <w:rFonts w:cs="宋体"/>
                <w:b/>
                <w:bCs/>
                <w:color w:val="auto"/>
                <w:sz w:val="20"/>
                <w:szCs w:val="20"/>
              </w:rPr>
              <w:t>32.45</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r>
              <w:rPr>
                <w:rFonts w:cs="宋体"/>
                <w:b/>
                <w:bCs/>
                <w:color w:val="auto"/>
                <w:sz w:val="20"/>
                <w:szCs w:val="20"/>
              </w:rPr>
              <w:t>14.60</w:t>
            </w:r>
          </w:p>
        </w:tc>
        <w:tc>
          <w:tcPr>
            <w:tcW w:w="16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p>
        </w:tc>
        <w:tc>
          <w:tcPr>
            <w:tcW w:w="16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p>
        </w:tc>
        <w:tc>
          <w:tcPr>
            <w:tcW w:w="17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208</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社会保障和就业支出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b/>
                <w:color w:val="auto"/>
                <w:sz w:val="20"/>
                <w:szCs w:val="20"/>
              </w:rPr>
              <w:t>42.73</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b/>
                <w:color w:val="auto"/>
                <w:sz w:val="20"/>
                <w:szCs w:val="20"/>
              </w:rPr>
              <w:t>28.13</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b/>
                <w:color w:val="auto"/>
                <w:sz w:val="20"/>
                <w:szCs w:val="20"/>
              </w:rPr>
              <w:t>14.60</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20805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行政事业单位养老支出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b/>
                <w:color w:val="auto"/>
                <w:sz w:val="20"/>
                <w:szCs w:val="20"/>
              </w:rPr>
              <w:t>3.51</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b/>
                <w:color w:val="auto"/>
                <w:sz w:val="20"/>
                <w:szCs w:val="20"/>
              </w:rPr>
              <w:t>3.51</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2080505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机关事业单位基本养老保险缴费支出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color w:val="auto"/>
                <w:sz w:val="20"/>
                <w:szCs w:val="20"/>
              </w:rPr>
              <w:t>2.34</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color w:val="auto"/>
                <w:sz w:val="20"/>
                <w:szCs w:val="20"/>
              </w:rPr>
              <w:t>2.34</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2080506</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机关事业单位职业年金缴费支出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color w:val="auto"/>
                <w:sz w:val="20"/>
                <w:szCs w:val="20"/>
              </w:rPr>
              <w:t>1.17</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color w:val="auto"/>
                <w:sz w:val="20"/>
                <w:szCs w:val="20"/>
              </w:rPr>
              <w:t>1.17</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20808</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抚恤</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b/>
                <w:color w:val="auto"/>
                <w:sz w:val="20"/>
                <w:szCs w:val="20"/>
              </w:rPr>
              <w:t>14.60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b/>
                <w:color w:val="auto"/>
                <w:sz w:val="20"/>
                <w:szCs w:val="20"/>
              </w:rPr>
              <w:t>14.60</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2080805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义务兵优待</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color w:val="auto"/>
                <w:sz w:val="20"/>
                <w:szCs w:val="20"/>
              </w:rPr>
              <w:t>14.60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color w:val="auto"/>
                <w:sz w:val="20"/>
                <w:szCs w:val="20"/>
              </w:rPr>
              <w:t>14.60</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20828</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退役军人管理事务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b/>
                <w:color w:val="auto"/>
                <w:sz w:val="20"/>
                <w:szCs w:val="20"/>
              </w:rPr>
              <w:t>24.61</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b/>
                <w:color w:val="auto"/>
                <w:sz w:val="20"/>
                <w:szCs w:val="20"/>
              </w:rPr>
              <w:t>24.61</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2082850</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事业运行</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color w:val="auto"/>
                <w:sz w:val="20"/>
                <w:szCs w:val="20"/>
              </w:rPr>
              <w:t>24.61</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color w:val="auto"/>
                <w:sz w:val="20"/>
                <w:szCs w:val="20"/>
              </w:rPr>
              <w:t>24.61</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210</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卫生健康支出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b/>
                <w:color w:val="auto"/>
                <w:sz w:val="20"/>
                <w:szCs w:val="20"/>
              </w:rPr>
              <w:t>1.45</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b/>
                <w:color w:val="auto"/>
                <w:sz w:val="20"/>
                <w:szCs w:val="20"/>
              </w:rPr>
              <w:t>1.45</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21011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行政事业单位医疗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b/>
                <w:color w:val="auto"/>
                <w:sz w:val="20"/>
                <w:szCs w:val="20"/>
              </w:rPr>
              <w:t>1.45</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b/>
                <w:color w:val="auto"/>
                <w:sz w:val="20"/>
                <w:szCs w:val="20"/>
              </w:rPr>
              <w:t>1.45</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2101102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color w:val="auto"/>
                <w:sz w:val="20"/>
                <w:szCs w:val="20"/>
              </w:rPr>
              <w:t>1.45</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color w:val="auto"/>
                <w:sz w:val="20"/>
                <w:szCs w:val="20"/>
              </w:rPr>
              <w:t>1.45</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221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住房保障支出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b/>
                <w:color w:val="auto"/>
                <w:sz w:val="20"/>
                <w:szCs w:val="20"/>
              </w:rPr>
              <w:t>2.87</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b/>
                <w:color w:val="auto"/>
                <w:sz w:val="20"/>
                <w:szCs w:val="20"/>
              </w:rPr>
              <w:t>2.87</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22102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住房改革支出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b/>
                <w:color w:val="auto"/>
                <w:sz w:val="20"/>
                <w:szCs w:val="20"/>
              </w:rPr>
              <w:t>2.87</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b/>
                <w:color w:val="auto"/>
                <w:sz w:val="20"/>
                <w:szCs w:val="20"/>
              </w:rPr>
              <w:t>2.87</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2210201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住房公积金</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color w:val="auto"/>
                <w:sz w:val="20"/>
                <w:szCs w:val="20"/>
              </w:rPr>
              <w:t>2.87</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color w:val="auto"/>
                <w:sz w:val="20"/>
                <w:szCs w:val="20"/>
              </w:rPr>
              <w:t>2.87</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r>
    </w:tbl>
    <w:p>
      <w:pPr>
        <w:rPr>
          <w:rFonts w:hint="default" w:cs="宋体"/>
          <w:color w:val="auto"/>
          <w:sz w:val="20"/>
          <w:szCs w:val="20"/>
        </w:rPr>
      </w:pPr>
      <w:r>
        <w:rPr>
          <w:rFonts w:cs="宋体"/>
          <w:color w:val="auto"/>
          <w:sz w:val="20"/>
          <w:szCs w:val="20"/>
        </w:rPr>
        <w:t>备注：1.本表反映单位本年度各项支出情况。</w:t>
      </w:r>
      <w:r>
        <w:rPr>
          <w:rFonts w:cs="宋体"/>
          <w:color w:val="auto"/>
          <w:sz w:val="20"/>
          <w:szCs w:val="20"/>
        </w:rPr>
        <w:br w:type="textWrapping"/>
      </w:r>
      <w:r>
        <w:rPr>
          <w:rFonts w:cs="宋体"/>
          <w:color w:val="auto"/>
          <w:sz w:val="20"/>
          <w:szCs w:val="20"/>
        </w:rPr>
        <w:t>2.本套报表金额单位转换时可能存在尾数误差。</w:t>
      </w:r>
      <w:r>
        <w:rPr>
          <w:rFonts w:cs="宋体"/>
          <w:color w:val="auto"/>
          <w:sz w:val="20"/>
          <w:szCs w:val="20"/>
        </w:rPr>
        <w:br w:type="textWrapping"/>
      </w:r>
      <w:r>
        <w:rPr>
          <w:rFonts w:cs="宋体"/>
          <w:color w:val="auto"/>
          <w:sz w:val="20"/>
          <w:szCs w:val="20"/>
        </w:rPr>
        <w:br w:type="textWrapping"/>
      </w:r>
    </w:p>
    <w:p>
      <w:pPr>
        <w:rPr>
          <w:rFonts w:hint="default" w:cs="宋体"/>
          <w:color w:val="auto"/>
          <w:sz w:val="21"/>
          <w:szCs w:val="21"/>
        </w:rPr>
      </w:pPr>
      <w:r>
        <w:rPr>
          <w:rFonts w:cs="宋体"/>
          <w:color w:val="auto"/>
          <w:sz w:val="21"/>
          <w:szCs w:val="21"/>
        </w:rPr>
        <w:br w:type="page"/>
      </w:r>
    </w:p>
    <w:p>
      <w:pPr>
        <w:rPr>
          <w:rFonts w:hint="default" w:cs="宋体"/>
          <w:color w:val="auto"/>
          <w:sz w:val="21"/>
          <w:szCs w:val="21"/>
        </w:rPr>
      </w:pPr>
    </w:p>
    <w:tbl>
      <w:tblPr>
        <w:tblStyle w:val="10"/>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tblPrEx>
          <w:tblLayout w:type="fixed"/>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auto"/>
                <w:sz w:val="32"/>
                <w:szCs w:val="32"/>
              </w:rPr>
            </w:pPr>
            <w:r>
              <w:rPr>
                <w:rFonts w:cs="宋体"/>
                <w:b/>
                <w:color w:val="auto"/>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4505" w:type="dxa"/>
            <w:gridSpan w:val="2"/>
            <w:vMerge w:val="restart"/>
            <w:tcBorders>
              <w:top w:val="nil"/>
              <w:left w:val="nil"/>
              <w:right w:val="nil"/>
            </w:tcBorders>
            <w:shd w:val="clear" w:color="auto" w:fill="auto"/>
            <w:tcMar>
              <w:top w:w="15" w:type="dxa"/>
              <w:left w:w="15" w:type="dxa"/>
              <w:right w:w="15" w:type="dxa"/>
            </w:tcMar>
            <w:vAlign w:val="bottom"/>
          </w:tcPr>
          <w:p>
            <w:pPr>
              <w:spacing w:line="240" w:lineRule="exact"/>
              <w:rPr>
                <w:rFonts w:hint="default" w:cs="宋体"/>
                <w:color w:val="auto"/>
                <w:sz w:val="18"/>
                <w:szCs w:val="18"/>
              </w:rPr>
            </w:pPr>
            <w:r>
              <w:rPr>
                <w:rFonts w:cs="宋体"/>
                <w:color w:val="auto"/>
                <w:sz w:val="20"/>
                <w:szCs w:val="20"/>
              </w:rPr>
              <w:t>公开单位：</w:t>
            </w:r>
            <w:r>
              <w:rPr>
                <w:color w:val="auto"/>
                <w:sz w:val="20"/>
                <w:u w:color="auto"/>
              </w:rPr>
              <w:t>重庆市秀山土家族苗族自治县龙凤坝镇退役军人服务站</w:t>
            </w:r>
          </w:p>
        </w:tc>
        <w:tc>
          <w:tcPr>
            <w:tcW w:w="3191"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auto"/>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auto"/>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auto"/>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auto"/>
                <w:sz w:val="18"/>
                <w:szCs w:val="18"/>
              </w:rPr>
            </w:pPr>
          </w:p>
        </w:tc>
        <w:tc>
          <w:tcPr>
            <w:tcW w:w="1936" w:type="dxa"/>
            <w:tcBorders>
              <w:top w:val="nil"/>
              <w:left w:val="nil"/>
              <w:bottom w:val="nil"/>
              <w:right w:val="nil"/>
            </w:tcBorders>
            <w:shd w:val="clear" w:color="auto" w:fill="auto"/>
            <w:tcMar>
              <w:top w:w="15" w:type="dxa"/>
              <w:left w:w="15" w:type="dxa"/>
              <w:right w:w="15" w:type="dxa"/>
            </w:tcMar>
            <w:vAlign w:val="bottom"/>
          </w:tcPr>
          <w:p>
            <w:pPr>
              <w:spacing w:line="240" w:lineRule="exact"/>
              <w:jc w:val="right"/>
              <w:textAlignment w:val="bottom"/>
              <w:rPr>
                <w:rFonts w:hint="default" w:cs="宋体"/>
                <w:color w:val="auto"/>
                <w:sz w:val="20"/>
                <w:szCs w:val="20"/>
              </w:rPr>
            </w:pPr>
            <w:r>
              <w:rPr>
                <w:rFonts w:cs="宋体"/>
                <w:color w:val="auto"/>
                <w:sz w:val="20"/>
                <w:szCs w:val="20"/>
              </w:rPr>
              <w:t>公开04表</w:t>
            </w:r>
          </w:p>
        </w:tc>
      </w:tr>
      <w:tr>
        <w:tblPrEx>
          <w:tblLayout w:type="fixed"/>
          <w:tblCellMar>
            <w:top w:w="0" w:type="dxa"/>
            <w:left w:w="0" w:type="dxa"/>
            <w:bottom w:w="0" w:type="dxa"/>
            <w:right w:w="0" w:type="dxa"/>
          </w:tblCellMar>
        </w:tblPrEx>
        <w:trPr>
          <w:trHeight w:val="90" w:hRule="atLeast"/>
        </w:trPr>
        <w:tc>
          <w:tcPr>
            <w:tcW w:w="4505" w:type="dxa"/>
            <w:gridSpan w:val="2"/>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auto"/>
                <w:sz w:val="18"/>
                <w:szCs w:val="18"/>
              </w:rPr>
            </w:pPr>
          </w:p>
        </w:tc>
        <w:tc>
          <w:tcPr>
            <w:tcW w:w="3191"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auto"/>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auto"/>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auto"/>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auto"/>
                <w:sz w:val="18"/>
                <w:szCs w:val="18"/>
              </w:rPr>
            </w:pPr>
          </w:p>
        </w:tc>
        <w:tc>
          <w:tcPr>
            <w:tcW w:w="1936"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auto"/>
                <w:sz w:val="20"/>
                <w:szCs w:val="20"/>
              </w:rPr>
            </w:pPr>
            <w:r>
              <w:rPr>
                <w:rFonts w:cs="宋体"/>
                <w:color w:val="auto"/>
                <w:sz w:val="20"/>
                <w:szCs w:val="20"/>
              </w:rPr>
              <w:t>单位：万元</w:t>
            </w:r>
          </w:p>
        </w:tc>
      </w:tr>
      <w:tr>
        <w:tblPrEx>
          <w:tblLayout w:type="fixed"/>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收入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支出</w:t>
            </w:r>
          </w:p>
        </w:tc>
      </w:tr>
      <w:tr>
        <w:tblPrEx>
          <w:tblLayout w:type="fixed"/>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决算数</w:t>
            </w:r>
          </w:p>
        </w:tc>
        <w:tc>
          <w:tcPr>
            <w:tcW w:w="319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功能分类科目</w:t>
            </w:r>
          </w:p>
        </w:tc>
        <w:tc>
          <w:tcPr>
            <w:tcW w:w="7036"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决算数</w:t>
            </w:r>
          </w:p>
        </w:tc>
      </w:tr>
      <w:tr>
        <w:tblPrEx>
          <w:tblLayout w:type="fixed"/>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auto"/>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auto"/>
                <w:sz w:val="18"/>
                <w:szCs w:val="18"/>
              </w:rPr>
            </w:pPr>
          </w:p>
        </w:tc>
        <w:tc>
          <w:tcPr>
            <w:tcW w:w="319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auto"/>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r>
              <w:rPr>
                <w:rFonts w:cs="宋体"/>
                <w:color w:val="auto"/>
                <w:sz w:val="18"/>
                <w:szCs w:val="18"/>
              </w:rPr>
              <w:t>47.05</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auto"/>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auto"/>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auto"/>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auto"/>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auto"/>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auto"/>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auto"/>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auto"/>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auto"/>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auto"/>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r>
              <w:rPr>
                <w:rFonts w:cs="宋体"/>
                <w:color w:val="auto"/>
                <w:sz w:val="18"/>
                <w:szCs w:val="18"/>
              </w:rPr>
              <w:t>42.73</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r>
              <w:rPr>
                <w:rFonts w:cs="宋体"/>
                <w:color w:val="auto"/>
                <w:sz w:val="18"/>
                <w:szCs w:val="18"/>
              </w:rPr>
              <w:t>42.73</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auto"/>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auto"/>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r>
              <w:rPr>
                <w:rFonts w:cs="宋体"/>
                <w:color w:val="auto"/>
                <w:sz w:val="18"/>
                <w:szCs w:val="18"/>
              </w:rPr>
              <w:t>1.45</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r>
              <w:rPr>
                <w:rFonts w:cs="宋体"/>
                <w:color w:val="auto"/>
                <w:sz w:val="18"/>
                <w:szCs w:val="18"/>
              </w:rPr>
              <w:t>1.45</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auto"/>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auto"/>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auto"/>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auto"/>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auto"/>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auto"/>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auto"/>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auto"/>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auto"/>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auto"/>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auto"/>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auto"/>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auto"/>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auto"/>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auto"/>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auto"/>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auto"/>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auto"/>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auto"/>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auto"/>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r>
              <w:rPr>
                <w:rFonts w:cs="宋体"/>
                <w:color w:val="auto"/>
                <w:sz w:val="18"/>
                <w:szCs w:val="18"/>
              </w:rPr>
              <w:t>2.87</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r>
              <w:rPr>
                <w:rFonts w:cs="宋体"/>
                <w:color w:val="auto"/>
                <w:sz w:val="18"/>
                <w:szCs w:val="18"/>
              </w:rPr>
              <w:t>2.87</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auto"/>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auto"/>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auto"/>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auto"/>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auto"/>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auto"/>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auto"/>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auto"/>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auto"/>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auto"/>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auto"/>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auto"/>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auto"/>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auto"/>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r>
              <w:rPr>
                <w:rFonts w:cs="宋体"/>
                <w:color w:val="auto"/>
                <w:sz w:val="18"/>
                <w:szCs w:val="18"/>
              </w:rPr>
              <w:t>47.05</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r>
              <w:rPr>
                <w:rFonts w:cs="宋体"/>
                <w:color w:val="auto"/>
                <w:sz w:val="18"/>
                <w:szCs w:val="18"/>
              </w:rPr>
              <w:t>47.05</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r>
              <w:rPr>
                <w:rFonts w:cs="宋体"/>
                <w:color w:val="auto"/>
                <w:sz w:val="18"/>
                <w:szCs w:val="18"/>
              </w:rPr>
              <w:t>47.05</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319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auto"/>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auto"/>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auto"/>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auto"/>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auto"/>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auto"/>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auto"/>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auto"/>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auto"/>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auto"/>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auto"/>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auto"/>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auto"/>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auto"/>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auto"/>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r>
              <w:rPr>
                <w:rFonts w:cs="宋体"/>
                <w:color w:val="auto"/>
                <w:sz w:val="18"/>
                <w:szCs w:val="18"/>
              </w:rPr>
              <w:t>47.05</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r>
              <w:rPr>
                <w:rFonts w:cs="宋体"/>
                <w:color w:val="auto"/>
                <w:sz w:val="18"/>
                <w:szCs w:val="18"/>
              </w:rPr>
              <w:t>47.05</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r>
              <w:rPr>
                <w:rFonts w:cs="宋体"/>
                <w:color w:val="auto"/>
                <w:sz w:val="18"/>
                <w:szCs w:val="18"/>
              </w:rPr>
              <w:t>47.05</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r>
    </w:tbl>
    <w:p>
      <w:pPr>
        <w:spacing w:line="240" w:lineRule="exact"/>
        <w:rPr>
          <w:rFonts w:hint="default" w:cs="宋体"/>
          <w:color w:val="auto"/>
          <w:sz w:val="20"/>
          <w:szCs w:val="20"/>
        </w:rPr>
      </w:pPr>
      <w:r>
        <w:rPr>
          <w:rFonts w:cs="宋体"/>
          <w:color w:val="auto"/>
          <w:sz w:val="20"/>
          <w:szCs w:val="20"/>
        </w:rPr>
        <w:t>备注：1.本表反映单位本年度一般公共预算财政拨款、政府性基金预算财政拨款及国有资本经营预算财政拨款的总收支和年末结转结余情况。</w:t>
      </w:r>
      <w:r>
        <w:rPr>
          <w:rFonts w:cs="宋体"/>
          <w:color w:val="auto"/>
          <w:sz w:val="20"/>
          <w:szCs w:val="20"/>
        </w:rPr>
        <w:br w:type="textWrapping"/>
      </w:r>
      <w:r>
        <w:rPr>
          <w:rFonts w:cs="宋体"/>
          <w:color w:val="auto"/>
          <w:sz w:val="20"/>
          <w:szCs w:val="20"/>
        </w:rPr>
        <w:t>2.本套报表金额单位转换时可能存在尾数误差。</w:t>
      </w:r>
      <w:r>
        <w:rPr>
          <w:rFonts w:cs="宋体"/>
          <w:color w:val="auto"/>
          <w:sz w:val="20"/>
          <w:szCs w:val="20"/>
        </w:rPr>
        <w:br w:type="textWrapping"/>
      </w:r>
      <w:r>
        <w:rPr>
          <w:rFonts w:cs="宋体"/>
          <w:color w:val="auto"/>
          <w:sz w:val="20"/>
          <w:szCs w:val="20"/>
        </w:rPr>
        <w:br w:type="textWrapping"/>
      </w:r>
      <w:r>
        <w:rPr>
          <w:rFonts w:cs="宋体"/>
          <w:color w:val="auto"/>
          <w:sz w:val="21"/>
          <w:szCs w:val="21"/>
        </w:rPr>
        <w:br w:type="page"/>
      </w:r>
    </w:p>
    <w:tbl>
      <w:tblPr>
        <w:tblStyle w:val="10"/>
        <w:tblW w:w="15378" w:type="dxa"/>
        <w:tblInd w:w="0" w:type="dxa"/>
        <w:tblLayout w:type="fixed"/>
        <w:tblCellMar>
          <w:top w:w="0" w:type="dxa"/>
          <w:left w:w="0" w:type="dxa"/>
          <w:bottom w:w="0" w:type="dxa"/>
          <w:right w:w="0" w:type="dxa"/>
        </w:tblCellMar>
      </w:tblPr>
      <w:tblGrid>
        <w:gridCol w:w="1857"/>
        <w:gridCol w:w="3549"/>
        <w:gridCol w:w="3319"/>
        <w:gridCol w:w="3319"/>
        <w:gridCol w:w="3334"/>
      </w:tblGrid>
      <w:tr>
        <w:tblPrEx>
          <w:tblLayout w:type="fixed"/>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auto"/>
                <w:sz w:val="32"/>
                <w:szCs w:val="32"/>
              </w:rPr>
            </w:pPr>
            <w:r>
              <w:rPr>
                <w:rFonts w:cs="宋体"/>
                <w:b/>
                <w:color w:val="auto"/>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5406"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cs="宋体"/>
                <w:color w:val="auto"/>
                <w:sz w:val="20"/>
                <w:szCs w:val="20"/>
              </w:rPr>
            </w:pPr>
            <w:r>
              <w:rPr>
                <w:rFonts w:cs="宋体"/>
                <w:color w:val="auto"/>
                <w:sz w:val="20"/>
                <w:szCs w:val="20"/>
              </w:rPr>
              <w:t>公开单位：</w:t>
            </w:r>
            <w:r>
              <w:rPr>
                <w:color w:val="auto"/>
                <w:sz w:val="20"/>
                <w:u w:color="auto"/>
              </w:rPr>
              <w:t>重庆市秀山土家族苗族自治县龙凤坝镇退役军人服务站</w:t>
            </w:r>
          </w:p>
        </w:tc>
        <w:tc>
          <w:tcPr>
            <w:tcW w:w="331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331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3334"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auto"/>
                <w:sz w:val="20"/>
                <w:szCs w:val="20"/>
              </w:rPr>
            </w:pPr>
            <w:r>
              <w:rPr>
                <w:rFonts w:cs="宋体"/>
                <w:color w:val="auto"/>
                <w:sz w:val="20"/>
                <w:szCs w:val="20"/>
              </w:rPr>
              <w:t>公开05表</w:t>
            </w:r>
          </w:p>
        </w:tc>
      </w:tr>
      <w:tr>
        <w:tblPrEx>
          <w:tblLayout w:type="fixed"/>
          <w:tblCellMar>
            <w:top w:w="0" w:type="dxa"/>
            <w:left w:w="0" w:type="dxa"/>
            <w:bottom w:w="0" w:type="dxa"/>
            <w:right w:w="0" w:type="dxa"/>
          </w:tblCellMar>
        </w:tblPrEx>
        <w:trPr>
          <w:trHeight w:val="285" w:hRule="atLeast"/>
        </w:trPr>
        <w:tc>
          <w:tcPr>
            <w:tcW w:w="5406"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331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331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3334"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auto"/>
                <w:sz w:val="20"/>
                <w:szCs w:val="20"/>
              </w:rPr>
            </w:pPr>
            <w:r>
              <w:rPr>
                <w:rFonts w:cs="宋体"/>
                <w:color w:val="auto"/>
                <w:sz w:val="20"/>
                <w:szCs w:val="20"/>
              </w:rPr>
              <w:t>单位：万元</w:t>
            </w:r>
          </w:p>
        </w:tc>
      </w:tr>
      <w:tr>
        <w:tblPrEx>
          <w:tblLayout w:type="fixed"/>
          <w:tblCellMar>
            <w:top w:w="0" w:type="dxa"/>
            <w:left w:w="0" w:type="dxa"/>
            <w:bottom w:w="0" w:type="dxa"/>
            <w:right w:w="0" w:type="dxa"/>
          </w:tblCellMar>
        </w:tblPrEx>
        <w:trPr>
          <w:trHeight w:val="308" w:hRule="atLeast"/>
        </w:trPr>
        <w:tc>
          <w:tcPr>
            <w:tcW w:w="5406"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项目</w:t>
            </w:r>
          </w:p>
        </w:tc>
        <w:tc>
          <w:tcPr>
            <w:tcW w:w="9972"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本年支出</w:t>
            </w:r>
          </w:p>
        </w:tc>
      </w:tr>
      <w:tr>
        <w:tblPrEx>
          <w:tblLayout w:type="fixed"/>
          <w:tblCellMar>
            <w:top w:w="0" w:type="dxa"/>
            <w:left w:w="0" w:type="dxa"/>
            <w:bottom w:w="0" w:type="dxa"/>
            <w:right w:w="0" w:type="dxa"/>
          </w:tblCellMar>
        </w:tblPrEx>
        <w:trPr>
          <w:trHeight w:val="326" w:hRule="atLeast"/>
        </w:trPr>
        <w:tc>
          <w:tcPr>
            <w:tcW w:w="1857"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功能分类科目编码</w:t>
            </w:r>
          </w:p>
        </w:tc>
        <w:tc>
          <w:tcPr>
            <w:tcW w:w="354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项目（按“项”级功能分类科目）</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合计</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基本支出</w:t>
            </w:r>
          </w:p>
        </w:tc>
        <w:tc>
          <w:tcPr>
            <w:tcW w:w="333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项目支出</w:t>
            </w:r>
          </w:p>
        </w:tc>
      </w:tr>
      <w:tr>
        <w:tblPrEx>
          <w:tblLayout w:type="fixed"/>
          <w:tblCellMar>
            <w:top w:w="0" w:type="dxa"/>
            <w:left w:w="0" w:type="dxa"/>
            <w:bottom w:w="0" w:type="dxa"/>
            <w:right w:w="0" w:type="dxa"/>
          </w:tblCellMar>
        </w:tblPrEx>
        <w:trPr>
          <w:trHeight w:val="326"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r>
      <w:tr>
        <w:tblPrEx>
          <w:tblLayout w:type="fixed"/>
          <w:tblCellMar>
            <w:top w:w="0" w:type="dxa"/>
            <w:left w:w="0" w:type="dxa"/>
            <w:bottom w:w="0" w:type="dxa"/>
            <w:right w:w="0" w:type="dxa"/>
          </w:tblCellMar>
        </w:tblPrEx>
        <w:trPr>
          <w:trHeight w:val="615"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r>
      <w:tr>
        <w:tblPrEx>
          <w:tblLayout w:type="fixed"/>
          <w:tblCellMar>
            <w:top w:w="0" w:type="dxa"/>
            <w:left w:w="0" w:type="dxa"/>
            <w:bottom w:w="0" w:type="dxa"/>
            <w:right w:w="0" w:type="dxa"/>
          </w:tblCellMar>
        </w:tblPrEx>
        <w:trPr>
          <w:trHeight w:val="308" w:hRule="atLeast"/>
        </w:trPr>
        <w:tc>
          <w:tcPr>
            <w:tcW w:w="5406"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合计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r>
              <w:rPr>
                <w:rFonts w:cs="宋体"/>
                <w:b/>
                <w:bCs/>
                <w:color w:val="auto"/>
                <w:sz w:val="20"/>
                <w:szCs w:val="20"/>
              </w:rPr>
              <w:t>47.05</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r>
              <w:rPr>
                <w:rFonts w:cs="宋体"/>
                <w:b/>
                <w:bCs/>
                <w:color w:val="auto"/>
                <w:sz w:val="20"/>
                <w:szCs w:val="20"/>
              </w:rPr>
              <w:t>32.45</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r>
              <w:rPr>
                <w:rFonts w:cs="宋体"/>
                <w:b/>
                <w:bCs/>
                <w:color w:val="auto"/>
                <w:sz w:val="20"/>
                <w:szCs w:val="20"/>
              </w:rPr>
              <w:t>14.60</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208</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社会保障和就业支出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r>
              <w:rPr>
                <w:rFonts w:cs="宋体"/>
                <w:b/>
                <w:color w:val="auto"/>
                <w:sz w:val="20"/>
                <w:szCs w:val="20"/>
              </w:rPr>
              <w:t>42.73</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r>
              <w:rPr>
                <w:rFonts w:cs="宋体"/>
                <w:b/>
                <w:color w:val="auto"/>
                <w:sz w:val="20"/>
                <w:szCs w:val="20"/>
              </w:rPr>
              <w:t>28.13</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r>
              <w:rPr>
                <w:rFonts w:cs="宋体"/>
                <w:b/>
                <w:color w:val="auto"/>
                <w:sz w:val="20"/>
                <w:szCs w:val="20"/>
              </w:rPr>
              <w:t>14.60</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20805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行政事业单位养老支出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r>
              <w:rPr>
                <w:rFonts w:cs="宋体"/>
                <w:b/>
                <w:color w:val="auto"/>
                <w:sz w:val="20"/>
                <w:szCs w:val="20"/>
              </w:rPr>
              <w:t>3.51</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r>
              <w:rPr>
                <w:rFonts w:cs="宋体"/>
                <w:b/>
                <w:color w:val="auto"/>
                <w:sz w:val="20"/>
                <w:szCs w:val="20"/>
              </w:rPr>
              <w:t>3.51</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2080505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机关事业单位基本养老保险缴费支出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r>
              <w:rPr>
                <w:rFonts w:cs="宋体"/>
                <w:color w:val="auto"/>
                <w:sz w:val="20"/>
                <w:szCs w:val="20"/>
              </w:rPr>
              <w:t>2.34</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r>
              <w:rPr>
                <w:rFonts w:cs="宋体"/>
                <w:color w:val="auto"/>
                <w:sz w:val="20"/>
                <w:szCs w:val="20"/>
              </w:rPr>
              <w:t>2.34</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2080506</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机关事业单位职业年金缴费支出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r>
              <w:rPr>
                <w:rFonts w:cs="宋体"/>
                <w:color w:val="auto"/>
                <w:sz w:val="20"/>
                <w:szCs w:val="20"/>
              </w:rPr>
              <w:t>1.17</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r>
              <w:rPr>
                <w:rFonts w:cs="宋体"/>
                <w:color w:val="auto"/>
                <w:sz w:val="20"/>
                <w:szCs w:val="20"/>
              </w:rPr>
              <w:t>1.17</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20808</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抚恤</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r>
              <w:rPr>
                <w:rFonts w:cs="宋体"/>
                <w:b/>
                <w:color w:val="auto"/>
                <w:sz w:val="20"/>
                <w:szCs w:val="20"/>
              </w:rPr>
              <w:t>14.60</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r>
              <w:rPr>
                <w:rFonts w:cs="宋体"/>
                <w:b/>
                <w:color w:val="auto"/>
                <w:sz w:val="20"/>
                <w:szCs w:val="20"/>
              </w:rPr>
              <w:t>14.60</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2080805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义务兵优待</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r>
              <w:rPr>
                <w:rFonts w:cs="宋体"/>
                <w:color w:val="auto"/>
                <w:sz w:val="20"/>
                <w:szCs w:val="20"/>
              </w:rPr>
              <w:t>14.60</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r>
              <w:rPr>
                <w:rFonts w:cs="宋体"/>
                <w:color w:val="auto"/>
                <w:sz w:val="20"/>
                <w:szCs w:val="20"/>
              </w:rPr>
              <w:t>14.60</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20828</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退役军人管理事务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r>
              <w:rPr>
                <w:rFonts w:cs="宋体"/>
                <w:b/>
                <w:color w:val="auto"/>
                <w:sz w:val="20"/>
                <w:szCs w:val="20"/>
              </w:rPr>
              <w:t>24.61</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r>
              <w:rPr>
                <w:rFonts w:cs="宋体"/>
                <w:b/>
                <w:color w:val="auto"/>
                <w:sz w:val="20"/>
                <w:szCs w:val="20"/>
              </w:rPr>
              <w:t>24.61</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2082850</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事业运行</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r>
              <w:rPr>
                <w:rFonts w:cs="宋体"/>
                <w:color w:val="auto"/>
                <w:sz w:val="20"/>
                <w:szCs w:val="20"/>
              </w:rPr>
              <w:t>24.61</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r>
              <w:rPr>
                <w:rFonts w:cs="宋体"/>
                <w:color w:val="auto"/>
                <w:sz w:val="20"/>
                <w:szCs w:val="20"/>
              </w:rPr>
              <w:t>24.61</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210</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卫生健康支出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r>
              <w:rPr>
                <w:rFonts w:cs="宋体"/>
                <w:b/>
                <w:color w:val="auto"/>
                <w:sz w:val="20"/>
                <w:szCs w:val="20"/>
              </w:rPr>
              <w:t>1.45</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r>
              <w:rPr>
                <w:rFonts w:cs="宋体"/>
                <w:b/>
                <w:color w:val="auto"/>
                <w:sz w:val="20"/>
                <w:szCs w:val="20"/>
              </w:rPr>
              <w:t>1.45</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21011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行政事业单位医疗</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r>
              <w:rPr>
                <w:rFonts w:cs="宋体"/>
                <w:b/>
                <w:color w:val="auto"/>
                <w:sz w:val="20"/>
                <w:szCs w:val="20"/>
              </w:rPr>
              <w:t>1.45</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r>
              <w:rPr>
                <w:rFonts w:cs="宋体"/>
                <w:b/>
                <w:color w:val="auto"/>
                <w:sz w:val="20"/>
                <w:szCs w:val="20"/>
              </w:rPr>
              <w:t>1.45</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2101102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事业单位医疗</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r>
              <w:rPr>
                <w:rFonts w:cs="宋体"/>
                <w:color w:val="auto"/>
                <w:sz w:val="20"/>
                <w:szCs w:val="20"/>
              </w:rPr>
              <w:t>1.45</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r>
              <w:rPr>
                <w:rFonts w:cs="宋体"/>
                <w:color w:val="auto"/>
                <w:sz w:val="20"/>
                <w:szCs w:val="20"/>
              </w:rPr>
              <w:t>1.45</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221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住房保障支出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r>
              <w:rPr>
                <w:rFonts w:cs="宋体"/>
                <w:b/>
                <w:color w:val="auto"/>
                <w:sz w:val="20"/>
                <w:szCs w:val="20"/>
              </w:rPr>
              <w:t>2.87</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r>
              <w:rPr>
                <w:rFonts w:cs="宋体"/>
                <w:b/>
                <w:color w:val="auto"/>
                <w:sz w:val="20"/>
                <w:szCs w:val="20"/>
              </w:rPr>
              <w:t>2.87</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22102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住房改革支出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r>
              <w:rPr>
                <w:rFonts w:cs="宋体"/>
                <w:b/>
                <w:color w:val="auto"/>
                <w:sz w:val="20"/>
                <w:szCs w:val="20"/>
              </w:rPr>
              <w:t>2.87</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r>
              <w:rPr>
                <w:rFonts w:cs="宋体"/>
                <w:b/>
                <w:color w:val="auto"/>
                <w:sz w:val="20"/>
                <w:szCs w:val="20"/>
              </w:rPr>
              <w:t>2.87</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2210201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住房公积金</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r>
              <w:rPr>
                <w:rFonts w:cs="宋体"/>
                <w:color w:val="auto"/>
                <w:sz w:val="20"/>
                <w:szCs w:val="20"/>
              </w:rPr>
              <w:t>2.87</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r>
              <w:rPr>
                <w:rFonts w:cs="宋体"/>
                <w:color w:val="auto"/>
                <w:sz w:val="20"/>
                <w:szCs w:val="20"/>
              </w:rPr>
              <w:t>2.87</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p>
        </w:tc>
      </w:tr>
    </w:tbl>
    <w:p>
      <w:pPr>
        <w:rPr>
          <w:rFonts w:hint="default" w:cs="宋体"/>
          <w:color w:val="auto"/>
          <w:sz w:val="21"/>
          <w:szCs w:val="21"/>
        </w:rPr>
      </w:pPr>
      <w:r>
        <w:rPr>
          <w:rFonts w:cs="宋体"/>
          <w:color w:val="auto"/>
          <w:sz w:val="20"/>
          <w:szCs w:val="20"/>
        </w:rPr>
        <w:t>备注：1.本表反映单位本年度一般公共预算财政拨款支出情况。</w:t>
      </w:r>
      <w:r>
        <w:rPr>
          <w:rFonts w:cs="宋体"/>
          <w:color w:val="auto"/>
          <w:sz w:val="20"/>
          <w:szCs w:val="20"/>
        </w:rPr>
        <w:br w:type="textWrapping"/>
      </w:r>
      <w:r>
        <w:rPr>
          <w:rFonts w:cs="宋体"/>
          <w:color w:val="auto"/>
          <w:sz w:val="20"/>
          <w:szCs w:val="20"/>
        </w:rPr>
        <w:t>2.本套报表金额单位转换时可能存在尾数误差。</w:t>
      </w:r>
      <w:r>
        <w:rPr>
          <w:rFonts w:cs="宋体"/>
          <w:color w:val="auto"/>
          <w:sz w:val="20"/>
          <w:szCs w:val="20"/>
        </w:rPr>
        <w:br w:type="textWrapping"/>
      </w:r>
      <w:r>
        <w:rPr>
          <w:rFonts w:cs="宋体"/>
          <w:color w:val="auto"/>
          <w:sz w:val="20"/>
          <w:szCs w:val="20"/>
        </w:rPr>
        <w:br w:type="textWrapping"/>
      </w:r>
    </w:p>
    <w:p>
      <w:pPr>
        <w:ind w:firstLine="630" w:firstLineChars="300"/>
        <w:rPr>
          <w:rFonts w:hint="default" w:cs="宋体"/>
          <w:color w:val="auto"/>
          <w:sz w:val="21"/>
          <w:szCs w:val="21"/>
        </w:rPr>
      </w:pPr>
      <w:r>
        <w:rPr>
          <w:rFonts w:cs="宋体"/>
          <w:color w:val="auto"/>
          <w:sz w:val="21"/>
          <w:szCs w:val="21"/>
        </w:rPr>
        <w:br w:type="page"/>
      </w:r>
    </w:p>
    <w:tbl>
      <w:tblPr>
        <w:tblStyle w:val="10"/>
        <w:tblW w:w="15360" w:type="dxa"/>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Layout w:type="fixed"/>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color="auto" w:fill="auto"/>
            <w:tcMar>
              <w:top w:w="15" w:type="dxa"/>
              <w:left w:w="15" w:type="dxa"/>
              <w:right w:w="15" w:type="dxa"/>
            </w:tcMar>
            <w:vAlign w:val="bottom"/>
          </w:tcPr>
          <w:p>
            <w:pPr>
              <w:spacing w:line="440" w:lineRule="exact"/>
              <w:jc w:val="center"/>
              <w:textAlignment w:val="bottom"/>
              <w:rPr>
                <w:rFonts w:hint="default" w:cs="宋体"/>
                <w:b/>
                <w:color w:val="auto"/>
                <w:sz w:val="32"/>
                <w:szCs w:val="32"/>
              </w:rPr>
            </w:pPr>
            <w:r>
              <w:rPr>
                <w:rFonts w:cs="宋体"/>
                <w:b/>
                <w:color w:val="auto"/>
                <w:sz w:val="32"/>
                <w:szCs w:val="32"/>
              </w:rPr>
              <w:t>一般公共预算财政拨款基本支出决算表</w:t>
            </w:r>
          </w:p>
        </w:tc>
      </w:tr>
      <w:tr>
        <w:tblPrEx>
          <w:tblLayout w:type="fixed"/>
          <w:tblCellMar>
            <w:top w:w="0" w:type="dxa"/>
            <w:left w:w="0" w:type="dxa"/>
            <w:bottom w:w="0" w:type="dxa"/>
            <w:right w:w="0" w:type="dxa"/>
          </w:tblCellMar>
        </w:tblPrEx>
        <w:trPr>
          <w:trHeight w:val="90" w:hRule="atLeast"/>
        </w:trPr>
        <w:tc>
          <w:tcPr>
            <w:tcW w:w="3345" w:type="dxa"/>
            <w:gridSpan w:val="2"/>
            <w:vMerge w:val="restart"/>
            <w:tcBorders>
              <w:top w:val="nil"/>
              <w:left w:val="nil"/>
              <w:right w:val="nil"/>
            </w:tcBorders>
            <w:shd w:val="clear" w:color="auto" w:fill="auto"/>
            <w:tcMar>
              <w:top w:w="15" w:type="dxa"/>
              <w:left w:w="15" w:type="dxa"/>
              <w:right w:w="15" w:type="dxa"/>
            </w:tcMar>
            <w:vAlign w:val="bottom"/>
          </w:tcPr>
          <w:p>
            <w:pPr>
              <w:spacing w:line="240" w:lineRule="exact"/>
              <w:rPr>
                <w:rFonts w:hint="default" w:cs="宋体"/>
                <w:color w:val="auto"/>
                <w:sz w:val="18"/>
                <w:szCs w:val="18"/>
              </w:rPr>
            </w:pPr>
            <w:r>
              <w:rPr>
                <w:rFonts w:cs="宋体"/>
                <w:color w:val="auto"/>
                <w:sz w:val="20"/>
                <w:szCs w:val="20"/>
              </w:rPr>
              <w:t>公开单位：</w:t>
            </w:r>
            <w:r>
              <w:rPr>
                <w:color w:val="auto"/>
                <w:sz w:val="20"/>
                <w:u w:color="auto"/>
              </w:rPr>
              <w:t>重庆市秀山土家族苗族自治县龙凤坝镇退役军人服务站</w:t>
            </w:r>
          </w:p>
        </w:tc>
        <w:tc>
          <w:tcPr>
            <w:tcW w:w="137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auto"/>
                <w:sz w:val="18"/>
                <w:szCs w:val="18"/>
              </w:rPr>
            </w:pPr>
          </w:p>
        </w:tc>
        <w:tc>
          <w:tcPr>
            <w:tcW w:w="83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auto"/>
                <w:sz w:val="18"/>
                <w:szCs w:val="18"/>
              </w:rPr>
            </w:pPr>
          </w:p>
        </w:tc>
        <w:tc>
          <w:tcPr>
            <w:tcW w:w="1923"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auto"/>
                <w:sz w:val="18"/>
                <w:szCs w:val="18"/>
              </w:rPr>
            </w:pPr>
          </w:p>
        </w:tc>
        <w:tc>
          <w:tcPr>
            <w:tcW w:w="165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auto"/>
                <w:sz w:val="18"/>
                <w:szCs w:val="18"/>
              </w:rPr>
            </w:pPr>
          </w:p>
        </w:tc>
        <w:tc>
          <w:tcPr>
            <w:tcW w:w="808"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auto"/>
                <w:sz w:val="18"/>
                <w:szCs w:val="18"/>
              </w:rPr>
            </w:pPr>
          </w:p>
        </w:tc>
        <w:tc>
          <w:tcPr>
            <w:tcW w:w="3527"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auto"/>
                <w:sz w:val="18"/>
                <w:szCs w:val="18"/>
              </w:rPr>
            </w:pPr>
          </w:p>
        </w:tc>
        <w:tc>
          <w:tcPr>
            <w:tcW w:w="188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auto"/>
                <w:sz w:val="20"/>
                <w:szCs w:val="20"/>
              </w:rPr>
            </w:pPr>
            <w:r>
              <w:rPr>
                <w:rFonts w:cs="宋体"/>
                <w:color w:val="auto"/>
                <w:sz w:val="20"/>
                <w:szCs w:val="20"/>
              </w:rPr>
              <w:t>公开06表</w:t>
            </w:r>
          </w:p>
        </w:tc>
      </w:tr>
      <w:tr>
        <w:tblPrEx>
          <w:tblLayout w:type="fixed"/>
          <w:tblCellMar>
            <w:top w:w="0" w:type="dxa"/>
            <w:left w:w="0" w:type="dxa"/>
            <w:bottom w:w="0" w:type="dxa"/>
            <w:right w:w="0" w:type="dxa"/>
          </w:tblCellMar>
        </w:tblPrEx>
        <w:trPr>
          <w:trHeight w:val="90" w:hRule="atLeast"/>
        </w:trPr>
        <w:tc>
          <w:tcPr>
            <w:tcW w:w="3345" w:type="dxa"/>
            <w:gridSpan w:val="2"/>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auto"/>
                <w:sz w:val="18"/>
                <w:szCs w:val="18"/>
              </w:rPr>
            </w:pPr>
          </w:p>
        </w:tc>
        <w:tc>
          <w:tcPr>
            <w:tcW w:w="137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auto"/>
                <w:sz w:val="18"/>
                <w:szCs w:val="18"/>
              </w:rPr>
            </w:pPr>
          </w:p>
        </w:tc>
        <w:tc>
          <w:tcPr>
            <w:tcW w:w="83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auto"/>
                <w:sz w:val="18"/>
                <w:szCs w:val="18"/>
              </w:rPr>
            </w:pPr>
          </w:p>
        </w:tc>
        <w:tc>
          <w:tcPr>
            <w:tcW w:w="1923"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auto"/>
                <w:sz w:val="18"/>
                <w:szCs w:val="18"/>
              </w:rPr>
            </w:pPr>
          </w:p>
        </w:tc>
        <w:tc>
          <w:tcPr>
            <w:tcW w:w="165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auto"/>
                <w:sz w:val="18"/>
                <w:szCs w:val="18"/>
              </w:rPr>
            </w:pPr>
          </w:p>
        </w:tc>
        <w:tc>
          <w:tcPr>
            <w:tcW w:w="808"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auto"/>
                <w:sz w:val="18"/>
                <w:szCs w:val="18"/>
              </w:rPr>
            </w:pPr>
          </w:p>
        </w:tc>
        <w:tc>
          <w:tcPr>
            <w:tcW w:w="3527"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auto"/>
                <w:sz w:val="18"/>
                <w:szCs w:val="18"/>
              </w:rPr>
            </w:pPr>
          </w:p>
        </w:tc>
        <w:tc>
          <w:tcPr>
            <w:tcW w:w="188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auto"/>
                <w:sz w:val="20"/>
                <w:szCs w:val="20"/>
              </w:rPr>
            </w:pPr>
            <w:r>
              <w:rPr>
                <w:rFonts w:cs="宋体"/>
                <w:color w:val="auto"/>
                <w:sz w:val="20"/>
                <w:szCs w:val="20"/>
              </w:rPr>
              <w:t>单位：万元</w:t>
            </w:r>
          </w:p>
        </w:tc>
      </w:tr>
      <w:tr>
        <w:tblPrEx>
          <w:tblLayout w:type="fixed"/>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人员经费</w:t>
            </w:r>
          </w:p>
        </w:tc>
        <w:tc>
          <w:tcPr>
            <w:tcW w:w="10639" w:type="dxa"/>
            <w:gridSpan w:val="6"/>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公用经费</w:t>
            </w:r>
          </w:p>
        </w:tc>
      </w:tr>
      <w:tr>
        <w:tblPrEx>
          <w:tblLayout w:type="fixed"/>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经济分类科目编码</w:t>
            </w:r>
          </w:p>
        </w:tc>
        <w:tc>
          <w:tcPr>
            <w:tcW w:w="274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经济分类科目（按“款”级功能分类科目）</w:t>
            </w:r>
          </w:p>
        </w:tc>
        <w:tc>
          <w:tcPr>
            <w:tcW w:w="137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金额</w:t>
            </w:r>
          </w:p>
        </w:tc>
        <w:tc>
          <w:tcPr>
            <w:tcW w:w="8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经济分类科目编码</w:t>
            </w:r>
          </w:p>
        </w:tc>
        <w:tc>
          <w:tcPr>
            <w:tcW w:w="19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经济分类科目（按“款”级功能分类科目）</w:t>
            </w:r>
          </w:p>
        </w:tc>
        <w:tc>
          <w:tcPr>
            <w:tcW w:w="165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金额</w:t>
            </w:r>
          </w:p>
        </w:tc>
        <w:tc>
          <w:tcPr>
            <w:tcW w:w="808"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经济分类科目编码</w:t>
            </w:r>
          </w:p>
        </w:tc>
        <w:tc>
          <w:tcPr>
            <w:tcW w:w="352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经济分类科目（按“款”级功能分类科目）</w:t>
            </w:r>
          </w:p>
        </w:tc>
        <w:tc>
          <w:tcPr>
            <w:tcW w:w="188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金额</w:t>
            </w:r>
          </w:p>
        </w:tc>
      </w:tr>
      <w:tr>
        <w:tblPrEx>
          <w:tblLayout w:type="fixed"/>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auto"/>
                <w:sz w:val="18"/>
                <w:szCs w:val="18"/>
              </w:rPr>
            </w:pPr>
          </w:p>
        </w:tc>
        <w:tc>
          <w:tcPr>
            <w:tcW w:w="274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auto"/>
                <w:sz w:val="18"/>
                <w:szCs w:val="18"/>
              </w:rPr>
            </w:pPr>
          </w:p>
        </w:tc>
        <w:tc>
          <w:tcPr>
            <w:tcW w:w="137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auto"/>
                <w:sz w:val="18"/>
                <w:szCs w:val="18"/>
              </w:rPr>
            </w:pPr>
          </w:p>
        </w:tc>
        <w:tc>
          <w:tcPr>
            <w:tcW w:w="8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auto"/>
                <w:sz w:val="18"/>
                <w:szCs w:val="18"/>
              </w:rPr>
            </w:pPr>
          </w:p>
        </w:tc>
        <w:tc>
          <w:tcPr>
            <w:tcW w:w="19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auto"/>
                <w:sz w:val="18"/>
                <w:szCs w:val="18"/>
              </w:rPr>
            </w:pPr>
          </w:p>
        </w:tc>
        <w:tc>
          <w:tcPr>
            <w:tcW w:w="165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auto"/>
                <w:sz w:val="18"/>
                <w:szCs w:val="18"/>
              </w:rPr>
            </w:pPr>
          </w:p>
        </w:tc>
        <w:tc>
          <w:tcPr>
            <w:tcW w:w="80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auto"/>
                <w:sz w:val="18"/>
                <w:szCs w:val="18"/>
              </w:rPr>
            </w:pPr>
          </w:p>
        </w:tc>
        <w:tc>
          <w:tcPr>
            <w:tcW w:w="352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auto"/>
                <w:sz w:val="18"/>
                <w:szCs w:val="18"/>
              </w:rPr>
            </w:pPr>
          </w:p>
        </w:tc>
        <w:tc>
          <w:tcPr>
            <w:tcW w:w="188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auto"/>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r>
              <w:rPr>
                <w:rFonts w:cs="宋体"/>
                <w:color w:val="auto"/>
                <w:sz w:val="18"/>
                <w:szCs w:val="18"/>
              </w:rPr>
              <w:t>29.50</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r>
              <w:rPr>
                <w:rFonts w:cs="宋体"/>
                <w:color w:val="auto"/>
                <w:sz w:val="18"/>
                <w:szCs w:val="18"/>
              </w:rPr>
              <w:t>2.95</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30101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r>
              <w:rPr>
                <w:rFonts w:cs="宋体"/>
                <w:color w:val="auto"/>
                <w:sz w:val="18"/>
                <w:szCs w:val="18"/>
              </w:rPr>
              <w:t>8.47</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r>
              <w:rPr>
                <w:rFonts w:cs="宋体"/>
                <w:color w:val="auto"/>
                <w:sz w:val="18"/>
                <w:szCs w:val="18"/>
              </w:rPr>
              <w:t>1.58</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30102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r>
              <w:rPr>
                <w:rFonts w:cs="宋体"/>
                <w:color w:val="auto"/>
                <w:sz w:val="18"/>
                <w:szCs w:val="18"/>
              </w:rPr>
              <w:t>2.20</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31002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30103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30106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30107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r>
              <w:rPr>
                <w:rFonts w:cs="宋体"/>
                <w:color w:val="auto"/>
                <w:sz w:val="18"/>
                <w:szCs w:val="18"/>
              </w:rPr>
              <w:t>10.67</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30205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31006</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30108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r>
              <w:rPr>
                <w:rFonts w:cs="宋体"/>
                <w:color w:val="auto"/>
                <w:sz w:val="18"/>
                <w:szCs w:val="18"/>
              </w:rPr>
              <w:t>2.34</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30206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30109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r>
              <w:rPr>
                <w:rFonts w:cs="宋体"/>
                <w:color w:val="auto"/>
                <w:sz w:val="18"/>
                <w:szCs w:val="18"/>
              </w:rPr>
              <w:t>1.17</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r>
              <w:rPr>
                <w:rFonts w:cs="宋体"/>
                <w:color w:val="auto"/>
                <w:sz w:val="18"/>
                <w:szCs w:val="18"/>
              </w:rPr>
              <w:t>0.62</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30110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r>
              <w:rPr>
                <w:rFonts w:cs="宋体"/>
                <w:color w:val="auto"/>
                <w:sz w:val="18"/>
                <w:szCs w:val="18"/>
              </w:rPr>
              <w:t>1.45</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30208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30111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30209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30112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r>
              <w:rPr>
                <w:rFonts w:cs="宋体"/>
                <w:color w:val="auto"/>
                <w:sz w:val="18"/>
                <w:szCs w:val="18"/>
              </w:rPr>
              <w:t>0.02</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30211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r>
              <w:rPr>
                <w:rFonts w:cs="宋体"/>
                <w:color w:val="auto"/>
                <w:sz w:val="18"/>
                <w:szCs w:val="18"/>
              </w:rPr>
              <w:t>0.15</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31011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30113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r>
              <w:rPr>
                <w:rFonts w:cs="宋体"/>
                <w:color w:val="auto"/>
                <w:sz w:val="18"/>
                <w:szCs w:val="18"/>
              </w:rPr>
              <w:t>2.87</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30212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30114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r>
              <w:rPr>
                <w:rFonts w:cs="宋体"/>
                <w:color w:val="auto"/>
                <w:sz w:val="18"/>
                <w:szCs w:val="18"/>
              </w:rPr>
              <w:t>0.32</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30213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31013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30199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30214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31019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30215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31021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30216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31022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30302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30217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30218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30304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30224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31201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30305</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30225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31203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30306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30226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r>
              <w:rPr>
                <w:rFonts w:cs="宋体"/>
                <w:color w:val="auto"/>
                <w:sz w:val="18"/>
                <w:szCs w:val="18"/>
              </w:rPr>
              <w:t>0.50</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31204</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30307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30227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31205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30308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30228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r>
              <w:rPr>
                <w:rFonts w:cs="宋体"/>
                <w:color w:val="auto"/>
                <w:sz w:val="18"/>
                <w:szCs w:val="18"/>
              </w:rPr>
              <w:t>0.09</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31299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30309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30229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30310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30231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39907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30311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30239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39908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30399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30240</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39909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auto"/>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auto"/>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auto"/>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30299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39910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auto"/>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auto"/>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auto"/>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39999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auto"/>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auto"/>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auto"/>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30701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auto"/>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auto"/>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auto"/>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auto"/>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auto"/>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auto"/>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30702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auto"/>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auto"/>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auto"/>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auto"/>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auto"/>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auto"/>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30703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auto"/>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auto"/>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auto"/>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auto"/>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auto"/>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auto"/>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30704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auto"/>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auto"/>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auto"/>
                <w:sz w:val="18"/>
                <w:szCs w:val="18"/>
              </w:rPr>
            </w:pPr>
          </w:p>
        </w:tc>
      </w:tr>
      <w:tr>
        <w:tblPrEx>
          <w:tblLayout w:type="fixed"/>
          <w:tblCellMar>
            <w:top w:w="0" w:type="dxa"/>
            <w:left w:w="0" w:type="dxa"/>
            <w:bottom w:w="0" w:type="dxa"/>
            <w:right w:w="0" w:type="dxa"/>
          </w:tblCellMar>
        </w:tblPrEx>
        <w:trPr>
          <w:trHeight w:val="90" w:hRule="atLeast"/>
        </w:trPr>
        <w:tc>
          <w:tcPr>
            <w:tcW w:w="3345"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人员经费合计</w:t>
            </w:r>
          </w:p>
        </w:tc>
        <w:tc>
          <w:tcPr>
            <w:tcW w:w="137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bottom"/>
              <w:rPr>
                <w:rFonts w:hint="eastAsia" w:eastAsia="宋体" w:cs="宋体"/>
                <w:color w:val="auto"/>
                <w:sz w:val="18"/>
                <w:szCs w:val="18"/>
                <w:lang w:eastAsia="zh-CN"/>
              </w:rPr>
            </w:pPr>
            <w:r>
              <w:rPr>
                <w:rFonts w:cs="宋体"/>
                <w:color w:val="auto"/>
                <w:sz w:val="18"/>
                <w:szCs w:val="18"/>
              </w:rPr>
              <w:t>29.50</w:t>
            </w:r>
          </w:p>
        </w:tc>
        <w:tc>
          <w:tcPr>
            <w:tcW w:w="8750"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公用经费合计</w:t>
            </w:r>
          </w:p>
        </w:tc>
        <w:tc>
          <w:tcPr>
            <w:tcW w:w="18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r>
              <w:rPr>
                <w:rFonts w:cs="宋体"/>
                <w:color w:val="auto"/>
                <w:sz w:val="18"/>
                <w:szCs w:val="18"/>
              </w:rPr>
              <w:t>2.95</w:t>
            </w:r>
          </w:p>
        </w:tc>
      </w:tr>
    </w:tbl>
    <w:p>
      <w:pPr>
        <w:spacing w:line="280" w:lineRule="exact"/>
        <w:rPr>
          <w:rFonts w:hint="default" w:cs="宋体"/>
          <w:color w:val="auto"/>
          <w:sz w:val="20"/>
          <w:szCs w:val="20"/>
        </w:rPr>
      </w:pPr>
      <w:r>
        <w:rPr>
          <w:rFonts w:cs="宋体"/>
          <w:color w:val="auto"/>
          <w:sz w:val="20"/>
          <w:szCs w:val="20"/>
        </w:rPr>
        <w:t>备注：1.本表反映单位本年度一般公共预算财政拨款基本支出明细情况。</w:t>
      </w:r>
      <w:r>
        <w:rPr>
          <w:rFonts w:cs="宋体"/>
          <w:color w:val="auto"/>
          <w:sz w:val="20"/>
          <w:szCs w:val="20"/>
        </w:rPr>
        <w:br w:type="textWrapping"/>
      </w:r>
      <w:r>
        <w:rPr>
          <w:rFonts w:cs="宋体"/>
          <w:color w:val="auto"/>
          <w:sz w:val="20"/>
          <w:szCs w:val="20"/>
        </w:rPr>
        <w:t>2.本套报表金额单位转换时可能存在尾数误差。</w:t>
      </w:r>
      <w:r>
        <w:rPr>
          <w:rFonts w:cs="宋体"/>
          <w:color w:val="auto"/>
          <w:sz w:val="20"/>
          <w:szCs w:val="20"/>
        </w:rPr>
        <w:br w:type="textWrapping"/>
      </w:r>
      <w:r>
        <w:rPr>
          <w:rFonts w:cs="宋体"/>
          <w:color w:val="auto"/>
          <w:sz w:val="20"/>
          <w:szCs w:val="20"/>
        </w:rPr>
        <w:br w:type="textWrapping"/>
      </w:r>
      <w:r>
        <w:rPr>
          <w:rFonts w:cs="宋体"/>
          <w:color w:val="auto"/>
          <w:sz w:val="21"/>
          <w:szCs w:val="21"/>
        </w:rPr>
        <w:br w:type="page"/>
      </w:r>
    </w:p>
    <w:tbl>
      <w:tblPr>
        <w:tblStyle w:val="10"/>
        <w:tblW w:w="15378" w:type="dxa"/>
        <w:tblInd w:w="0" w:type="dxa"/>
        <w:tblLayout w:type="fixed"/>
        <w:tblCellMar>
          <w:top w:w="0" w:type="dxa"/>
          <w:left w:w="0" w:type="dxa"/>
          <w:bottom w:w="0" w:type="dxa"/>
          <w:right w:w="0" w:type="dxa"/>
        </w:tblCellMar>
      </w:tblPr>
      <w:tblGrid>
        <w:gridCol w:w="1854"/>
        <w:gridCol w:w="3088"/>
        <w:gridCol w:w="1707"/>
        <w:gridCol w:w="1707"/>
        <w:gridCol w:w="1707"/>
        <w:gridCol w:w="1707"/>
        <w:gridCol w:w="1772"/>
        <w:gridCol w:w="1836"/>
      </w:tblGrid>
      <w:tr>
        <w:tblPrEx>
          <w:tblLayout w:type="fixed"/>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auto"/>
                <w:sz w:val="32"/>
                <w:szCs w:val="32"/>
              </w:rPr>
            </w:pPr>
            <w:r>
              <w:rPr>
                <w:rFonts w:cs="宋体"/>
                <w:b/>
                <w:color w:val="auto"/>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4942"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cs="宋体"/>
                <w:color w:val="auto"/>
                <w:sz w:val="20"/>
                <w:szCs w:val="20"/>
              </w:rPr>
            </w:pPr>
            <w:r>
              <w:rPr>
                <w:rFonts w:cs="宋体"/>
                <w:color w:val="auto"/>
                <w:sz w:val="20"/>
                <w:szCs w:val="20"/>
              </w:rPr>
              <w:t>公开单位：</w:t>
            </w:r>
            <w:r>
              <w:rPr>
                <w:color w:val="auto"/>
                <w:sz w:val="20"/>
                <w:u w:color="auto"/>
              </w:rPr>
              <w:t>重庆市秀山土家族苗族自治县龙凤坝镇退役军人服务站</w:t>
            </w: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177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183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auto"/>
                <w:sz w:val="20"/>
                <w:szCs w:val="20"/>
              </w:rPr>
            </w:pPr>
            <w:r>
              <w:rPr>
                <w:rFonts w:cs="宋体"/>
                <w:color w:val="auto"/>
                <w:sz w:val="20"/>
                <w:szCs w:val="20"/>
              </w:rPr>
              <w:t>公开07表</w:t>
            </w:r>
          </w:p>
        </w:tc>
      </w:tr>
      <w:tr>
        <w:tblPrEx>
          <w:tblLayout w:type="fixed"/>
          <w:tblCellMar>
            <w:top w:w="0" w:type="dxa"/>
            <w:left w:w="0" w:type="dxa"/>
            <w:bottom w:w="0" w:type="dxa"/>
            <w:right w:w="0" w:type="dxa"/>
          </w:tblCellMar>
        </w:tblPrEx>
        <w:trPr>
          <w:trHeight w:val="329" w:hRule="atLeast"/>
        </w:trPr>
        <w:tc>
          <w:tcPr>
            <w:tcW w:w="4942"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177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183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auto"/>
                <w:sz w:val="20"/>
                <w:szCs w:val="20"/>
              </w:rPr>
            </w:pPr>
            <w:r>
              <w:rPr>
                <w:rFonts w:cs="宋体"/>
                <w:color w:val="auto"/>
                <w:sz w:val="20"/>
                <w:szCs w:val="20"/>
              </w:rPr>
              <w:t>单位：万元</w:t>
            </w:r>
          </w:p>
        </w:tc>
      </w:tr>
      <w:tr>
        <w:tblPrEx>
          <w:tblLayout w:type="fixed"/>
          <w:tblCellMar>
            <w:top w:w="0" w:type="dxa"/>
            <w:left w:w="0" w:type="dxa"/>
            <w:bottom w:w="0" w:type="dxa"/>
            <w:right w:w="0" w:type="dxa"/>
          </w:tblCellMar>
        </w:tblPrEx>
        <w:trPr>
          <w:trHeight w:val="339"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项目</w:t>
            </w:r>
          </w:p>
        </w:tc>
        <w:tc>
          <w:tcPr>
            <w:tcW w:w="1707"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本年收入</w:t>
            </w:r>
          </w:p>
        </w:tc>
        <w:tc>
          <w:tcPr>
            <w:tcW w:w="5186"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本年支出</w:t>
            </w:r>
          </w:p>
        </w:tc>
        <w:tc>
          <w:tcPr>
            <w:tcW w:w="18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年末结转和结余</w:t>
            </w:r>
          </w:p>
        </w:tc>
      </w:tr>
      <w:tr>
        <w:tblPrEx>
          <w:tblLayout w:type="fixed"/>
          <w:tblCellMar>
            <w:top w:w="0" w:type="dxa"/>
            <w:left w:w="0" w:type="dxa"/>
            <w:bottom w:w="0" w:type="dxa"/>
            <w:right w:w="0" w:type="dxa"/>
          </w:tblCellMar>
        </w:tblPrEx>
        <w:trPr>
          <w:trHeight w:val="335" w:hRule="atLeast"/>
        </w:trPr>
        <w:tc>
          <w:tcPr>
            <w:tcW w:w="185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功能分类科目编码</w:t>
            </w:r>
          </w:p>
        </w:tc>
        <w:tc>
          <w:tcPr>
            <w:tcW w:w="308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项目（按“项”级功能分类科目）</w:t>
            </w: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合计</w:t>
            </w: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基本支出</w:t>
            </w:r>
          </w:p>
        </w:tc>
        <w:tc>
          <w:tcPr>
            <w:tcW w:w="177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项目支出</w:t>
            </w: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r>
      <w:tr>
        <w:tblPrEx>
          <w:tblLayout w:type="fixed"/>
          <w:tblCellMar>
            <w:top w:w="0" w:type="dxa"/>
            <w:left w:w="0" w:type="dxa"/>
            <w:bottom w:w="0" w:type="dxa"/>
            <w:right w:w="0" w:type="dxa"/>
          </w:tblCellMar>
        </w:tblPrEx>
        <w:trPr>
          <w:trHeight w:val="33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r>
      <w:tr>
        <w:tblPrEx>
          <w:tblLayout w:type="fixed"/>
          <w:tblCellMar>
            <w:top w:w="0" w:type="dxa"/>
            <w:left w:w="0" w:type="dxa"/>
            <w:bottom w:w="0" w:type="dxa"/>
            <w:right w:w="0" w:type="dxa"/>
          </w:tblCellMar>
        </w:tblPrEx>
        <w:trPr>
          <w:trHeight w:val="64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r>
      <w:tr>
        <w:tblPrEx>
          <w:tblLayout w:type="fixed"/>
          <w:tblCellMar>
            <w:top w:w="0" w:type="dxa"/>
            <w:left w:w="0" w:type="dxa"/>
            <w:bottom w:w="0" w:type="dxa"/>
            <w:right w:w="0" w:type="dxa"/>
          </w:tblCellMar>
        </w:tblPrEx>
        <w:trPr>
          <w:trHeight w:val="339" w:hRule="atLeast"/>
        </w:trPr>
        <w:tc>
          <w:tcPr>
            <w:tcW w:w="4942"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合计</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p>
        </w:tc>
        <w:tc>
          <w:tcPr>
            <w:tcW w:w="17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p>
        </w:tc>
        <w:tc>
          <w:tcPr>
            <w:tcW w:w="18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p>
        </w:tc>
      </w:tr>
    </w:tbl>
    <w:p>
      <w:pPr>
        <w:rPr>
          <w:rFonts w:hint="default" w:cs="宋体"/>
          <w:color w:val="auto"/>
          <w:sz w:val="21"/>
          <w:szCs w:val="21"/>
        </w:rPr>
      </w:pPr>
      <w:r>
        <w:rPr>
          <w:rFonts w:cs="宋体"/>
          <w:color w:val="auto"/>
          <w:sz w:val="20"/>
          <w:szCs w:val="20"/>
        </w:rPr>
        <w:t>备注：本表反映单位本年度政府性基金预算财政拨款收入支出及结转和结余情况。本单位无政府性基金收支，故本表无数据。</w:t>
      </w:r>
      <w:r>
        <w:rPr>
          <w:rFonts w:cs="宋体"/>
          <w:color w:val="auto"/>
          <w:sz w:val="20"/>
          <w:szCs w:val="20"/>
        </w:rPr>
        <w:br w:type="textWrapping"/>
      </w:r>
      <w:r>
        <w:rPr>
          <w:rFonts w:cs="宋体"/>
          <w:color w:val="auto"/>
          <w:sz w:val="20"/>
          <w:szCs w:val="20"/>
        </w:rPr>
        <w:br w:type="textWrapping"/>
      </w:r>
    </w:p>
    <w:p>
      <w:pPr>
        <w:rPr>
          <w:rFonts w:hint="default" w:cs="宋体"/>
          <w:color w:val="auto"/>
          <w:sz w:val="21"/>
          <w:szCs w:val="21"/>
        </w:rPr>
      </w:pPr>
      <w:r>
        <w:rPr>
          <w:rFonts w:cs="宋体"/>
          <w:color w:val="auto"/>
          <w:sz w:val="21"/>
          <w:szCs w:val="21"/>
        </w:rPr>
        <w:br w:type="page"/>
      </w:r>
    </w:p>
    <w:tbl>
      <w:tblPr>
        <w:tblStyle w:val="10"/>
        <w:tblW w:w="15378" w:type="dxa"/>
        <w:tblInd w:w="0" w:type="dxa"/>
        <w:tblLayout w:type="fixed"/>
        <w:tblCellMar>
          <w:top w:w="0" w:type="dxa"/>
          <w:left w:w="0" w:type="dxa"/>
          <w:bottom w:w="0" w:type="dxa"/>
          <w:right w:w="0" w:type="dxa"/>
        </w:tblCellMar>
      </w:tblPr>
      <w:tblGrid>
        <w:gridCol w:w="1882"/>
        <w:gridCol w:w="3060"/>
        <w:gridCol w:w="3276"/>
        <w:gridCol w:w="200"/>
        <w:gridCol w:w="3475"/>
        <w:gridCol w:w="77"/>
        <w:gridCol w:w="3408"/>
      </w:tblGrid>
      <w:tr>
        <w:tblPrEx>
          <w:tblLayout w:type="fixed"/>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auto"/>
                <w:sz w:val="32"/>
                <w:szCs w:val="32"/>
              </w:rPr>
            </w:pPr>
            <w:r>
              <w:rPr>
                <w:rFonts w:cs="宋体"/>
                <w:b/>
                <w:color w:val="auto"/>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4942"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cs="宋体"/>
                <w:color w:val="auto"/>
                <w:sz w:val="20"/>
                <w:szCs w:val="20"/>
              </w:rPr>
            </w:pPr>
            <w:r>
              <w:rPr>
                <w:rFonts w:cs="宋体"/>
                <w:color w:val="auto"/>
                <w:sz w:val="20"/>
                <w:szCs w:val="20"/>
              </w:rPr>
              <w:t>公开单位：</w:t>
            </w:r>
            <w:r>
              <w:rPr>
                <w:color w:val="auto"/>
                <w:sz w:val="20"/>
                <w:u w:color="auto"/>
              </w:rPr>
              <w:t>重庆市秀山土家族苗族自治县龙凤坝镇退役军人服务站</w:t>
            </w:r>
          </w:p>
        </w:tc>
        <w:tc>
          <w:tcPr>
            <w:tcW w:w="327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3752"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3408"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auto"/>
                <w:sz w:val="20"/>
                <w:szCs w:val="20"/>
              </w:rPr>
            </w:pPr>
            <w:r>
              <w:rPr>
                <w:rFonts w:cs="宋体"/>
                <w:color w:val="auto"/>
                <w:sz w:val="20"/>
                <w:szCs w:val="20"/>
              </w:rPr>
              <w:t>公开08表</w:t>
            </w:r>
          </w:p>
        </w:tc>
      </w:tr>
      <w:tr>
        <w:tblPrEx>
          <w:tblLayout w:type="fixed"/>
          <w:tblCellMar>
            <w:top w:w="0" w:type="dxa"/>
            <w:left w:w="0" w:type="dxa"/>
            <w:bottom w:w="0" w:type="dxa"/>
            <w:right w:w="0" w:type="dxa"/>
          </w:tblCellMar>
        </w:tblPrEx>
        <w:trPr>
          <w:trHeight w:val="332" w:hRule="atLeast"/>
        </w:trPr>
        <w:tc>
          <w:tcPr>
            <w:tcW w:w="4942"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327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3752"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3408"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auto"/>
                <w:sz w:val="20"/>
                <w:szCs w:val="20"/>
              </w:rPr>
            </w:pPr>
            <w:r>
              <w:rPr>
                <w:rFonts w:cs="宋体"/>
                <w:color w:val="auto"/>
                <w:sz w:val="20"/>
                <w:szCs w:val="20"/>
              </w:rPr>
              <w:t>单位：万元</w:t>
            </w:r>
          </w:p>
        </w:tc>
      </w:tr>
      <w:tr>
        <w:tblPrEx>
          <w:tblLayout w:type="fixed"/>
          <w:tblCellMar>
            <w:top w:w="0" w:type="dxa"/>
            <w:left w:w="0" w:type="dxa"/>
            <w:bottom w:w="0" w:type="dxa"/>
            <w:right w:w="0" w:type="dxa"/>
          </w:tblCellMar>
        </w:tblPrEx>
        <w:trPr>
          <w:trHeight w:val="422"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auto"/>
                <w:sz w:val="20"/>
                <w:szCs w:val="20"/>
              </w:rPr>
            </w:pPr>
            <w:r>
              <w:rPr>
                <w:rFonts w:cs="宋体"/>
                <w:b/>
                <w:color w:val="auto"/>
                <w:sz w:val="20"/>
                <w:szCs w:val="20"/>
              </w:rPr>
              <w:t>项目</w:t>
            </w:r>
          </w:p>
        </w:tc>
        <w:tc>
          <w:tcPr>
            <w:tcW w:w="10436"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auto"/>
                <w:sz w:val="20"/>
                <w:szCs w:val="20"/>
              </w:rPr>
            </w:pPr>
            <w:r>
              <w:rPr>
                <w:rFonts w:cs="宋体"/>
                <w:b/>
                <w:color w:val="auto"/>
                <w:sz w:val="20"/>
                <w:szCs w:val="20"/>
              </w:rPr>
              <w:t>本年支出</w:t>
            </w:r>
          </w:p>
        </w:tc>
      </w:tr>
      <w:tr>
        <w:tblPrEx>
          <w:tblLayout w:type="fixed"/>
          <w:tblCellMar>
            <w:top w:w="0" w:type="dxa"/>
            <w:left w:w="0" w:type="dxa"/>
            <w:bottom w:w="0" w:type="dxa"/>
            <w:right w:w="0" w:type="dxa"/>
          </w:tblCellMar>
        </w:tblPrEx>
        <w:trPr>
          <w:trHeight w:val="339" w:hRule="atLeast"/>
        </w:trPr>
        <w:tc>
          <w:tcPr>
            <w:tcW w:w="18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功能分类科目编码</w:t>
            </w:r>
          </w:p>
        </w:tc>
        <w:tc>
          <w:tcPr>
            <w:tcW w:w="30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合计</w:t>
            </w:r>
          </w:p>
        </w:tc>
        <w:tc>
          <w:tcPr>
            <w:tcW w:w="347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基本支出</w:t>
            </w:r>
          </w:p>
        </w:tc>
        <w:tc>
          <w:tcPr>
            <w:tcW w:w="3485"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项目支出</w:t>
            </w:r>
          </w:p>
        </w:tc>
      </w:tr>
      <w:tr>
        <w:tblPrEx>
          <w:tblLayout w:type="fixed"/>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r>
      <w:tr>
        <w:tblPrEx>
          <w:tblLayout w:type="fixed"/>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r>
      <w:tr>
        <w:tblPrEx>
          <w:tblLayout w:type="fixed"/>
          <w:tblCellMar>
            <w:top w:w="0" w:type="dxa"/>
            <w:left w:w="0" w:type="dxa"/>
            <w:bottom w:w="0" w:type="dxa"/>
            <w:right w:w="0" w:type="dxa"/>
          </w:tblCellMar>
        </w:tblPrEx>
        <w:trPr>
          <w:trHeight w:val="326"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r>
      <w:tr>
        <w:tblPrEx>
          <w:tblLayout w:type="fixed"/>
          <w:tblCellMar>
            <w:top w:w="0" w:type="dxa"/>
            <w:left w:w="0" w:type="dxa"/>
            <w:bottom w:w="0" w:type="dxa"/>
            <w:right w:w="0" w:type="dxa"/>
          </w:tblCellMar>
        </w:tblPrEx>
        <w:trPr>
          <w:trHeight w:val="611"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合计</w:t>
            </w:r>
          </w:p>
        </w:tc>
        <w:tc>
          <w:tcPr>
            <w:tcW w:w="34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p>
        </w:tc>
        <w:tc>
          <w:tcPr>
            <w:tcW w:w="34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b/>
                <w:color w:val="auto"/>
                <w:sz w:val="20"/>
                <w:szCs w:val="20"/>
              </w:rPr>
            </w:pPr>
          </w:p>
        </w:tc>
        <w:tc>
          <w:tcPr>
            <w:tcW w:w="348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p>
        </w:tc>
      </w:tr>
    </w:tbl>
    <w:p>
      <w:pPr>
        <w:rPr>
          <w:rFonts w:hint="default" w:cs="宋体"/>
          <w:color w:val="auto"/>
          <w:sz w:val="21"/>
          <w:szCs w:val="21"/>
        </w:rPr>
      </w:pPr>
      <w:r>
        <w:rPr>
          <w:rFonts w:cs="宋体"/>
          <w:color w:val="auto"/>
          <w:sz w:val="20"/>
          <w:szCs w:val="20"/>
        </w:rPr>
        <w:t>备注：本表反映单位本年度国有资本经营预算财政拨款支出情况。本单位无国有资本经营收支，故本表无数据。</w:t>
      </w:r>
      <w:r>
        <w:rPr>
          <w:rFonts w:cs="宋体"/>
          <w:color w:val="auto"/>
          <w:sz w:val="20"/>
          <w:szCs w:val="20"/>
        </w:rPr>
        <w:br w:type="textWrapping"/>
      </w:r>
      <w:r>
        <w:rPr>
          <w:rFonts w:cs="宋体"/>
          <w:color w:val="auto"/>
          <w:sz w:val="20"/>
          <w:szCs w:val="20"/>
        </w:rPr>
        <w:br w:type="textWrapping"/>
      </w:r>
    </w:p>
    <w:p>
      <w:pPr>
        <w:rPr>
          <w:rFonts w:hint="default" w:cs="宋体"/>
          <w:color w:val="auto"/>
          <w:sz w:val="21"/>
          <w:szCs w:val="21"/>
        </w:rPr>
      </w:pPr>
      <w:r>
        <w:rPr>
          <w:rFonts w:hint="default" w:cs="宋体"/>
          <w:color w:val="auto"/>
          <w:sz w:val="21"/>
          <w:szCs w:val="21"/>
        </w:rPr>
        <w:br w:type="page"/>
      </w:r>
    </w:p>
    <w:tbl>
      <w:tblPr>
        <w:tblStyle w:val="10"/>
        <w:tblW w:w="15378" w:type="dxa"/>
        <w:tblInd w:w="0" w:type="dxa"/>
        <w:tblLayout w:type="fixed"/>
        <w:tblCellMar>
          <w:top w:w="0" w:type="dxa"/>
          <w:left w:w="0" w:type="dxa"/>
          <w:bottom w:w="0" w:type="dxa"/>
          <w:right w:w="0" w:type="dxa"/>
        </w:tblCellMar>
      </w:tblPr>
      <w:tblGrid>
        <w:gridCol w:w="4167"/>
        <w:gridCol w:w="2236"/>
        <w:gridCol w:w="2184"/>
        <w:gridCol w:w="4660"/>
        <w:gridCol w:w="2131"/>
      </w:tblGrid>
      <w:tr>
        <w:tblPrEx>
          <w:tblLayout w:type="fixed"/>
          <w:tblCellMar>
            <w:top w:w="0" w:type="dxa"/>
            <w:left w:w="0" w:type="dxa"/>
            <w:bottom w:w="0" w:type="dxa"/>
            <w:right w:w="0" w:type="dxa"/>
          </w:tblCellMar>
        </w:tblPrEx>
        <w:trPr>
          <w:trHeight w:val="175" w:hRule="atLeast"/>
        </w:trPr>
        <w:tc>
          <w:tcPr>
            <w:tcW w:w="15378" w:type="dxa"/>
            <w:gridSpan w:val="5"/>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auto"/>
                <w:sz w:val="32"/>
                <w:szCs w:val="32"/>
              </w:rPr>
            </w:pPr>
            <w:r>
              <w:rPr>
                <w:rFonts w:cs="宋体"/>
                <w:b/>
                <w:color w:val="auto"/>
                <w:sz w:val="32"/>
                <w:szCs w:val="32"/>
              </w:rPr>
              <w:t>机构运行信息表</w:t>
            </w:r>
          </w:p>
        </w:tc>
      </w:tr>
      <w:tr>
        <w:tblPrEx>
          <w:tblLayout w:type="fixed"/>
          <w:tblCellMar>
            <w:top w:w="0" w:type="dxa"/>
            <w:left w:w="0" w:type="dxa"/>
            <w:bottom w:w="0" w:type="dxa"/>
            <w:right w:w="0" w:type="dxa"/>
          </w:tblCellMar>
        </w:tblPrEx>
        <w:trPr>
          <w:trHeight w:val="175" w:hRule="atLeast"/>
        </w:trPr>
        <w:tc>
          <w:tcPr>
            <w:tcW w:w="4167" w:type="dxa"/>
            <w:tcBorders>
              <w:top w:val="nil"/>
              <w:left w:val="nil"/>
              <w:bottom w:val="nil"/>
              <w:right w:val="nil"/>
            </w:tcBorders>
            <w:shd w:val="clear" w:color="auto" w:fill="auto"/>
            <w:tcMar>
              <w:top w:w="15" w:type="dxa"/>
              <w:left w:w="15" w:type="dxa"/>
              <w:right w:w="15" w:type="dxa"/>
            </w:tcMar>
            <w:vAlign w:val="bottom"/>
          </w:tcPr>
          <w:p>
            <w:pPr>
              <w:spacing w:line="280" w:lineRule="exact"/>
              <w:rPr>
                <w:rFonts w:hint="default" w:cs="宋体"/>
                <w:color w:val="auto"/>
                <w:sz w:val="20"/>
                <w:szCs w:val="20"/>
              </w:rPr>
            </w:pPr>
          </w:p>
        </w:tc>
        <w:tc>
          <w:tcPr>
            <w:tcW w:w="2236" w:type="dxa"/>
            <w:tcBorders>
              <w:top w:val="nil"/>
              <w:left w:val="nil"/>
              <w:bottom w:val="nil"/>
              <w:right w:val="nil"/>
            </w:tcBorders>
            <w:shd w:val="clear" w:color="auto" w:fill="auto"/>
            <w:tcMar>
              <w:top w:w="15" w:type="dxa"/>
              <w:left w:w="15" w:type="dxa"/>
              <w:right w:w="15" w:type="dxa"/>
            </w:tcMar>
            <w:vAlign w:val="bottom"/>
          </w:tcPr>
          <w:p>
            <w:pPr>
              <w:spacing w:line="280" w:lineRule="exact"/>
              <w:jc w:val="center"/>
              <w:rPr>
                <w:rFonts w:hint="default" w:cs="宋体"/>
                <w:color w:val="auto"/>
                <w:sz w:val="20"/>
                <w:szCs w:val="20"/>
              </w:rPr>
            </w:pPr>
          </w:p>
        </w:tc>
        <w:tc>
          <w:tcPr>
            <w:tcW w:w="2184"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rPr>
                <w:rFonts w:hint="default" w:cs="宋体"/>
                <w:color w:val="auto"/>
                <w:sz w:val="20"/>
                <w:szCs w:val="20"/>
              </w:rPr>
            </w:pPr>
          </w:p>
        </w:tc>
        <w:tc>
          <w:tcPr>
            <w:tcW w:w="4660" w:type="dxa"/>
            <w:tcBorders>
              <w:top w:val="nil"/>
              <w:left w:val="nil"/>
              <w:bottom w:val="nil"/>
              <w:right w:val="nil"/>
            </w:tcBorders>
            <w:shd w:val="clear" w:color="auto" w:fill="auto"/>
            <w:tcMar>
              <w:top w:w="15" w:type="dxa"/>
              <w:left w:w="15" w:type="dxa"/>
              <w:right w:w="15" w:type="dxa"/>
            </w:tcMar>
            <w:vAlign w:val="bottom"/>
          </w:tcPr>
          <w:p>
            <w:pPr>
              <w:spacing w:line="280" w:lineRule="exact"/>
              <w:rPr>
                <w:rFonts w:hint="default" w:cs="宋体"/>
                <w:color w:val="auto"/>
                <w:sz w:val="20"/>
                <w:szCs w:val="20"/>
              </w:rPr>
            </w:pPr>
          </w:p>
        </w:tc>
        <w:tc>
          <w:tcPr>
            <w:tcW w:w="2131"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auto"/>
                <w:sz w:val="20"/>
                <w:szCs w:val="20"/>
              </w:rPr>
            </w:pPr>
            <w:r>
              <w:rPr>
                <w:rFonts w:cs="宋体"/>
                <w:color w:val="auto"/>
                <w:sz w:val="20"/>
                <w:szCs w:val="20"/>
              </w:rPr>
              <w:t>公开09表</w:t>
            </w:r>
          </w:p>
        </w:tc>
      </w:tr>
      <w:tr>
        <w:tblPrEx>
          <w:tblLayout w:type="fixed"/>
          <w:tblCellMar>
            <w:top w:w="0" w:type="dxa"/>
            <w:left w:w="0" w:type="dxa"/>
            <w:bottom w:w="0" w:type="dxa"/>
            <w:right w:w="0" w:type="dxa"/>
          </w:tblCellMar>
        </w:tblPrEx>
        <w:trPr>
          <w:trHeight w:val="175" w:hRule="atLeast"/>
        </w:trPr>
        <w:tc>
          <w:tcPr>
            <w:tcW w:w="4167"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textAlignment w:val="bottom"/>
              <w:rPr>
                <w:rFonts w:hint="default" w:cs="宋体"/>
                <w:color w:val="auto"/>
                <w:sz w:val="20"/>
                <w:szCs w:val="20"/>
              </w:rPr>
            </w:pPr>
            <w:r>
              <w:rPr>
                <w:rFonts w:cs="宋体"/>
                <w:color w:val="auto"/>
                <w:sz w:val="20"/>
                <w:szCs w:val="20"/>
              </w:rPr>
              <w:t>公开单位：</w:t>
            </w:r>
            <w:r>
              <w:rPr>
                <w:color w:val="auto"/>
                <w:sz w:val="20"/>
                <w:u w:color="auto"/>
              </w:rPr>
              <w:t>重庆市秀山土家族苗族自治县龙凤坝镇退役军人服务站</w:t>
            </w:r>
          </w:p>
        </w:tc>
        <w:tc>
          <w:tcPr>
            <w:tcW w:w="2236"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center"/>
              <w:rPr>
                <w:rFonts w:hint="default" w:cs="宋体"/>
                <w:color w:val="auto"/>
                <w:sz w:val="20"/>
                <w:szCs w:val="20"/>
              </w:rPr>
            </w:pPr>
          </w:p>
        </w:tc>
        <w:tc>
          <w:tcPr>
            <w:tcW w:w="2184"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rPr>
                <w:rFonts w:hint="default" w:cs="宋体"/>
                <w:color w:val="auto"/>
                <w:sz w:val="20"/>
                <w:szCs w:val="20"/>
              </w:rPr>
            </w:pPr>
          </w:p>
        </w:tc>
        <w:tc>
          <w:tcPr>
            <w:tcW w:w="4660"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auto"/>
                <w:sz w:val="20"/>
                <w:szCs w:val="20"/>
              </w:rPr>
            </w:pPr>
          </w:p>
        </w:tc>
        <w:tc>
          <w:tcPr>
            <w:tcW w:w="2131"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auto"/>
                <w:sz w:val="20"/>
                <w:szCs w:val="20"/>
              </w:rPr>
            </w:pPr>
            <w:r>
              <w:rPr>
                <w:rFonts w:cs="宋体"/>
                <w:color w:val="auto"/>
                <w:sz w:val="20"/>
                <w:szCs w:val="20"/>
              </w:rPr>
              <w:t>单位：万元</w:t>
            </w:r>
          </w:p>
        </w:tc>
      </w:tr>
      <w:tr>
        <w:tblPrEx>
          <w:tblLayout w:type="fixed"/>
          <w:tblCellMar>
            <w:top w:w="0" w:type="dxa"/>
            <w:left w:w="0" w:type="dxa"/>
            <w:bottom w:w="0" w:type="dxa"/>
            <w:right w:w="0" w:type="dxa"/>
          </w:tblCellMar>
        </w:tblPrEx>
        <w:trPr>
          <w:trHeight w:val="184"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auto"/>
                <w:sz w:val="20"/>
                <w:szCs w:val="20"/>
              </w:rPr>
            </w:pPr>
            <w:r>
              <w:rPr>
                <w:rFonts w:cs="宋体"/>
                <w:b/>
                <w:color w:val="auto"/>
                <w:sz w:val="20"/>
                <w:szCs w:val="20"/>
              </w:rPr>
              <w:t>项目</w:t>
            </w:r>
          </w:p>
        </w:tc>
        <w:tc>
          <w:tcPr>
            <w:tcW w:w="2236"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auto"/>
                <w:sz w:val="20"/>
                <w:szCs w:val="20"/>
              </w:rPr>
            </w:pPr>
            <w:r>
              <w:rPr>
                <w:rFonts w:cs="宋体"/>
                <w:b/>
                <w:color w:val="auto"/>
                <w:sz w:val="20"/>
                <w:szCs w:val="20"/>
              </w:rPr>
              <w:t>预算数</w:t>
            </w:r>
          </w:p>
        </w:tc>
        <w:tc>
          <w:tcPr>
            <w:tcW w:w="218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auto"/>
                <w:sz w:val="20"/>
                <w:szCs w:val="20"/>
              </w:rPr>
            </w:pPr>
            <w:r>
              <w:rPr>
                <w:rFonts w:cs="宋体"/>
                <w:b/>
                <w:color w:val="auto"/>
                <w:sz w:val="20"/>
                <w:szCs w:val="20"/>
              </w:rPr>
              <w:t>决算数</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auto"/>
                <w:sz w:val="20"/>
                <w:szCs w:val="20"/>
              </w:rPr>
            </w:pPr>
            <w:r>
              <w:rPr>
                <w:rFonts w:cs="宋体"/>
                <w:b/>
                <w:color w:val="auto"/>
                <w:sz w:val="20"/>
                <w:szCs w:val="20"/>
              </w:rPr>
              <w:t>项目</w:t>
            </w:r>
          </w:p>
        </w:tc>
        <w:tc>
          <w:tcPr>
            <w:tcW w:w="213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auto"/>
                <w:sz w:val="20"/>
                <w:szCs w:val="20"/>
              </w:rPr>
            </w:pPr>
            <w:r>
              <w:rPr>
                <w:rFonts w:cs="宋体"/>
                <w:b/>
                <w:color w:val="auto"/>
                <w:sz w:val="20"/>
                <w:szCs w:val="20"/>
              </w:rPr>
              <w:t>决算数</w:t>
            </w:r>
          </w:p>
        </w:tc>
      </w:tr>
      <w:tr>
        <w:tblPrEx>
          <w:tblLayout w:type="fixed"/>
          <w:tblCellMar>
            <w:top w:w="0" w:type="dxa"/>
            <w:left w:w="0" w:type="dxa"/>
            <w:bottom w:w="0" w:type="dxa"/>
            <w:right w:w="0" w:type="dxa"/>
          </w:tblCellMar>
        </w:tblPrEx>
        <w:trPr>
          <w:trHeight w:val="184"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一、“三公”经费支出</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auto"/>
                <w:sz w:val="20"/>
                <w:szCs w:val="20"/>
              </w:rPr>
            </w:pPr>
            <w:r>
              <w:rPr>
                <w:rFonts w:cs="宋体"/>
                <w:color w:val="auto"/>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auto"/>
                <w:sz w:val="20"/>
                <w:szCs w:val="20"/>
              </w:rPr>
            </w:pPr>
            <w:r>
              <w:rPr>
                <w:rFonts w:cs="宋体"/>
                <w:color w:val="auto"/>
                <w:sz w:val="20"/>
                <w:szCs w:val="20"/>
              </w:rPr>
              <w:t>—</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四、机关运行经费</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（一）支出合计</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eastAsia" w:eastAsia="宋体" w:cs="宋体"/>
                <w:color w:val="auto"/>
                <w:sz w:val="20"/>
                <w:szCs w:val="20"/>
                <w:lang w:eastAsia="zh-CN"/>
              </w:rPr>
            </w:pP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eastAsia" w:eastAsia="宋体" w:cs="宋体"/>
                <w:color w:val="auto"/>
                <w:sz w:val="20"/>
                <w:szCs w:val="20"/>
                <w:lang w:eastAsia="zh-CN"/>
              </w:rPr>
            </w:pP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（一）行政单位</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1．因公出国（境）费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eastAsia" w:eastAsia="宋体" w:cs="宋体"/>
                <w:color w:val="auto"/>
                <w:sz w:val="20"/>
                <w:szCs w:val="20"/>
                <w:lang w:eastAsia="zh-CN"/>
              </w:rPr>
            </w:pP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eastAsia" w:eastAsia="宋体" w:cs="宋体"/>
                <w:color w:val="auto"/>
                <w:sz w:val="20"/>
                <w:szCs w:val="20"/>
                <w:lang w:eastAsia="zh-CN"/>
              </w:rPr>
            </w:pP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（二）参照公务员法管理事业单位</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2．公务用车购置及运行维护费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eastAsia" w:eastAsia="宋体" w:cs="宋体"/>
                <w:color w:val="auto"/>
                <w:sz w:val="20"/>
                <w:szCs w:val="20"/>
                <w:lang w:eastAsia="zh-CN"/>
              </w:rPr>
            </w:pP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eastAsia" w:eastAsia="宋体" w:cs="宋体"/>
                <w:color w:val="auto"/>
                <w:sz w:val="20"/>
                <w:szCs w:val="20"/>
                <w:lang w:eastAsia="zh-CN"/>
              </w:rPr>
            </w:pP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五、资产信息</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auto"/>
                <w:sz w:val="20"/>
                <w:szCs w:val="20"/>
              </w:rPr>
            </w:pPr>
            <w:r>
              <w:rPr>
                <w:rFonts w:cs="宋体"/>
                <w:color w:val="auto"/>
                <w:sz w:val="20"/>
                <w:szCs w:val="20"/>
              </w:rPr>
              <w:t>—</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（1）公务用车购置费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eastAsia" w:eastAsia="宋体" w:cs="宋体"/>
                <w:color w:val="auto"/>
                <w:sz w:val="20"/>
                <w:szCs w:val="20"/>
                <w:lang w:eastAsia="zh-CN"/>
              </w:rPr>
            </w:pP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eastAsia" w:eastAsia="宋体" w:cs="宋体"/>
                <w:color w:val="auto"/>
                <w:sz w:val="20"/>
                <w:szCs w:val="20"/>
                <w:lang w:eastAsia="zh-CN"/>
              </w:rPr>
            </w:pP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（一）车辆数合计（辆）</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（2）公务用车运行维护费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eastAsia" w:eastAsia="宋体" w:cs="宋体"/>
                <w:color w:val="auto"/>
                <w:sz w:val="20"/>
                <w:szCs w:val="20"/>
                <w:lang w:eastAsia="zh-CN"/>
              </w:rPr>
            </w:pP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eastAsia" w:eastAsia="宋体" w:cs="宋体"/>
                <w:color w:val="auto"/>
                <w:sz w:val="20"/>
                <w:szCs w:val="20"/>
                <w:lang w:eastAsia="zh-CN"/>
              </w:rPr>
            </w:pP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1．副部（省）级及以上领导用车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3．公务接待费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eastAsia" w:eastAsia="宋体" w:cs="宋体"/>
                <w:color w:val="auto"/>
                <w:sz w:val="20"/>
                <w:szCs w:val="20"/>
                <w:lang w:eastAsia="zh-CN"/>
              </w:rPr>
            </w:pP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eastAsia" w:eastAsia="宋体" w:cs="宋体"/>
                <w:color w:val="auto"/>
                <w:sz w:val="20"/>
                <w:szCs w:val="20"/>
                <w:lang w:eastAsia="zh-CN"/>
              </w:rPr>
            </w:pP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2．主要领导干部用车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（1）国内接待费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auto"/>
                <w:sz w:val="20"/>
                <w:szCs w:val="20"/>
              </w:rPr>
            </w:pPr>
            <w:r>
              <w:rPr>
                <w:rFonts w:cs="宋体"/>
                <w:color w:val="auto"/>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eastAsia" w:eastAsia="宋体" w:cs="宋体"/>
                <w:color w:val="auto"/>
                <w:sz w:val="20"/>
                <w:szCs w:val="20"/>
                <w:lang w:eastAsia="zh-CN"/>
              </w:rPr>
            </w:pP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3．机要通信用车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其中：外事接待费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auto"/>
                <w:sz w:val="20"/>
                <w:szCs w:val="20"/>
              </w:rPr>
            </w:pPr>
            <w:r>
              <w:rPr>
                <w:rFonts w:cs="宋体"/>
                <w:color w:val="auto"/>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eastAsia" w:eastAsia="宋体" w:cs="宋体"/>
                <w:color w:val="auto"/>
                <w:sz w:val="20"/>
                <w:szCs w:val="20"/>
                <w:lang w:eastAsia="zh-CN"/>
              </w:rPr>
            </w:pP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4．应急保障用车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（2）国（境）外接待费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auto"/>
                <w:sz w:val="20"/>
                <w:szCs w:val="20"/>
              </w:rPr>
            </w:pPr>
            <w:r>
              <w:rPr>
                <w:rFonts w:cs="宋体"/>
                <w:color w:val="auto"/>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eastAsia" w:eastAsia="宋体" w:cs="宋体"/>
                <w:color w:val="auto"/>
                <w:sz w:val="20"/>
                <w:szCs w:val="20"/>
                <w:lang w:eastAsia="zh-CN"/>
              </w:rPr>
            </w:pP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5．执法执勤用车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（二）相关统计数</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auto"/>
                <w:sz w:val="20"/>
                <w:szCs w:val="20"/>
              </w:rPr>
            </w:pPr>
            <w:r>
              <w:rPr>
                <w:rFonts w:cs="宋体"/>
                <w:color w:val="auto"/>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auto"/>
                <w:sz w:val="20"/>
                <w:szCs w:val="20"/>
              </w:rPr>
            </w:pPr>
            <w:r>
              <w:rPr>
                <w:rFonts w:cs="宋体"/>
                <w:color w:val="auto"/>
                <w:sz w:val="20"/>
                <w:szCs w:val="20"/>
              </w:rPr>
              <w:t>—</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6．特种专业技术用车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1．因公出国（境）团组数（个）</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auto"/>
                <w:sz w:val="20"/>
                <w:szCs w:val="20"/>
              </w:rPr>
            </w:pPr>
            <w:r>
              <w:rPr>
                <w:rFonts w:cs="宋体"/>
                <w:color w:val="auto"/>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eastAsia" w:eastAsia="宋体" w:cs="宋体"/>
                <w:color w:val="auto"/>
                <w:sz w:val="20"/>
                <w:szCs w:val="20"/>
                <w:lang w:eastAsia="zh-CN"/>
              </w:rPr>
            </w:pP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7．离退休干部用车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2．因公出国（境）人次数（人）</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auto"/>
                <w:sz w:val="20"/>
                <w:szCs w:val="20"/>
              </w:rPr>
            </w:pPr>
            <w:r>
              <w:rPr>
                <w:rFonts w:cs="宋体"/>
                <w:color w:val="auto"/>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eastAsia" w:eastAsia="宋体" w:cs="宋体"/>
                <w:color w:val="auto"/>
                <w:sz w:val="20"/>
                <w:szCs w:val="20"/>
                <w:lang w:eastAsia="zh-CN"/>
              </w:rPr>
            </w:pP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8．其他用车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3．公务用车购置数（辆）</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auto"/>
                <w:sz w:val="20"/>
                <w:szCs w:val="20"/>
              </w:rPr>
            </w:pPr>
            <w:r>
              <w:rPr>
                <w:rFonts w:cs="宋体"/>
                <w:color w:val="auto"/>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eastAsia" w:eastAsia="宋体" w:cs="宋体"/>
                <w:color w:val="auto"/>
                <w:sz w:val="20"/>
                <w:szCs w:val="20"/>
                <w:lang w:eastAsia="zh-CN"/>
              </w:rPr>
            </w:pP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（二）单价100万元（含）以上设备（不含车辆）</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4．公务用车保有量（辆）</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auto"/>
                <w:sz w:val="20"/>
                <w:szCs w:val="20"/>
              </w:rPr>
            </w:pPr>
            <w:r>
              <w:rPr>
                <w:rFonts w:cs="宋体"/>
                <w:color w:val="auto"/>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eastAsia" w:eastAsia="宋体" w:cs="宋体"/>
                <w:color w:val="auto"/>
                <w:sz w:val="20"/>
                <w:szCs w:val="20"/>
                <w:lang w:eastAsia="zh-CN"/>
              </w:rPr>
            </w:pP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六、政府采购支出信息</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auto"/>
                <w:sz w:val="20"/>
                <w:szCs w:val="20"/>
              </w:rPr>
            </w:pPr>
            <w:r>
              <w:rPr>
                <w:rFonts w:cs="宋体"/>
                <w:color w:val="auto"/>
                <w:sz w:val="20"/>
                <w:szCs w:val="20"/>
              </w:rPr>
              <w:t>—</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5．国内公务接待批次（个）</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auto"/>
                <w:sz w:val="20"/>
                <w:szCs w:val="20"/>
              </w:rPr>
            </w:pPr>
            <w:r>
              <w:rPr>
                <w:rFonts w:cs="宋体"/>
                <w:color w:val="auto"/>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eastAsia" w:eastAsia="宋体" w:cs="宋体"/>
                <w:color w:val="auto"/>
                <w:sz w:val="20"/>
                <w:szCs w:val="20"/>
                <w:lang w:eastAsia="zh-CN"/>
              </w:rPr>
            </w:pP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（一）政府采购支出合计</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其中：外事接待批次（个）</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auto"/>
                <w:sz w:val="20"/>
                <w:szCs w:val="20"/>
              </w:rPr>
            </w:pPr>
            <w:r>
              <w:rPr>
                <w:rFonts w:cs="宋体"/>
                <w:color w:val="auto"/>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eastAsia" w:eastAsia="宋体" w:cs="宋体"/>
                <w:color w:val="auto"/>
                <w:sz w:val="20"/>
                <w:szCs w:val="20"/>
                <w:lang w:eastAsia="zh-CN"/>
              </w:rPr>
            </w:pP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1．政府采购货物支出</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6．国内公务接待人次（人）</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auto"/>
                <w:sz w:val="20"/>
                <w:szCs w:val="20"/>
              </w:rPr>
            </w:pPr>
            <w:r>
              <w:rPr>
                <w:rFonts w:cs="宋体"/>
                <w:color w:val="auto"/>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eastAsia" w:eastAsia="宋体" w:cs="宋体"/>
                <w:color w:val="auto"/>
                <w:sz w:val="20"/>
                <w:szCs w:val="20"/>
                <w:lang w:eastAsia="zh-CN"/>
              </w:rPr>
            </w:pP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2．政府采购工程支出</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其中：外事接待人次（人）</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auto"/>
                <w:sz w:val="20"/>
                <w:szCs w:val="20"/>
              </w:rPr>
            </w:pPr>
            <w:r>
              <w:rPr>
                <w:rFonts w:cs="宋体"/>
                <w:color w:val="auto"/>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eastAsia" w:eastAsia="宋体" w:cs="宋体"/>
                <w:color w:val="auto"/>
                <w:sz w:val="20"/>
                <w:szCs w:val="20"/>
                <w:lang w:eastAsia="zh-CN"/>
              </w:rPr>
            </w:pP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3．政府采购服务支出</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7．国（境）外公务接待批次（个）</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auto"/>
                <w:sz w:val="20"/>
                <w:szCs w:val="20"/>
              </w:rPr>
            </w:pPr>
            <w:r>
              <w:rPr>
                <w:rFonts w:cs="宋体"/>
                <w:color w:val="auto"/>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eastAsia" w:eastAsia="宋体" w:cs="宋体"/>
                <w:color w:val="auto"/>
                <w:sz w:val="20"/>
                <w:szCs w:val="20"/>
                <w:lang w:eastAsia="zh-CN"/>
              </w:rPr>
            </w:pP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（二）政府采购授予中小企业合同金额</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8．国（境）外公务接待人次（人）</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auto"/>
                <w:sz w:val="20"/>
                <w:szCs w:val="20"/>
              </w:rPr>
            </w:pPr>
            <w:r>
              <w:rPr>
                <w:rFonts w:cs="宋体"/>
                <w:color w:val="auto"/>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eastAsia" w:eastAsia="宋体" w:cs="宋体"/>
                <w:color w:val="auto"/>
                <w:sz w:val="20"/>
                <w:szCs w:val="20"/>
                <w:lang w:eastAsia="zh-CN"/>
              </w:rPr>
            </w:pP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其中：授予小微企业合同金额</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269"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二、会议费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auto"/>
                <w:sz w:val="20"/>
                <w:szCs w:val="20"/>
              </w:rPr>
            </w:pPr>
            <w:r>
              <w:rPr>
                <w:rFonts w:cs="宋体"/>
                <w:color w:val="auto"/>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eastAsia" w:eastAsia="宋体" w:cs="宋体"/>
                <w:color w:val="auto"/>
                <w:sz w:val="20"/>
                <w:szCs w:val="20"/>
                <w:lang w:eastAsia="zh-CN"/>
              </w:rPr>
            </w:pP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rPr>
                <w:rFonts w:hint="default" w:cs="宋体"/>
                <w:color w:val="auto"/>
                <w:sz w:val="20"/>
                <w:szCs w:val="20"/>
              </w:rPr>
            </w:pP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rPr>
                <w:rFonts w:hint="default" w:cs="宋体"/>
                <w:color w:val="auto"/>
                <w:sz w:val="20"/>
                <w:szCs w:val="20"/>
              </w:rPr>
            </w:pPr>
          </w:p>
        </w:tc>
      </w:tr>
      <w:tr>
        <w:tblPrEx>
          <w:tblLayout w:type="fixed"/>
          <w:tblCellMar>
            <w:top w:w="0" w:type="dxa"/>
            <w:left w:w="0" w:type="dxa"/>
            <w:bottom w:w="0" w:type="dxa"/>
            <w:right w:w="0" w:type="dxa"/>
          </w:tblCellMar>
        </w:tblPrEx>
        <w:trPr>
          <w:trHeight w:val="244"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三、培训费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auto"/>
                <w:sz w:val="20"/>
                <w:szCs w:val="20"/>
              </w:rPr>
            </w:pPr>
            <w:r>
              <w:rPr>
                <w:rFonts w:cs="宋体"/>
                <w:color w:val="auto"/>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eastAsia" w:eastAsia="宋体" w:cs="宋体"/>
                <w:color w:val="auto"/>
                <w:sz w:val="20"/>
                <w:szCs w:val="20"/>
                <w:lang w:eastAsia="zh-CN"/>
              </w:rPr>
            </w:pP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rPr>
                <w:rFonts w:hint="default" w:cs="宋体"/>
                <w:color w:val="auto"/>
                <w:sz w:val="20"/>
                <w:szCs w:val="20"/>
              </w:rPr>
            </w:pP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rPr>
                <w:rFonts w:hint="default" w:cs="宋体"/>
                <w:color w:val="auto"/>
                <w:sz w:val="20"/>
                <w:szCs w:val="20"/>
              </w:rPr>
            </w:pPr>
          </w:p>
        </w:tc>
      </w:tr>
    </w:tbl>
    <w:p>
      <w:pPr>
        <w:rPr>
          <w:rFonts w:cs="宋体"/>
          <w:color w:val="auto"/>
          <w:sz w:val="21"/>
          <w:szCs w:val="21"/>
        </w:rPr>
      </w:pPr>
      <w:r>
        <w:rPr>
          <w:rFonts w:cs="宋体"/>
          <w:color w:val="auto"/>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color w:val="auto"/>
          <w:sz w:val="20"/>
          <w:szCs w:val="20"/>
        </w:rPr>
        <w:br w:type="textWrapping"/>
      </w:r>
      <w:r>
        <w:rPr>
          <w:rFonts w:cs="宋体"/>
          <w:color w:val="auto"/>
          <w:sz w:val="20"/>
          <w:szCs w:val="20"/>
        </w:rPr>
        <w:t>2.本套报表金额单位转换时可能存在尾数误差。</w:t>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Fonts w:hint="default"/>
                            </w:rPr>
                          </w:pPr>
                          <w:r>
                            <w:fldChar w:fldCharType="begin"/>
                          </w:r>
                          <w:r>
                            <w:instrText xml:space="preserve"> PAGE  \* MERGEFORMAT </w:instrText>
                          </w:r>
                          <w:r>
                            <w:fldChar w:fldCharType="separate"/>
                          </w:r>
                          <w:r>
                            <w:rPr>
                              <w:rFonts w:hint="default"/>
                            </w:rPr>
                            <w:t>- 23 -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4"/>
                      <w:rPr>
                        <w:rFonts w:hint="default"/>
                      </w:rPr>
                    </w:pPr>
                    <w:r>
                      <w:fldChar w:fldCharType="begin"/>
                    </w:r>
                    <w:r>
                      <w:instrText xml:space="preserve"> PAGE  \* MERGEFORMAT </w:instrText>
                    </w:r>
                    <w:r>
                      <w:fldChar w:fldCharType="separate"/>
                    </w:r>
                    <w:r>
                      <w:rPr>
                        <w:rFonts w:hint="default"/>
                      </w:rPr>
                      <w:t>- 23 -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Fonts w:hint="eastAsia" w:eastAsia="宋体"/>
                              <w:lang w:eastAsia="zh-CN"/>
                            </w:rPr>
                          </w:pPr>
                          <w:r>
                            <w:fldChar w:fldCharType="begin"/>
                          </w:r>
                          <w:r>
                            <w:instrText xml:space="preserve">PAGE   \* MERGEFORMAT</w:instrText>
                          </w:r>
                          <w:r>
                            <w:fldChar w:fldCharType="separate"/>
                          </w:r>
                          <w:r>
                            <w:rPr>
                              <w:rFonts w:hint="default"/>
                              <w:lang w:val="zh-CN"/>
                            </w:rPr>
                            <w:t>-</w:t>
                          </w:r>
                          <w:r>
                            <w:rPr>
                              <w:rFonts w:hint="default"/>
                            </w:rPr>
                            <w:t xml:space="preserve"> 24 -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4"/>
                      <w:rPr>
                        <w:rFonts w:hint="eastAsia" w:eastAsia="宋体"/>
                        <w:lang w:eastAsia="zh-CN"/>
                      </w:rPr>
                    </w:pPr>
                    <w:r>
                      <w:fldChar w:fldCharType="begin"/>
                    </w:r>
                    <w:r>
                      <w:instrText xml:space="preserve">PAGE   \* MERGEFORMAT</w:instrText>
                    </w:r>
                    <w:r>
                      <w:fldChar w:fldCharType="separate"/>
                    </w:r>
                    <w:r>
                      <w:rPr>
                        <w:rFonts w:hint="default"/>
                        <w:lang w:val="zh-CN"/>
                      </w:rPr>
                      <w:t>-</w:t>
                    </w:r>
                    <w:r>
                      <w:rPr>
                        <w:rFonts w:hint="default"/>
                      </w:rPr>
                      <w:t xml:space="preserve"> 24 -</w:t>
                    </w:r>
                    <w:r>
                      <w:fldChar w:fldCharType="end"/>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4"/>
                            <w:jc w:val="both"/>
                            <w:rPr>
                              <w:rFonts w:hint="default" w:cs="宋体"/>
                            </w:rPr>
                          </w:pPr>
                          <w:r>
                            <w:rPr>
                              <w:rFonts w:cs="宋体"/>
                            </w:rPr>
                            <w:t>—27.1—</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4"/>
                      <w:jc w:val="both"/>
                      <w:rPr>
                        <w:rFonts w:hint="default" w:cs="宋体"/>
                      </w:rPr>
                    </w:pPr>
                    <w:r>
                      <w:rPr>
                        <w:rFonts w:cs="宋体"/>
                      </w:rPr>
                      <w:t>—27.1—</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2B254B"/>
    <w:rsid w:val="00550ABE"/>
    <w:rsid w:val="00770383"/>
    <w:rsid w:val="007819D4"/>
    <w:rsid w:val="007B419D"/>
    <w:rsid w:val="009B67B8"/>
    <w:rsid w:val="009D2B67"/>
    <w:rsid w:val="00B03CCD"/>
    <w:rsid w:val="00C20C3E"/>
    <w:rsid w:val="00F73F90"/>
    <w:rsid w:val="00FE1D49"/>
    <w:rsid w:val="01474EBF"/>
    <w:rsid w:val="01F3521E"/>
    <w:rsid w:val="030D430F"/>
    <w:rsid w:val="0394595A"/>
    <w:rsid w:val="039D44E8"/>
    <w:rsid w:val="03B87EA0"/>
    <w:rsid w:val="03E3214F"/>
    <w:rsid w:val="044C50BA"/>
    <w:rsid w:val="05BC6D49"/>
    <w:rsid w:val="06194FF1"/>
    <w:rsid w:val="06A2550B"/>
    <w:rsid w:val="06F80EE2"/>
    <w:rsid w:val="07001CCA"/>
    <w:rsid w:val="074959CB"/>
    <w:rsid w:val="075678DB"/>
    <w:rsid w:val="079D7CC7"/>
    <w:rsid w:val="08051BCA"/>
    <w:rsid w:val="086C12F4"/>
    <w:rsid w:val="08705944"/>
    <w:rsid w:val="08BA052C"/>
    <w:rsid w:val="08DB07BA"/>
    <w:rsid w:val="0969353F"/>
    <w:rsid w:val="098305D0"/>
    <w:rsid w:val="0A3317EA"/>
    <w:rsid w:val="0A5C4B69"/>
    <w:rsid w:val="0A86124A"/>
    <w:rsid w:val="0AB54CC0"/>
    <w:rsid w:val="0B9335CE"/>
    <w:rsid w:val="0BBD2468"/>
    <w:rsid w:val="0BF2311A"/>
    <w:rsid w:val="0C7927C4"/>
    <w:rsid w:val="0C9B098C"/>
    <w:rsid w:val="0D673E11"/>
    <w:rsid w:val="0DDA54E4"/>
    <w:rsid w:val="0DFC6F36"/>
    <w:rsid w:val="0E3A5F83"/>
    <w:rsid w:val="0F39130C"/>
    <w:rsid w:val="0F836721"/>
    <w:rsid w:val="0F8E0AC4"/>
    <w:rsid w:val="0FA25D96"/>
    <w:rsid w:val="0FDB6EDB"/>
    <w:rsid w:val="107B59E5"/>
    <w:rsid w:val="10EC0126"/>
    <w:rsid w:val="10F14261"/>
    <w:rsid w:val="10F70B9A"/>
    <w:rsid w:val="111445C7"/>
    <w:rsid w:val="114278C6"/>
    <w:rsid w:val="1158083A"/>
    <w:rsid w:val="11643A4B"/>
    <w:rsid w:val="11773E97"/>
    <w:rsid w:val="11ED0F98"/>
    <w:rsid w:val="11F03528"/>
    <w:rsid w:val="12C921C4"/>
    <w:rsid w:val="13871C70"/>
    <w:rsid w:val="13A71CB4"/>
    <w:rsid w:val="13AF1D43"/>
    <w:rsid w:val="13CE1647"/>
    <w:rsid w:val="13FD55AB"/>
    <w:rsid w:val="14200702"/>
    <w:rsid w:val="163A6CEE"/>
    <w:rsid w:val="173708E3"/>
    <w:rsid w:val="176514E1"/>
    <w:rsid w:val="17C374FC"/>
    <w:rsid w:val="182E4AB6"/>
    <w:rsid w:val="189079DC"/>
    <w:rsid w:val="189B0D0B"/>
    <w:rsid w:val="18B43F7C"/>
    <w:rsid w:val="194A1770"/>
    <w:rsid w:val="19B906A4"/>
    <w:rsid w:val="1A2D2A14"/>
    <w:rsid w:val="1A693E27"/>
    <w:rsid w:val="1B6F15B6"/>
    <w:rsid w:val="1BAA2EDC"/>
    <w:rsid w:val="1BCE78AD"/>
    <w:rsid w:val="1C7D7E0F"/>
    <w:rsid w:val="1CA55E64"/>
    <w:rsid w:val="1D014A01"/>
    <w:rsid w:val="1D022362"/>
    <w:rsid w:val="1D1B04B0"/>
    <w:rsid w:val="1DA52501"/>
    <w:rsid w:val="1DBD6767"/>
    <w:rsid w:val="1DC52125"/>
    <w:rsid w:val="1DD26311"/>
    <w:rsid w:val="1E1F5594"/>
    <w:rsid w:val="1E374ACB"/>
    <w:rsid w:val="1EBD375F"/>
    <w:rsid w:val="1ECF0A66"/>
    <w:rsid w:val="1EF67CA4"/>
    <w:rsid w:val="1F020D3A"/>
    <w:rsid w:val="1F2C5189"/>
    <w:rsid w:val="1F4B0B02"/>
    <w:rsid w:val="1FBB35CD"/>
    <w:rsid w:val="1FCD26AF"/>
    <w:rsid w:val="203D757E"/>
    <w:rsid w:val="20642787"/>
    <w:rsid w:val="21556F04"/>
    <w:rsid w:val="219404F3"/>
    <w:rsid w:val="22403BD3"/>
    <w:rsid w:val="22B9320A"/>
    <w:rsid w:val="24B92327"/>
    <w:rsid w:val="24C14514"/>
    <w:rsid w:val="2533755C"/>
    <w:rsid w:val="25791755"/>
    <w:rsid w:val="26396DF4"/>
    <w:rsid w:val="268F4CA5"/>
    <w:rsid w:val="27167136"/>
    <w:rsid w:val="271B442C"/>
    <w:rsid w:val="27B23302"/>
    <w:rsid w:val="29310A5F"/>
    <w:rsid w:val="299F6A9F"/>
    <w:rsid w:val="29C37A35"/>
    <w:rsid w:val="2A076083"/>
    <w:rsid w:val="2A73162E"/>
    <w:rsid w:val="2B167953"/>
    <w:rsid w:val="2B200583"/>
    <w:rsid w:val="2B7E7BA0"/>
    <w:rsid w:val="2B8209DE"/>
    <w:rsid w:val="2BE21C4C"/>
    <w:rsid w:val="2C636760"/>
    <w:rsid w:val="2C6762A3"/>
    <w:rsid w:val="2EE054F5"/>
    <w:rsid w:val="2FCA4B37"/>
    <w:rsid w:val="2FE029D7"/>
    <w:rsid w:val="2FF06E00"/>
    <w:rsid w:val="30586FEC"/>
    <w:rsid w:val="30DB7FE1"/>
    <w:rsid w:val="315F0B22"/>
    <w:rsid w:val="31D84415"/>
    <w:rsid w:val="32285F6F"/>
    <w:rsid w:val="32770556"/>
    <w:rsid w:val="329C0913"/>
    <w:rsid w:val="32AA0460"/>
    <w:rsid w:val="3337290D"/>
    <w:rsid w:val="33E31118"/>
    <w:rsid w:val="33EF7674"/>
    <w:rsid w:val="342D7BC6"/>
    <w:rsid w:val="352930DB"/>
    <w:rsid w:val="35537DD9"/>
    <w:rsid w:val="35573069"/>
    <w:rsid w:val="355F6038"/>
    <w:rsid w:val="358C217E"/>
    <w:rsid w:val="36C9128A"/>
    <w:rsid w:val="36FD0909"/>
    <w:rsid w:val="37841E99"/>
    <w:rsid w:val="37BF1123"/>
    <w:rsid w:val="383C3F15"/>
    <w:rsid w:val="38BE4696"/>
    <w:rsid w:val="3939115E"/>
    <w:rsid w:val="39B82A39"/>
    <w:rsid w:val="39C42CA8"/>
    <w:rsid w:val="39CB6FC6"/>
    <w:rsid w:val="39DC4FD6"/>
    <w:rsid w:val="39F03D7A"/>
    <w:rsid w:val="39F33306"/>
    <w:rsid w:val="3A2C1C67"/>
    <w:rsid w:val="3ADD7F09"/>
    <w:rsid w:val="3B1705E5"/>
    <w:rsid w:val="3B18334B"/>
    <w:rsid w:val="3B36794F"/>
    <w:rsid w:val="3B6F6EE0"/>
    <w:rsid w:val="3BF54FC6"/>
    <w:rsid w:val="3C566AD6"/>
    <w:rsid w:val="3C594871"/>
    <w:rsid w:val="3C6A5B02"/>
    <w:rsid w:val="3CE47DDA"/>
    <w:rsid w:val="3D2757A1"/>
    <w:rsid w:val="3D3D4FC4"/>
    <w:rsid w:val="3DDF3AB1"/>
    <w:rsid w:val="3E1D0952"/>
    <w:rsid w:val="3E42660A"/>
    <w:rsid w:val="3E7555B1"/>
    <w:rsid w:val="3E787ED9"/>
    <w:rsid w:val="3F032E93"/>
    <w:rsid w:val="3F0527E5"/>
    <w:rsid w:val="3F694D83"/>
    <w:rsid w:val="3F885DCC"/>
    <w:rsid w:val="3FCD675E"/>
    <w:rsid w:val="4004000C"/>
    <w:rsid w:val="404070DC"/>
    <w:rsid w:val="4087358B"/>
    <w:rsid w:val="40BD5482"/>
    <w:rsid w:val="41037B0C"/>
    <w:rsid w:val="411B6CE5"/>
    <w:rsid w:val="412070D7"/>
    <w:rsid w:val="41314E40"/>
    <w:rsid w:val="41E0734B"/>
    <w:rsid w:val="426C1EA8"/>
    <w:rsid w:val="42736402"/>
    <w:rsid w:val="42E86A87"/>
    <w:rsid w:val="43307B09"/>
    <w:rsid w:val="439A3EB9"/>
    <w:rsid w:val="43BB152F"/>
    <w:rsid w:val="44C37687"/>
    <w:rsid w:val="45CB699A"/>
    <w:rsid w:val="45EA3D62"/>
    <w:rsid w:val="465B470D"/>
    <w:rsid w:val="469D6AD4"/>
    <w:rsid w:val="471E6C84"/>
    <w:rsid w:val="4748792B"/>
    <w:rsid w:val="475D719D"/>
    <w:rsid w:val="47674801"/>
    <w:rsid w:val="48225EF7"/>
    <w:rsid w:val="488F422B"/>
    <w:rsid w:val="48E36915"/>
    <w:rsid w:val="48EB6572"/>
    <w:rsid w:val="49031EA2"/>
    <w:rsid w:val="495C4A24"/>
    <w:rsid w:val="497135DF"/>
    <w:rsid w:val="4A263DF2"/>
    <w:rsid w:val="4A6F6675"/>
    <w:rsid w:val="4AC84D1C"/>
    <w:rsid w:val="4ACF27E7"/>
    <w:rsid w:val="4B135857"/>
    <w:rsid w:val="4B7951CB"/>
    <w:rsid w:val="4B7C315C"/>
    <w:rsid w:val="4DAC4ACA"/>
    <w:rsid w:val="4DBE01D2"/>
    <w:rsid w:val="4F0C6BA3"/>
    <w:rsid w:val="4F186D58"/>
    <w:rsid w:val="4FB0073A"/>
    <w:rsid w:val="508A6E8E"/>
    <w:rsid w:val="50F06B6E"/>
    <w:rsid w:val="517E631D"/>
    <w:rsid w:val="51D21804"/>
    <w:rsid w:val="52234D33"/>
    <w:rsid w:val="522F6E0C"/>
    <w:rsid w:val="52463BA1"/>
    <w:rsid w:val="52DE41FF"/>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86F2601"/>
    <w:rsid w:val="58CE16CC"/>
    <w:rsid w:val="5A332FFD"/>
    <w:rsid w:val="5A3B59D6"/>
    <w:rsid w:val="5AD134D8"/>
    <w:rsid w:val="5C263CE4"/>
    <w:rsid w:val="5C5D2777"/>
    <w:rsid w:val="5CA704F7"/>
    <w:rsid w:val="5CF66BF3"/>
    <w:rsid w:val="5D290C69"/>
    <w:rsid w:val="5F2D4A41"/>
    <w:rsid w:val="5F4A5925"/>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7BF6D56"/>
    <w:rsid w:val="68407834"/>
    <w:rsid w:val="6883293E"/>
    <w:rsid w:val="688412AD"/>
    <w:rsid w:val="68EB1B71"/>
    <w:rsid w:val="6A6C7940"/>
    <w:rsid w:val="6AAD2300"/>
    <w:rsid w:val="6B474EF5"/>
    <w:rsid w:val="6C0A5AC5"/>
    <w:rsid w:val="6C560CAE"/>
    <w:rsid w:val="6C576495"/>
    <w:rsid w:val="6D4B6A9C"/>
    <w:rsid w:val="6D903FF5"/>
    <w:rsid w:val="6DA955B8"/>
    <w:rsid w:val="6DE346AB"/>
    <w:rsid w:val="6DE5391A"/>
    <w:rsid w:val="6EFD1324"/>
    <w:rsid w:val="6F104C18"/>
    <w:rsid w:val="6F5A53AC"/>
    <w:rsid w:val="6FAC003D"/>
    <w:rsid w:val="6FE55E12"/>
    <w:rsid w:val="6FFB2E76"/>
    <w:rsid w:val="708F6F7F"/>
    <w:rsid w:val="70D85261"/>
    <w:rsid w:val="70D94BD3"/>
    <w:rsid w:val="71C34D91"/>
    <w:rsid w:val="71FB2546"/>
    <w:rsid w:val="72823434"/>
    <w:rsid w:val="72DB435C"/>
    <w:rsid w:val="72E2613A"/>
    <w:rsid w:val="72F771F4"/>
    <w:rsid w:val="73934AD2"/>
    <w:rsid w:val="73961443"/>
    <w:rsid w:val="750837F0"/>
    <w:rsid w:val="754758CF"/>
    <w:rsid w:val="75E40853"/>
    <w:rsid w:val="764F62AB"/>
    <w:rsid w:val="765C45EC"/>
    <w:rsid w:val="768A7619"/>
    <w:rsid w:val="772E1EBA"/>
    <w:rsid w:val="781926BC"/>
    <w:rsid w:val="79103ED9"/>
    <w:rsid w:val="7921573C"/>
    <w:rsid w:val="796D60A4"/>
    <w:rsid w:val="79A031D5"/>
    <w:rsid w:val="7A1525F7"/>
    <w:rsid w:val="7B420052"/>
    <w:rsid w:val="7BD06A28"/>
    <w:rsid w:val="7C3A7C0B"/>
    <w:rsid w:val="7C5248E4"/>
    <w:rsid w:val="7C566698"/>
    <w:rsid w:val="7C5866A3"/>
    <w:rsid w:val="7D3878D0"/>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8">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Balloon Text"/>
    <w:basedOn w:val="1"/>
    <w:link w:val="16"/>
    <w:qFormat/>
    <w:uiPriority w:val="0"/>
    <w:rPr>
      <w:sz w:val="18"/>
      <w:szCs w:val="18"/>
    </w:r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qFormat/>
    <w:uiPriority w:val="0"/>
    <w:pP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7">
    <w:name w:val="Normal (Web)"/>
    <w:basedOn w:val="1"/>
    <w:unhideWhenUsed/>
    <w:qFormat/>
    <w:uiPriority w:val="0"/>
    <w:pPr>
      <w:spacing w:before="100" w:beforeAutospacing="1" w:after="100" w:afterAutospacing="1"/>
    </w:pPr>
  </w:style>
  <w:style w:type="character" w:styleId="9">
    <w:name w:val="Strong"/>
    <w:qFormat/>
    <w:uiPriority w:val="0"/>
    <w:rPr>
      <w:b/>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2">
    <w:name w:val="列出段落1"/>
    <w:basedOn w:val="1"/>
    <w:qFormat/>
    <w:uiPriority w:val="99"/>
    <w:pPr>
      <w:ind w:firstLine="420" w:firstLineChars="200"/>
    </w:pPr>
    <w:rPr>
      <w:rFonts w:hint="default"/>
    </w:rPr>
  </w:style>
  <w:style w:type="paragraph" w:customStyle="1" w:styleId="13">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4">
    <w:name w:val="21"/>
    <w:qFormat/>
    <w:uiPriority w:val="0"/>
    <w:rPr>
      <w:rFonts w:hint="default" w:ascii="Wingdings" w:hAnsi="Wingdings" w:cs="Wingdings"/>
      <w:b/>
      <w:bCs/>
    </w:rPr>
  </w:style>
  <w:style w:type="paragraph" w:customStyle="1" w:styleId="15">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6">
    <w:name w:val="批注框文本 Char"/>
    <w:basedOn w:val="8"/>
    <w:link w:val="3"/>
    <w:qFormat/>
    <w:uiPriority w:val="0"/>
    <w:rPr>
      <w:rFonts w:ascii="宋体" w:hAnsi="宋体"/>
      <w:sz w:val="18"/>
      <w:szCs w:val="18"/>
    </w:rPr>
  </w:style>
  <w:style w:type="character" w:customStyle="1" w:styleId="17">
    <w:name w:val="font61"/>
    <w:basedOn w:val="8"/>
    <w:qFormat/>
    <w:uiPriority w:val="0"/>
    <w:rPr>
      <w:rFonts w:ascii="方正仿宋_GBK" w:hAnsi="方正仿宋_GBK" w:eastAsia="方正仿宋_GBK" w:cs="方正仿宋_GBK"/>
      <w:b/>
      <w:color w:val="000000"/>
      <w:sz w:val="22"/>
      <w:szCs w:val="22"/>
      <w:u w:val="none"/>
    </w:rPr>
  </w:style>
  <w:style w:type="character" w:customStyle="1" w:styleId="18">
    <w:name w:val="font71"/>
    <w:basedOn w:val="8"/>
    <w:qFormat/>
    <w:uiPriority w:val="0"/>
    <w:rPr>
      <w:rFonts w:hint="eastAsia" w:ascii="方正仿宋_GBK" w:hAnsi="方正仿宋_GBK" w:eastAsia="方正仿宋_GBK" w:cs="方正仿宋_GBK"/>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4004</Words>
  <Characters>22825</Characters>
  <Lines>190</Lines>
  <Paragraphs>53</Paragraphs>
  <TotalTime>0</TotalTime>
  <ScaleCrop>false</ScaleCrop>
  <LinksUpToDate>false</LinksUpToDate>
  <CharactersWithSpaces>26776</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2024-09-18T04:50:22Z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BB46EABDBB2749749395447164B066B3_12</vt:lpwstr>
  </property>
</Properties>
</file>