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720" w:firstLineChars="200"/>
        <w:jc w:val="center"/>
        <w:textAlignment w:val="auto"/>
        <w:outlineLvl w:val="9"/>
        <w:rPr>
          <w:rFonts w:hint="default" w:ascii="Times New Roman" w:hAnsi="Times New Roman" w:eastAsia="方正小标宋_GBK" w:cs="Times New Roman"/>
          <w:sz w:val="36"/>
          <w:szCs w:val="36"/>
          <w:lang w:eastAsia="zh-CN"/>
        </w:rPr>
      </w:pPr>
      <w:r>
        <w:rPr>
          <w:rFonts w:hint="default" w:ascii="Times New Roman" w:hAnsi="Times New Roman" w:eastAsia="方正小标宋_GBK" w:cs="Times New Roman"/>
          <w:sz w:val="36"/>
          <w:szCs w:val="36"/>
          <w:lang w:eastAsia="zh-CN"/>
        </w:rPr>
        <w:t>重庆市秀山土家族苗族自治县</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720" w:firstLineChars="200"/>
        <w:jc w:val="center"/>
        <w:textAlignment w:val="auto"/>
        <w:outlineLvl w:val="9"/>
        <w:rPr>
          <w:rFonts w:hint="default" w:ascii="Times New Roman" w:hAnsi="Times New Roman" w:eastAsia="方正小标宋_GBK" w:cs="Times New Roman"/>
          <w:sz w:val="36"/>
          <w:szCs w:val="36"/>
          <w:lang w:eastAsia="zh-CN"/>
        </w:rPr>
      </w:pPr>
      <w:r>
        <w:rPr>
          <w:rFonts w:hint="default" w:ascii="Times New Roman" w:hAnsi="Times New Roman" w:eastAsia="方正小标宋_GBK" w:cs="Times New Roman"/>
          <w:sz w:val="36"/>
          <w:szCs w:val="36"/>
          <w:lang w:eastAsia="zh-CN"/>
        </w:rPr>
        <w:t>溪口镇文化服务中心2023年度决算公开说明</w:t>
      </w:r>
    </w:p>
    <w:p>
      <w:pPr>
        <w:pStyle w:val="6"/>
        <w:keepNext w:val="0"/>
        <w:keepLines w:val="0"/>
        <w:pageBreakBefore w:val="0"/>
        <w:widowControl/>
        <w:kinsoku/>
        <w:overflowPunct/>
        <w:topLinePunct w:val="0"/>
        <w:autoSpaceDN/>
        <w:bidi w:val="0"/>
        <w:adjustRightInd/>
        <w:spacing w:before="0" w:beforeAutospacing="0" w:afterAutospacing="0" w:line="560" w:lineRule="exact"/>
        <w:ind w:firstLine="720" w:firstLineChars="200"/>
        <w:jc w:val="center"/>
        <w:rPr>
          <w:rFonts w:hint="default" w:ascii="Times New Roman" w:hAnsi="Times New Roman" w:eastAsia="方正小标宋_GBK" w:cs="Times New Roman"/>
          <w:sz w:val="36"/>
          <w:szCs w:val="36"/>
          <w:lang w:eastAsia="zh-CN"/>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黑体" w:cs="Times New Roman"/>
          <w:sz w:val="32"/>
          <w:szCs w:val="32"/>
        </w:rPr>
      </w:pPr>
      <w:r>
        <w:rPr>
          <w:rStyle w:val="8"/>
          <w:rFonts w:hint="default" w:ascii="Times New Roman" w:hAnsi="Times New Roman" w:eastAsia="方正黑体_GBK" w:cs="Times New Roman"/>
          <w:b w:val="0"/>
          <w:bCs/>
          <w:sz w:val="32"/>
          <w:szCs w:val="32"/>
          <w:shd w:val="clear" w:color="auto" w:fill="FFFFFF"/>
          <w:lang w:eastAsia="zh-CN"/>
        </w:rPr>
        <w:t>一、单位基本情况</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（一）职能职责</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kern w:val="0"/>
          <w:sz w:val="32"/>
          <w:szCs w:val="32"/>
          <w:lang w:val="en-US" w:eastAsia="zh-CN" w:bidi="ar-SA"/>
        </w:rPr>
        <w:t>承担辖区内文化体育阵地建设，组织开展文化体育、文化交流、全民健身活动，组织辖区内文艺培训等；规范农家乐和文娱活动等旅游场所、旅游设施、旅游项目的经营服务；统筹旅游市场秩序，协调旅游执法管理，调处涉旅投诉纠纷，营造诚信经营、文明有序的旅游市场环境；指导旅游项目、旅游产品开发等工作。</w:t>
      </w:r>
    </w:p>
    <w:p>
      <w:pPr>
        <w:pStyle w:val="6"/>
        <w:keepNext w:val="0"/>
        <w:keepLines w:val="0"/>
        <w:pageBreakBefore w:val="0"/>
        <w:widowControl/>
        <w:shd w:val="clear" w:color="auto" w:fill="FFFFFF"/>
        <w:kinsoku/>
        <w:overflowPunct/>
        <w:topLinePunct w:val="0"/>
        <w:autoSpaceDN/>
        <w:bidi w:val="0"/>
        <w:adjustRightInd/>
        <w:spacing w:beforeAutospacing="0" w:afterAutospacing="0" w:line="560" w:lineRule="exact"/>
        <w:ind w:firstLine="640" w:firstLineChars="200"/>
        <w:rPr>
          <w:rFonts w:hint="default" w:ascii="Times New Roman" w:hAnsi="Times New Roman" w:eastAsia="楷体" w:cs="Times New Roman"/>
          <w:sz w:val="32"/>
          <w:szCs w:val="32"/>
        </w:rPr>
      </w:pPr>
      <w:r>
        <w:rPr>
          <w:rStyle w:val="8"/>
          <w:rFonts w:hint="default" w:ascii="Times New Roman" w:hAnsi="Times New Roman" w:eastAsia="方正楷体_GBK" w:cs="Times New Roman"/>
          <w:b w:val="0"/>
          <w:bCs/>
          <w:sz w:val="32"/>
          <w:szCs w:val="32"/>
          <w:shd w:val="clear" w:color="auto" w:fill="FFFFFF"/>
        </w:rPr>
        <w:t>（二）机构设置</w:t>
      </w:r>
    </w:p>
    <w:p>
      <w:pPr>
        <w:pStyle w:val="6"/>
        <w:keepNext w:val="0"/>
        <w:keepLines w:val="0"/>
        <w:pageBreakBefore w:val="0"/>
        <w:widowControl/>
        <w:shd w:val="clear" w:color="auto" w:fill="FFFFFF"/>
        <w:kinsoku/>
        <w:overflowPunct/>
        <w:topLinePunct w:val="0"/>
        <w:autoSpaceDN/>
        <w:bidi w:val="0"/>
        <w:adjustRightInd/>
        <w:spacing w:beforeAutospacing="0"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宋体"/>
          <w:kern w:val="0"/>
          <w:sz w:val="32"/>
          <w:szCs w:val="32"/>
          <w:lang w:val="en-US" w:eastAsia="zh-CN" w:bidi="ar-SA"/>
        </w:rPr>
        <w:t>秀山土家族苗族自治县溪口镇文化服务中心是秀山土家族苗族自治县溪口镇人民政府统一设置的事业站所之一，单位构成为社区文化服务中心，无下属机构。</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黑体_GBK" w:cs="Times New Roman"/>
          <w:b w:val="0"/>
          <w:bCs/>
          <w:sz w:val="32"/>
          <w:szCs w:val="32"/>
          <w:shd w:val="clear" w:color="auto" w:fill="FFFFFF"/>
          <w:lang w:eastAsia="zh-CN"/>
        </w:rPr>
      </w:pPr>
      <w:r>
        <w:rPr>
          <w:rStyle w:val="8"/>
          <w:rFonts w:hint="default" w:ascii="Times New Roman" w:hAnsi="Times New Roman" w:eastAsia="方正黑体_GBK" w:cs="Times New Roman"/>
          <w:b w:val="0"/>
          <w:bCs/>
          <w:sz w:val="32"/>
          <w:szCs w:val="32"/>
          <w:shd w:val="clear" w:color="auto" w:fill="FFFFFF"/>
          <w:lang w:eastAsia="zh-CN"/>
        </w:rPr>
        <w:t>二、单位决算情况说明</w:t>
      </w:r>
    </w:p>
    <w:p>
      <w:pPr>
        <w:pStyle w:val="11"/>
        <w:keepNext w:val="0"/>
        <w:keepLines w:val="0"/>
        <w:pageBreakBefore w:val="0"/>
        <w:widowControl/>
        <w:kinsoku/>
        <w:overflowPunct/>
        <w:topLinePunct w:val="0"/>
        <w:autoSpaceDE w:val="0"/>
        <w:autoSpaceDN/>
        <w:bidi w:val="0"/>
        <w:adjustRightInd/>
        <w:spacing w:beforeAutospacing="0" w:afterAutospacing="0" w:line="560" w:lineRule="exact"/>
        <w:ind w:firstLine="640" w:firstLineChars="200"/>
        <w:rPr>
          <w:rFonts w:hint="default" w:ascii="Times New Roman" w:hAnsi="Times New Roman" w:eastAsia="楷体" w:cs="Times New Roman"/>
          <w:b/>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lang w:val="en-US" w:eastAsia="zh-CN" w:bidi="ar-SA"/>
        </w:rPr>
        <w:t>（一）收入支出决算总体情况说明</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b/>
          <w:bCs/>
          <w:kern w:val="0"/>
          <w:sz w:val="32"/>
          <w:szCs w:val="32"/>
          <w:lang w:val="en-US" w:eastAsia="zh-CN" w:bidi="ar-SA"/>
        </w:rPr>
        <w:t>1.总体情况。</w:t>
      </w:r>
      <w:r>
        <w:rPr>
          <w:rFonts w:hint="default" w:ascii="Times New Roman" w:hAnsi="Times New Roman" w:eastAsia="方正仿宋_GBK" w:cs="宋体"/>
          <w:kern w:val="0"/>
          <w:sz w:val="32"/>
          <w:szCs w:val="32"/>
          <w:lang w:val="en-US" w:eastAsia="zh-CN" w:bidi="ar-SA"/>
        </w:rPr>
        <w:t>2023年度收入总计67.36万元，支出总计67.36万元。收支较上年决算数增加67.36万元，增长100.00%，主要原因是2022年度本单位与部门合并编报决算，按照市财政局要求，2023年独立编报决算，故与上年对比增长100.00%。</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b/>
          <w:bCs/>
          <w:kern w:val="0"/>
          <w:sz w:val="32"/>
          <w:szCs w:val="32"/>
          <w:lang w:val="en-US" w:eastAsia="zh-CN" w:bidi="ar-SA"/>
        </w:rPr>
        <w:t>2.收入情况。</w:t>
      </w:r>
      <w:r>
        <w:rPr>
          <w:rFonts w:hint="default" w:ascii="Times New Roman" w:hAnsi="Times New Roman" w:eastAsia="方正仿宋_GBK" w:cs="宋体"/>
          <w:kern w:val="0"/>
          <w:sz w:val="32"/>
          <w:szCs w:val="32"/>
          <w:lang w:val="en-US" w:eastAsia="zh-CN" w:bidi="ar-SA"/>
        </w:rPr>
        <w:t>2023年度收入合计67.36万元，较上年决算数增加67.36万元，增长100.00%，主要原因是2022年度本单位与部门合并编报决算，按照市财政局要求，2023年独立编报决算，故与上年对比增长100.00%。其中：财政拨款收入67.36万元，占100.00%；事业收入0.00万元，占0.00%；经营收入0.00万元，占0.00%；其他收入0.00万元，占0.00%。此外，使用非财政拨款结余和专用结余0.00万元，年初结转和结余0.00万元。</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b/>
          <w:bCs/>
          <w:kern w:val="0"/>
          <w:sz w:val="32"/>
          <w:szCs w:val="32"/>
          <w:lang w:val="en-US" w:eastAsia="zh-CN" w:bidi="ar-SA"/>
        </w:rPr>
        <w:t>3.支出情况。</w:t>
      </w:r>
      <w:r>
        <w:rPr>
          <w:rFonts w:hint="default" w:ascii="Times New Roman" w:hAnsi="Times New Roman" w:eastAsia="方正仿宋_GBK" w:cs="宋体"/>
          <w:kern w:val="0"/>
          <w:sz w:val="32"/>
          <w:szCs w:val="32"/>
          <w:lang w:val="en-US" w:eastAsia="zh-CN" w:bidi="ar-SA"/>
        </w:rPr>
        <w:t>2023年度支出合计67.36万元，较上年决算数增加67.36万元，增长100.00%，主要原因是2022年度本单位与部门合并编报决算，按照市财政局要求，2023年独立编报决算，故与上年对比增长100.00%。其中：基本支出62.36万元，占92.58%；项目支出5.00万元，占7.42%；经营支出0.00万元，占0.00%。此外，结余分配0.00万元。</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b/>
          <w:bCs/>
          <w:kern w:val="0"/>
          <w:sz w:val="32"/>
          <w:szCs w:val="32"/>
          <w:lang w:val="en-US" w:eastAsia="zh-CN" w:bidi="ar-SA"/>
        </w:rPr>
        <w:t>4.结转结余情况。</w:t>
      </w:r>
      <w:r>
        <w:rPr>
          <w:rFonts w:hint="default" w:ascii="Times New Roman" w:hAnsi="Times New Roman" w:eastAsia="方正仿宋_GBK" w:cs="宋体"/>
          <w:kern w:val="0"/>
          <w:sz w:val="32"/>
          <w:szCs w:val="32"/>
          <w:lang w:val="en-US" w:eastAsia="zh-CN" w:bidi="ar-SA"/>
        </w:rPr>
        <w:t>2023年度年末结转和结余0.00万元，较上年决算数无增减，主要原因是2022年度本单位与部门合并编报决算，按照市财政局要求，2023年独立编报决算且</w:t>
      </w:r>
      <w:r>
        <w:rPr>
          <w:rFonts w:hint="default" w:ascii="Times New Roman" w:hAnsi="Times New Roman" w:eastAsia="方正仿宋_GBK" w:cs="宋体"/>
          <w:kern w:val="0"/>
          <w:sz w:val="32"/>
          <w:szCs w:val="32"/>
          <w:lang w:val="zh-CN" w:eastAsia="zh-CN" w:bidi="ar-SA"/>
        </w:rPr>
        <w:t>上年度实行预算一体化后执行了预算指标零结转的政策，故较上年决算数无增减。</w:t>
      </w:r>
    </w:p>
    <w:p>
      <w:pPr>
        <w:pStyle w:val="6"/>
        <w:keepNext w:val="0"/>
        <w:keepLines w:val="0"/>
        <w:pageBreakBefore w:val="0"/>
        <w:widowControl/>
        <w:shd w:val="clear" w:color="auto" w:fill="FFFFFF"/>
        <w:kinsoku/>
        <w:overflowPunct/>
        <w:topLinePunct w:val="0"/>
        <w:autoSpaceDN/>
        <w:bidi w:val="0"/>
        <w:adjustRightInd/>
        <w:spacing w:beforeAutospacing="0" w:afterAutospacing="0" w:line="560" w:lineRule="exact"/>
        <w:ind w:firstLine="640" w:firstLineChars="200"/>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（二）财政拨款收入支出决算总体情况说明</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kern w:val="0"/>
          <w:sz w:val="32"/>
          <w:szCs w:val="32"/>
          <w:lang w:val="en-US" w:eastAsia="zh-CN" w:bidi="ar-SA"/>
        </w:rPr>
        <w:t>2023年度财政拨款收、支总计67.36万元。与2022年相比，财政拨款收、支总计各增加67.36万元，增长100.00%。主要原因是2022年度本单位与部门合并编报决算，按照市财政局要求，2023年独立编报决算，故与上年对比增长100.00%。</w:t>
      </w:r>
    </w:p>
    <w:p>
      <w:pPr>
        <w:pStyle w:val="11"/>
        <w:keepNext w:val="0"/>
        <w:keepLines w:val="0"/>
        <w:pageBreakBefore w:val="0"/>
        <w:widowControl/>
        <w:kinsoku/>
        <w:overflowPunct/>
        <w:topLinePunct w:val="0"/>
        <w:autoSpaceDE w:val="0"/>
        <w:autoSpaceDN/>
        <w:bidi w:val="0"/>
        <w:adjustRightInd/>
        <w:spacing w:beforeAutospacing="0" w:afterAutospacing="0" w:line="560" w:lineRule="exact"/>
        <w:ind w:firstLine="640" w:firstLineChars="200"/>
        <w:rPr>
          <w:rFonts w:hint="default" w:ascii="Times New Roman" w:hAnsi="Times New Roman" w:eastAsia="楷体" w:cs="Times New Roman"/>
          <w:b/>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lang w:val="en-US" w:eastAsia="zh-CN" w:bidi="ar-SA"/>
        </w:rPr>
        <w:t>（三）一般公共预算财政拨款收入支出决算情况说明</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b/>
          <w:bCs/>
          <w:kern w:val="0"/>
          <w:sz w:val="32"/>
          <w:szCs w:val="32"/>
          <w:lang w:val="en-US" w:eastAsia="zh-CN" w:bidi="ar-SA"/>
        </w:rPr>
        <w:t>1.收入情况。</w:t>
      </w:r>
      <w:r>
        <w:rPr>
          <w:rFonts w:hint="default" w:ascii="Times New Roman" w:hAnsi="Times New Roman" w:eastAsia="方正仿宋_GBK" w:cs="宋体"/>
          <w:kern w:val="0"/>
          <w:sz w:val="32"/>
          <w:szCs w:val="32"/>
          <w:lang w:val="en-US" w:eastAsia="zh-CN" w:bidi="ar-SA"/>
        </w:rPr>
        <w:t>2023年度一般公共预算财政拨款收入67.36万元，较上年决算数增加67.36万元，增长100.00%。主要原因是2022年度本单位与部门合并编报决算，按照市财政局要求，2023年独立编报决算，故与上年对比增长100.00%。较年初预算数增加2.16万元，增长3.31%。主要原因是参考线内超额绩效（年终考核）、养老保险、职业年金清算核减。此外，年初财政拨款结转和结余0.00万元。</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b/>
          <w:bCs/>
          <w:kern w:val="0"/>
          <w:sz w:val="32"/>
          <w:szCs w:val="32"/>
          <w:lang w:val="en-US" w:eastAsia="zh-CN" w:bidi="ar-SA"/>
        </w:rPr>
        <w:t>2.支出情况</w:t>
      </w:r>
      <w:r>
        <w:rPr>
          <w:rFonts w:hint="eastAsia" w:ascii="Times New Roman" w:hAnsi="Times New Roman" w:eastAsia="方正仿宋_GBK" w:cs="宋体"/>
          <w:b/>
          <w:bCs/>
          <w:kern w:val="0"/>
          <w:sz w:val="32"/>
          <w:szCs w:val="32"/>
          <w:lang w:val="en-US" w:eastAsia="zh-CN" w:bidi="ar-SA"/>
        </w:rPr>
        <w:t>。</w:t>
      </w:r>
      <w:r>
        <w:rPr>
          <w:rFonts w:hint="default" w:ascii="Times New Roman" w:hAnsi="Times New Roman" w:eastAsia="方正仿宋_GBK" w:cs="宋体"/>
          <w:kern w:val="0"/>
          <w:sz w:val="32"/>
          <w:szCs w:val="32"/>
          <w:lang w:val="en-US" w:eastAsia="zh-CN" w:bidi="ar-SA"/>
        </w:rPr>
        <w:t>2023年度一般公共预算财政拨款支出67.36万元，较上年决算数增加67.36万元，增长100.00%。主要原因是2022年度本单位与部门合并编报决算，按照市财政局要求，2023年独立编报决算，故与上年对比增长100.00%。较年初预算数增加2.16万元，增长3.31%。主要原因是参考线内超额绩效（年终考核）、养老保险、职业年金清算核减。</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b/>
          <w:bCs/>
          <w:kern w:val="0"/>
          <w:sz w:val="32"/>
          <w:szCs w:val="32"/>
          <w:lang w:val="en-US" w:eastAsia="zh-CN" w:bidi="ar-SA"/>
        </w:rPr>
        <w:t>3.结转结余情况</w:t>
      </w:r>
      <w:r>
        <w:rPr>
          <w:rFonts w:hint="eastAsia" w:ascii="Times New Roman" w:hAnsi="Times New Roman" w:eastAsia="方正仿宋_GBK" w:cs="宋体"/>
          <w:b/>
          <w:bCs/>
          <w:kern w:val="0"/>
          <w:sz w:val="32"/>
          <w:szCs w:val="32"/>
          <w:lang w:val="en-US" w:eastAsia="zh-CN" w:bidi="ar-SA"/>
        </w:rPr>
        <w:t>。</w:t>
      </w:r>
      <w:r>
        <w:rPr>
          <w:rFonts w:hint="default" w:ascii="Times New Roman" w:hAnsi="Times New Roman" w:eastAsia="方正仿宋_GBK" w:cs="宋体"/>
          <w:kern w:val="0"/>
          <w:sz w:val="32"/>
          <w:szCs w:val="32"/>
          <w:lang w:val="en-US" w:eastAsia="zh-CN" w:bidi="ar-SA"/>
        </w:rPr>
        <w:t>2023年度年末一般公共预算财政拨款结转和结余0.00万元，较上年决算数无增减，主要原因是</w:t>
      </w:r>
      <w:r>
        <w:rPr>
          <w:rFonts w:hint="default" w:ascii="Times New Roman" w:hAnsi="Times New Roman" w:eastAsia="方正仿宋_GBK" w:cs="宋体"/>
          <w:kern w:val="0"/>
          <w:sz w:val="32"/>
          <w:szCs w:val="32"/>
          <w:lang w:val="zh-CN" w:eastAsia="zh-CN" w:bidi="ar-SA"/>
        </w:rPr>
        <w:t>上年度实行预算一体化后执行了预算指标零结转的政策，故较上年决算数无增减，</w:t>
      </w:r>
      <w:r>
        <w:rPr>
          <w:rFonts w:hint="default" w:ascii="Times New Roman" w:hAnsi="Times New Roman" w:eastAsia="方正仿宋_GBK" w:cs="宋体"/>
          <w:kern w:val="0"/>
          <w:sz w:val="32"/>
          <w:szCs w:val="32"/>
          <w:lang w:val="en-US" w:eastAsia="zh-CN" w:bidi="ar-SA"/>
        </w:rPr>
        <w:t>2022年度本单位与部门合并编报决算，按照市财政局要求，2023年独立编报决算，故与上年决算数相比无增减。</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b/>
          <w:bCs/>
          <w:kern w:val="0"/>
          <w:sz w:val="32"/>
          <w:szCs w:val="32"/>
          <w:lang w:val="en-US" w:eastAsia="zh-CN" w:bidi="ar-SA"/>
        </w:rPr>
        <w:t>4.比较情况。</w:t>
      </w:r>
      <w:r>
        <w:rPr>
          <w:rFonts w:hint="default" w:ascii="Times New Roman" w:hAnsi="Times New Roman" w:eastAsia="方正仿宋_GBK" w:cs="宋体"/>
          <w:kern w:val="0"/>
          <w:sz w:val="32"/>
          <w:szCs w:val="32"/>
          <w:lang w:val="en-US" w:eastAsia="zh-CN" w:bidi="ar-SA"/>
        </w:rPr>
        <w:t>本单位2023年度一般公共预算财政拨款支出主要用于以下几个方面：</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kern w:val="0"/>
          <w:sz w:val="32"/>
          <w:szCs w:val="32"/>
          <w:lang w:val="en-US" w:eastAsia="zh-CN" w:bidi="ar-SA"/>
        </w:rPr>
        <w:t>（1）文化旅游体育与传媒支出48.77万元，占72.40%，较年初预算数增加3.40万元，增长7.49%，主要原因是参考线内超额绩效（年终考核）、养老保险、职业年金清算核减。</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kern w:val="0"/>
          <w:sz w:val="32"/>
          <w:szCs w:val="32"/>
          <w:lang w:val="en-US" w:eastAsia="zh-CN" w:bidi="ar-SA"/>
        </w:rPr>
        <w:t>（2）社会保障与就业支出11.74万元，占17.43%，较年初预算数减少1.24万元，下降9.55%，主要原因是参考线内超额绩效（年终考核）、养老保险、职业年金清算核减。</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kern w:val="0"/>
          <w:sz w:val="32"/>
          <w:szCs w:val="32"/>
          <w:lang w:val="en-US" w:eastAsia="zh-CN" w:bidi="ar-SA"/>
        </w:rPr>
        <w:t>（3）卫生健康支出2.34万元，占3.48%，较年初预算数无增减，主要原因是严格按照年初预算执行。</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kern w:val="0"/>
          <w:sz w:val="32"/>
          <w:szCs w:val="32"/>
          <w:lang w:val="en-US" w:eastAsia="zh-CN" w:bidi="ar-SA"/>
        </w:rPr>
        <w:t>（4）住房保障支出4.51万元，占6.70%，较年初预算数无增减，主要原因是严格按照年初预算执行。</w:t>
      </w:r>
    </w:p>
    <w:p>
      <w:pPr>
        <w:pStyle w:val="6"/>
        <w:keepNext w:val="0"/>
        <w:keepLines w:val="0"/>
        <w:pageBreakBefore w:val="0"/>
        <w:widowControl/>
        <w:shd w:val="clear" w:color="auto" w:fill="FFFFFF"/>
        <w:kinsoku/>
        <w:overflowPunct/>
        <w:topLinePunct w:val="0"/>
        <w:autoSpaceDN/>
        <w:bidi w:val="0"/>
        <w:adjustRightInd/>
        <w:spacing w:beforeAutospacing="0" w:afterAutospacing="0" w:line="560" w:lineRule="exact"/>
        <w:ind w:firstLine="640" w:firstLineChars="200"/>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（四）一般公共预算财政拨款基本支出决算情况说明</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kern w:val="0"/>
          <w:sz w:val="32"/>
          <w:szCs w:val="32"/>
          <w:lang w:val="en-US" w:eastAsia="zh-CN" w:bidi="ar-SA"/>
        </w:rPr>
        <w:t> 2023年度一般公共财政拨款基本支出62.36万元。其中：人员经费57.74万元，较上年决算数增加57.74万元，增长100.00%，主要原因是2022年度本单位与部门合并编报决算，按照市财政局要求，2023年独立编报决算，故与上年对比增长100.00%。人员经费用途主要包括基本工资、津贴补贴、绩效工资、社会保障缴费、住房公积金等。公用经费4.61万元，较上年决算数增加4.61万元，增长100.00%，主要原因是2022年度本单位与部门合并编报决算，按照市财政局要求，2023年独立编报决算，故与上年对比增长100.00%。公用经费用途主要包括办公费、邮电费、会议费、培训费、劳务费、委托业务费等。</w:t>
      </w:r>
    </w:p>
    <w:p>
      <w:pPr>
        <w:pStyle w:val="11"/>
        <w:keepNext w:val="0"/>
        <w:keepLines w:val="0"/>
        <w:pageBreakBefore w:val="0"/>
        <w:widowControl/>
        <w:kinsoku/>
        <w:overflowPunct/>
        <w:topLinePunct w:val="0"/>
        <w:autoSpaceDE w:val="0"/>
        <w:autoSpaceDN/>
        <w:bidi w:val="0"/>
        <w:adjustRightInd/>
        <w:spacing w:beforeAutospacing="0" w:afterAutospacing="0" w:line="560" w:lineRule="exact"/>
        <w:ind w:firstLine="640" w:firstLineChars="200"/>
        <w:rPr>
          <w:rFonts w:hint="default" w:ascii="Times New Roman" w:hAnsi="Times New Roman" w:eastAsia="楷体" w:cs="Times New Roman"/>
          <w:b/>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lang w:val="en-US" w:eastAsia="zh-CN" w:bidi="ar-SA"/>
        </w:rPr>
        <w:t>（五）政府性基金预算收支决算情况说明</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kern w:val="0"/>
          <w:sz w:val="32"/>
          <w:szCs w:val="32"/>
          <w:lang w:val="en-US" w:eastAsia="zh-CN" w:bidi="ar-SA"/>
        </w:rPr>
        <w:t>本单位2023年度无政府性基金预算财政拨款支出。</w:t>
      </w:r>
    </w:p>
    <w:p>
      <w:pPr>
        <w:pStyle w:val="6"/>
        <w:keepNext w:val="0"/>
        <w:keepLines w:val="0"/>
        <w:pageBreakBefore w:val="0"/>
        <w:widowControl/>
        <w:shd w:val="clear" w:color="auto" w:fill="FFFFFF"/>
        <w:kinsoku/>
        <w:overflowPunct/>
        <w:topLinePunct w:val="0"/>
        <w:autoSpaceDN/>
        <w:bidi w:val="0"/>
        <w:adjustRightInd/>
        <w:spacing w:beforeAutospacing="0" w:afterAutospacing="0" w:line="560" w:lineRule="exact"/>
        <w:ind w:firstLine="640" w:firstLineChars="200"/>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（六）国有资本经营预算财政拨款支出决算情况说明</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kern w:val="0"/>
          <w:sz w:val="32"/>
          <w:szCs w:val="32"/>
          <w:lang w:val="en-US" w:eastAsia="zh-CN" w:bidi="ar-SA"/>
        </w:rPr>
        <w:t> 本单位2023年度无国有资本经营预算财政拨款支出。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黑体_GBK" w:cs="Times New Roman"/>
          <w:b w:val="0"/>
          <w:bCs/>
          <w:sz w:val="32"/>
          <w:szCs w:val="32"/>
          <w:shd w:val="clear" w:color="auto" w:fill="FFFFFF"/>
          <w:lang w:eastAsia="zh-CN"/>
        </w:rPr>
      </w:pPr>
      <w:r>
        <w:rPr>
          <w:rStyle w:val="8"/>
          <w:rFonts w:hint="default" w:ascii="Times New Roman" w:hAnsi="Times New Roman" w:eastAsia="方正黑体_GBK" w:cs="Times New Roman"/>
          <w:b w:val="0"/>
          <w:bCs/>
          <w:sz w:val="32"/>
          <w:szCs w:val="32"/>
          <w:shd w:val="clear" w:color="auto" w:fill="FFFFFF"/>
          <w:lang w:eastAsia="zh-CN"/>
        </w:rPr>
        <w:t>三、“三公”经费情况说明</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kern w:val="0"/>
          <w:sz w:val="32"/>
          <w:szCs w:val="32"/>
          <w:lang w:val="zh-CN" w:eastAsia="zh-CN" w:bidi="ar-SA"/>
        </w:rPr>
        <w:t>本单位属于溪口镇人民政府下属二级单位，由于业务活动均由本级统一开展，故三公经费预算安排在本级，由本级统筹管理，三公经费支出也由本级统一核算，本单位无三公经费预算及支出。</w:t>
      </w:r>
    </w:p>
    <w:p>
      <w:pPr>
        <w:pStyle w:val="6"/>
        <w:keepNext w:val="0"/>
        <w:keepLines w:val="0"/>
        <w:pageBreakBefore w:val="0"/>
        <w:widowControl/>
        <w:shd w:val="clear" w:color="auto" w:fill="FFFFFF"/>
        <w:kinsoku/>
        <w:overflowPunct/>
        <w:topLinePunct w:val="0"/>
        <w:autoSpaceDN/>
        <w:bidi w:val="0"/>
        <w:adjustRightInd/>
        <w:spacing w:beforeAutospacing="0" w:afterAutospacing="0" w:line="560" w:lineRule="exact"/>
        <w:ind w:firstLine="640" w:firstLineChars="200"/>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（一）“三公”经费支出总体情况说明</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kern w:val="0"/>
          <w:sz w:val="32"/>
          <w:szCs w:val="32"/>
          <w:lang w:val="en-US" w:eastAsia="zh-CN" w:bidi="ar-SA"/>
        </w:rPr>
        <w:t>2023年度“三公”经费支出共计0.00万元，较年初预算数无增减，主要原因是</w:t>
      </w:r>
      <w:r>
        <w:rPr>
          <w:rFonts w:hint="default" w:ascii="Times New Roman" w:hAnsi="Times New Roman" w:eastAsia="方正仿宋_GBK" w:cs="宋体"/>
          <w:kern w:val="0"/>
          <w:sz w:val="32"/>
          <w:szCs w:val="32"/>
          <w:lang w:val="zh-CN" w:eastAsia="zh-CN" w:bidi="ar-SA"/>
        </w:rPr>
        <w:t>我单位属于二级预算单位，“三公”经费由本级统一支出。</w:t>
      </w:r>
      <w:r>
        <w:rPr>
          <w:rFonts w:hint="default" w:ascii="Times New Roman" w:hAnsi="Times New Roman" w:eastAsia="方正仿宋_GBK" w:cs="宋体"/>
          <w:kern w:val="0"/>
          <w:sz w:val="32"/>
          <w:szCs w:val="32"/>
          <w:lang w:val="en-US" w:eastAsia="zh-CN" w:bidi="ar-SA"/>
        </w:rPr>
        <w:t>较上年支出数无增减，主要原因是</w:t>
      </w:r>
      <w:r>
        <w:rPr>
          <w:rFonts w:hint="default" w:ascii="Times New Roman" w:hAnsi="Times New Roman" w:eastAsia="方正仿宋_GBK" w:cs="宋体"/>
          <w:kern w:val="0"/>
          <w:sz w:val="32"/>
          <w:szCs w:val="32"/>
          <w:lang w:val="zh-CN" w:eastAsia="zh-CN" w:bidi="ar-SA"/>
        </w:rPr>
        <w:t>我单位属于二级预算单位，“三公”经费由本级统一支出。</w:t>
      </w:r>
    </w:p>
    <w:p>
      <w:pPr>
        <w:pStyle w:val="6"/>
        <w:keepNext w:val="0"/>
        <w:keepLines w:val="0"/>
        <w:pageBreakBefore w:val="0"/>
        <w:widowControl/>
        <w:shd w:val="clear" w:color="auto" w:fill="FFFFFF"/>
        <w:kinsoku/>
        <w:overflowPunct/>
        <w:topLinePunct w:val="0"/>
        <w:autoSpaceDN/>
        <w:bidi w:val="0"/>
        <w:adjustRightInd/>
        <w:spacing w:beforeAutospacing="0" w:afterAutospacing="0" w:line="560" w:lineRule="exact"/>
        <w:ind w:firstLine="640" w:firstLineChars="200"/>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（二）“三公”经费分项支出情况</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kern w:val="0"/>
          <w:sz w:val="32"/>
          <w:szCs w:val="32"/>
          <w:lang w:val="en-US" w:eastAsia="zh-CN" w:bidi="ar-SA"/>
        </w:rPr>
        <w:t>2023年度本单位因公出国（境）费用0.00万元，费用支出较年初预算数无增减，主要原因是</w:t>
      </w:r>
      <w:r>
        <w:rPr>
          <w:rFonts w:hint="default" w:ascii="Times New Roman" w:hAnsi="Times New Roman" w:eastAsia="方正仿宋_GBK" w:cs="宋体"/>
          <w:kern w:val="0"/>
          <w:sz w:val="32"/>
          <w:szCs w:val="32"/>
          <w:lang w:val="zh-CN" w:eastAsia="zh-CN" w:bidi="ar-SA"/>
        </w:rPr>
        <w:t>我单位属于二级预算单位，“三公”经费由本级统一支出。</w:t>
      </w:r>
      <w:r>
        <w:rPr>
          <w:rFonts w:hint="default" w:ascii="Times New Roman" w:hAnsi="Times New Roman" w:eastAsia="方正仿宋_GBK" w:cs="宋体"/>
          <w:kern w:val="0"/>
          <w:sz w:val="32"/>
          <w:szCs w:val="32"/>
          <w:lang w:val="en-US" w:eastAsia="zh-CN" w:bidi="ar-SA"/>
        </w:rPr>
        <w:t>较上年支出数无增减，主要原因是</w:t>
      </w:r>
      <w:r>
        <w:rPr>
          <w:rFonts w:hint="default" w:ascii="Times New Roman" w:hAnsi="Times New Roman" w:eastAsia="方正仿宋_GBK" w:cs="宋体"/>
          <w:kern w:val="0"/>
          <w:sz w:val="32"/>
          <w:szCs w:val="32"/>
          <w:lang w:val="zh-CN" w:eastAsia="zh-CN" w:bidi="ar-SA"/>
        </w:rPr>
        <w:t>我单位属于二级预算单位，“三公”经费由本级统一支出。</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宋体"/>
          <w:kern w:val="0"/>
          <w:sz w:val="32"/>
          <w:szCs w:val="32"/>
          <w:lang w:val="zh-CN" w:eastAsia="zh-CN" w:bidi="ar-SA"/>
        </w:rPr>
      </w:pPr>
      <w:r>
        <w:rPr>
          <w:rFonts w:hint="default" w:ascii="Times New Roman" w:hAnsi="Times New Roman" w:eastAsia="方正仿宋_GBK" w:cs="宋体"/>
          <w:kern w:val="0"/>
          <w:sz w:val="32"/>
          <w:szCs w:val="32"/>
          <w:lang w:val="en-US" w:eastAsia="zh-CN" w:bidi="ar-SA"/>
        </w:rPr>
        <w:t> 公务车购置费0.00万元，费用支出较年初预算数无增减，主要原因是</w:t>
      </w:r>
      <w:r>
        <w:rPr>
          <w:rFonts w:hint="default" w:ascii="Times New Roman" w:hAnsi="Times New Roman" w:eastAsia="方正仿宋_GBK" w:cs="宋体"/>
          <w:kern w:val="0"/>
          <w:sz w:val="32"/>
          <w:szCs w:val="32"/>
          <w:lang w:val="zh-CN" w:eastAsia="zh-CN" w:bidi="ar-SA"/>
        </w:rPr>
        <w:t>我单位属于二级预算单位，“三公”经费由本级统一支出。</w:t>
      </w:r>
      <w:r>
        <w:rPr>
          <w:rFonts w:hint="default" w:ascii="Times New Roman" w:hAnsi="Times New Roman" w:eastAsia="方正仿宋_GBK" w:cs="宋体"/>
          <w:kern w:val="0"/>
          <w:sz w:val="32"/>
          <w:szCs w:val="32"/>
          <w:lang w:val="en-US" w:eastAsia="zh-CN" w:bidi="ar-SA"/>
        </w:rPr>
        <w:t>较上年支出数无增减，主要原因是</w:t>
      </w:r>
      <w:r>
        <w:rPr>
          <w:rFonts w:hint="default" w:ascii="Times New Roman" w:hAnsi="Times New Roman" w:eastAsia="方正仿宋_GBK" w:cs="宋体"/>
          <w:kern w:val="0"/>
          <w:sz w:val="32"/>
          <w:szCs w:val="32"/>
          <w:lang w:val="zh-CN" w:eastAsia="zh-CN" w:bidi="ar-SA"/>
        </w:rPr>
        <w:t>我单位属于二级预算单位，“三公”经费由本级统一支出。</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宋体"/>
          <w:kern w:val="0"/>
          <w:sz w:val="32"/>
          <w:szCs w:val="32"/>
          <w:lang w:val="zh-CN" w:eastAsia="zh-CN" w:bidi="ar-SA"/>
        </w:rPr>
      </w:pPr>
      <w:r>
        <w:rPr>
          <w:rFonts w:hint="default" w:ascii="Times New Roman" w:hAnsi="Times New Roman" w:eastAsia="方正仿宋_GBK" w:cs="宋体"/>
          <w:kern w:val="0"/>
          <w:sz w:val="32"/>
          <w:szCs w:val="32"/>
          <w:lang w:val="en-US" w:eastAsia="zh-CN" w:bidi="ar-SA"/>
        </w:rPr>
        <w:t> 公务车运行维护费0.00万元，费用支出较年初预算数无增减，主要原因是</w:t>
      </w:r>
      <w:r>
        <w:rPr>
          <w:rFonts w:hint="default" w:ascii="Times New Roman" w:hAnsi="Times New Roman" w:eastAsia="方正仿宋_GBK" w:cs="宋体"/>
          <w:kern w:val="0"/>
          <w:sz w:val="32"/>
          <w:szCs w:val="32"/>
          <w:lang w:val="zh-CN" w:eastAsia="zh-CN" w:bidi="ar-SA"/>
        </w:rPr>
        <w:t>我单位属于二级预算单位，“三公”经费由本级统一支出。</w:t>
      </w:r>
      <w:r>
        <w:rPr>
          <w:rFonts w:hint="default" w:ascii="Times New Roman" w:hAnsi="Times New Roman" w:eastAsia="方正仿宋_GBK" w:cs="宋体"/>
          <w:kern w:val="0"/>
          <w:sz w:val="32"/>
          <w:szCs w:val="32"/>
          <w:lang w:val="en-US" w:eastAsia="zh-CN" w:bidi="ar-SA"/>
        </w:rPr>
        <w:t>较上年支出数无增减，主要原因是</w:t>
      </w:r>
      <w:r>
        <w:rPr>
          <w:rFonts w:hint="default" w:ascii="Times New Roman" w:hAnsi="Times New Roman" w:eastAsia="方正仿宋_GBK" w:cs="宋体"/>
          <w:kern w:val="0"/>
          <w:sz w:val="32"/>
          <w:szCs w:val="32"/>
          <w:lang w:val="zh-CN" w:eastAsia="zh-CN" w:bidi="ar-SA"/>
        </w:rPr>
        <w:t>我单位属于二级预算单位，“三公”经费由本级统一支出。</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kern w:val="0"/>
          <w:sz w:val="32"/>
          <w:szCs w:val="32"/>
          <w:lang w:val="en-US" w:eastAsia="zh-CN" w:bidi="ar-SA"/>
        </w:rPr>
        <w:t> 公务接待费0.00万元，费用支出较年初预算数无增减，主要原因是</w:t>
      </w:r>
      <w:r>
        <w:rPr>
          <w:rFonts w:hint="default" w:ascii="Times New Roman" w:hAnsi="Times New Roman" w:eastAsia="方正仿宋_GBK" w:cs="宋体"/>
          <w:kern w:val="0"/>
          <w:sz w:val="32"/>
          <w:szCs w:val="32"/>
          <w:lang w:val="zh-CN" w:eastAsia="zh-CN" w:bidi="ar-SA"/>
        </w:rPr>
        <w:t>我单位属于二级预算单位，“三公”经费由本级统一支出。</w:t>
      </w:r>
      <w:r>
        <w:rPr>
          <w:rFonts w:hint="default" w:ascii="Times New Roman" w:hAnsi="Times New Roman" w:eastAsia="方正仿宋_GBK" w:cs="宋体"/>
          <w:kern w:val="0"/>
          <w:sz w:val="32"/>
          <w:szCs w:val="32"/>
          <w:lang w:val="en-US" w:eastAsia="zh-CN" w:bidi="ar-SA"/>
        </w:rPr>
        <w:t>较上年支出数无增减，主要原因是</w:t>
      </w:r>
      <w:r>
        <w:rPr>
          <w:rFonts w:hint="default" w:ascii="Times New Roman" w:hAnsi="Times New Roman" w:eastAsia="方正仿宋_GBK" w:cs="宋体"/>
          <w:kern w:val="0"/>
          <w:sz w:val="32"/>
          <w:szCs w:val="32"/>
          <w:lang w:val="zh-CN" w:eastAsia="zh-CN" w:bidi="ar-SA"/>
        </w:rPr>
        <w:t>我单位属于二级预算单位，“三公”经费由本级统一支出。</w:t>
      </w:r>
    </w:p>
    <w:p>
      <w:pPr>
        <w:pStyle w:val="11"/>
        <w:keepNext w:val="0"/>
        <w:keepLines w:val="0"/>
        <w:pageBreakBefore w:val="0"/>
        <w:widowControl/>
        <w:kinsoku/>
        <w:overflowPunct/>
        <w:topLinePunct w:val="0"/>
        <w:autoSpaceDE w:val="0"/>
        <w:autoSpaceDN/>
        <w:bidi w:val="0"/>
        <w:adjustRightInd/>
        <w:spacing w:beforeAutospacing="0" w:afterAutospacing="0" w:line="560" w:lineRule="exact"/>
        <w:ind w:firstLine="640" w:firstLineChars="200"/>
        <w:rPr>
          <w:rFonts w:hint="default" w:ascii="Times New Roman" w:hAnsi="Times New Roman" w:eastAsia="楷体" w:cs="Times New Roman"/>
          <w:b/>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lang w:val="en-US" w:eastAsia="zh-CN" w:bidi="ar-SA"/>
        </w:rPr>
        <w:t>（三）“三公”经费实物量情况</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kern w:val="0"/>
          <w:sz w:val="32"/>
          <w:szCs w:val="32"/>
          <w:lang w:val="en-US" w:eastAsia="zh-CN" w:bidi="ar-SA"/>
        </w:rPr>
        <w:t> 2023年度本单位因公出国（境）共计0个团组，0人；公务用车购置0辆，公务车保有量为0辆；国内公务接待0批次0人，其中：国内外事接待0批次，0人；国（境）外公务接待0批次，0人。2023年本单位人均接待费0元，车均购置费0万元，车均维护费0万元。</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黑体_GBK" w:cs="Times New Roman"/>
          <w:b w:val="0"/>
          <w:bCs/>
          <w:sz w:val="32"/>
          <w:szCs w:val="32"/>
          <w:shd w:val="clear" w:color="auto" w:fill="FFFFFF"/>
          <w:lang w:eastAsia="zh-CN"/>
        </w:rPr>
      </w:pPr>
      <w:r>
        <w:rPr>
          <w:rStyle w:val="8"/>
          <w:rFonts w:hint="default" w:ascii="Times New Roman" w:hAnsi="Times New Roman" w:eastAsia="方正黑体_GBK" w:cs="Times New Roman"/>
          <w:b w:val="0"/>
          <w:bCs/>
          <w:sz w:val="32"/>
          <w:szCs w:val="32"/>
          <w:shd w:val="clear" w:color="auto" w:fill="FFFFFF"/>
          <w:lang w:eastAsia="zh-CN"/>
        </w:rPr>
        <w:t>四、其他需要说明的事项</w:t>
      </w:r>
    </w:p>
    <w:p>
      <w:pPr>
        <w:pStyle w:val="11"/>
        <w:keepNext w:val="0"/>
        <w:keepLines w:val="0"/>
        <w:pageBreakBefore w:val="0"/>
        <w:widowControl/>
        <w:kinsoku/>
        <w:overflowPunct/>
        <w:topLinePunct w:val="0"/>
        <w:autoSpaceDE w:val="0"/>
        <w:autoSpaceDN/>
        <w:bidi w:val="0"/>
        <w:adjustRightInd/>
        <w:spacing w:beforeAutospacing="0" w:afterAutospacing="0" w:line="560" w:lineRule="exact"/>
        <w:ind w:firstLine="640" w:firstLineChars="200"/>
        <w:rPr>
          <w:rFonts w:hint="default" w:ascii="Times New Roman" w:hAnsi="Times New Roman" w:eastAsia="楷体" w:cs="Times New Roman"/>
          <w:b/>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lang w:val="en-US" w:eastAsia="zh-CN" w:bidi="ar-SA"/>
        </w:rPr>
        <w:t>（一）财政拨款会议费和培训费情况说明</w:t>
      </w:r>
    </w:p>
    <w:p>
      <w:pPr>
        <w:pStyle w:val="11"/>
        <w:keepNext w:val="0"/>
        <w:keepLines w:val="0"/>
        <w:pageBreakBefore w:val="0"/>
        <w:widowControl/>
        <w:kinsoku/>
        <w:overflowPunct/>
        <w:topLinePunct w:val="0"/>
        <w:autoSpaceDE w:val="0"/>
        <w:autoSpaceDN/>
        <w:bidi w:val="0"/>
        <w:adjustRightInd/>
        <w:spacing w:line="560" w:lineRule="exact"/>
        <w:ind w:firstLine="640" w:firstLineChars="200"/>
        <w:rPr>
          <w:rFonts w:hint="eastAsia" w:ascii="Times New Roman" w:hAnsi="Times New Roman" w:eastAsia="方正仿宋_GBK" w:cs="Times New Roman"/>
          <w:sz w:val="32"/>
          <w:szCs w:val="32"/>
          <w:shd w:val="clear" w:color="auto" w:fill="FFFFFF"/>
          <w:lang w:val="en-US" w:eastAsia="zh-CN"/>
        </w:rPr>
      </w:pPr>
      <w:r>
        <w:rPr>
          <w:rFonts w:hint="eastAsia" w:ascii="Times New Roman" w:hAnsi="Times New Roman" w:eastAsia="方正仿宋_GBK" w:cs="Times New Roman"/>
          <w:sz w:val="32"/>
          <w:szCs w:val="32"/>
          <w:shd w:val="clear" w:color="auto" w:fill="FFFFFF"/>
          <w:lang w:eastAsia="zh-CN"/>
        </w:rPr>
        <w:t>本年度会议费支出</w:t>
      </w:r>
      <w:r>
        <w:rPr>
          <w:rFonts w:hint="eastAsia" w:ascii="Times New Roman" w:hAnsi="Times New Roman" w:eastAsia="方正仿宋_GBK" w:cs="Times New Roman"/>
          <w:sz w:val="32"/>
          <w:szCs w:val="32"/>
          <w:shd w:val="clear" w:color="auto" w:fill="FFFFFF"/>
          <w:lang w:val="en-US" w:eastAsia="zh-CN"/>
        </w:rPr>
        <w:t>0万元，较上年决算数无增减，培训费支出0.18万元，较上年增长100%，由于本单位本年度独立填报决算，故较上年增长100%。</w:t>
      </w:r>
    </w:p>
    <w:p>
      <w:pPr>
        <w:pStyle w:val="6"/>
        <w:keepNext w:val="0"/>
        <w:keepLines w:val="0"/>
        <w:pageBreakBefore w:val="0"/>
        <w:widowControl/>
        <w:shd w:val="clear" w:color="auto" w:fill="FFFFFF"/>
        <w:kinsoku/>
        <w:overflowPunct/>
        <w:topLinePunct w:val="0"/>
        <w:autoSpaceDN/>
        <w:bidi w:val="0"/>
        <w:adjustRightInd/>
        <w:spacing w:beforeAutospacing="0" w:afterAutospacing="0" w:line="560" w:lineRule="exact"/>
        <w:ind w:firstLine="640" w:firstLineChars="200"/>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（二）机关运行经费情况说明</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kern w:val="0"/>
          <w:sz w:val="32"/>
          <w:szCs w:val="32"/>
          <w:lang w:val="en-US" w:eastAsia="zh-CN" w:bidi="ar-SA"/>
        </w:rPr>
        <w:t>按照部门决算列报口径，我单位不在机关运行经费统计范围之内。</w:t>
      </w:r>
    </w:p>
    <w:p>
      <w:pPr>
        <w:pStyle w:val="6"/>
        <w:keepNext w:val="0"/>
        <w:keepLines w:val="0"/>
        <w:pageBreakBefore w:val="0"/>
        <w:widowControl/>
        <w:shd w:val="clear" w:color="auto" w:fill="FFFFFF"/>
        <w:kinsoku/>
        <w:overflowPunct/>
        <w:topLinePunct w:val="0"/>
        <w:autoSpaceDN/>
        <w:bidi w:val="0"/>
        <w:adjustRightInd/>
        <w:spacing w:beforeAutospacing="0" w:afterAutospacing="0" w:line="560" w:lineRule="exact"/>
        <w:ind w:firstLine="640" w:firstLineChars="200"/>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（三）国有资产占用情况说明</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Times New Roman"/>
          <w:sz w:val="32"/>
          <w:szCs w:val="32"/>
          <w:shd w:val="clear" w:color="auto" w:fill="FFFFFF"/>
        </w:rPr>
        <w:t> </w:t>
      </w:r>
      <w:r>
        <w:rPr>
          <w:rFonts w:hint="default" w:ascii="Times New Roman" w:hAnsi="Times New Roman" w:eastAsia="方正仿宋_GBK" w:cs="宋体"/>
          <w:kern w:val="0"/>
          <w:sz w:val="32"/>
          <w:szCs w:val="32"/>
          <w:lang w:val="en-US" w:eastAsia="zh-CN" w:bidi="ar-SA"/>
        </w:rPr>
        <w:t>截至2023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kern w:val="0"/>
          <w:sz w:val="32"/>
          <w:szCs w:val="32"/>
          <w:lang w:val="en-US" w:eastAsia="zh-CN" w:bidi="ar-SA"/>
        </w:rPr>
        <w:t>我单位属于溪口镇人民政府的下属二级单位，资产全部纳入政府本级填报。</w:t>
      </w:r>
    </w:p>
    <w:p>
      <w:pPr>
        <w:pStyle w:val="6"/>
        <w:keepNext w:val="0"/>
        <w:keepLines w:val="0"/>
        <w:pageBreakBefore w:val="0"/>
        <w:widowControl/>
        <w:shd w:val="clear" w:color="auto" w:fill="FFFFFF"/>
        <w:kinsoku/>
        <w:overflowPunct/>
        <w:topLinePunct w:val="0"/>
        <w:autoSpaceDN/>
        <w:bidi w:val="0"/>
        <w:adjustRightInd/>
        <w:spacing w:beforeAutospacing="0" w:afterAutospacing="0" w:line="560" w:lineRule="exact"/>
        <w:ind w:firstLine="640" w:firstLineChars="200"/>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（四）政府采购支出情况说明</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Times New Roman"/>
          <w:sz w:val="32"/>
          <w:szCs w:val="32"/>
          <w:shd w:val="clear" w:color="auto" w:fill="FFFFFF"/>
        </w:rPr>
        <w:t> </w:t>
      </w:r>
      <w:r>
        <w:rPr>
          <w:rFonts w:hint="default" w:ascii="Times New Roman" w:hAnsi="Times New Roman" w:eastAsia="方正仿宋_GBK" w:cs="宋体"/>
          <w:kern w:val="0"/>
          <w:sz w:val="32"/>
          <w:szCs w:val="32"/>
          <w:lang w:val="en-US" w:eastAsia="zh-CN" w:bidi="ar-SA"/>
        </w:rPr>
        <w:t>2023年度我单位未发生政府采购事项，无相关经费支出。</w:t>
      </w:r>
    </w:p>
    <w:p>
      <w:pPr>
        <w:pStyle w:val="6"/>
        <w:keepNext w:val="0"/>
        <w:keepLines w:val="0"/>
        <w:pageBreakBefore w:val="0"/>
        <w:widowControl/>
        <w:numPr>
          <w:ilvl w:val="0"/>
          <w:numId w:val="0"/>
        </w:numPr>
        <w:shd w:val="clear" w:color="auto" w:fill="FFFFFF"/>
        <w:kinsoku/>
        <w:overflowPunct/>
        <w:topLinePunct w:val="0"/>
        <w:autoSpaceDN/>
        <w:bidi w:val="0"/>
        <w:adjustRightInd/>
        <w:spacing w:beforeAutospacing="0" w:afterAutospacing="0" w:line="560" w:lineRule="exact"/>
        <w:ind w:firstLine="640" w:firstLineChars="200"/>
        <w:rPr>
          <w:rStyle w:val="8"/>
          <w:rFonts w:hint="default" w:ascii="Times New Roman" w:hAnsi="Times New Roman" w:eastAsia="黑体" w:cs="Times New Roman"/>
          <w:sz w:val="32"/>
          <w:szCs w:val="32"/>
          <w:shd w:val="clear" w:color="auto" w:fill="FFFFFF"/>
        </w:rPr>
      </w:pPr>
      <w:r>
        <w:rPr>
          <w:rStyle w:val="8"/>
          <w:rFonts w:hint="default" w:ascii="Times New Roman" w:hAnsi="Times New Roman" w:eastAsia="方正黑体_GBK" w:cs="Times New Roman"/>
          <w:b w:val="0"/>
          <w:bCs/>
          <w:sz w:val="32"/>
          <w:szCs w:val="32"/>
          <w:shd w:val="clear" w:color="auto" w:fill="FFFFFF"/>
          <w:lang w:eastAsia="zh-CN"/>
        </w:rPr>
        <w:t>五、预算绩效管理情况说明</w:t>
      </w:r>
    </w:p>
    <w:p>
      <w:pPr>
        <w:pStyle w:val="11"/>
        <w:keepNext w:val="0"/>
        <w:keepLines w:val="0"/>
        <w:pageBreakBefore w:val="0"/>
        <w:widowControl/>
        <w:kinsoku/>
        <w:overflowPunct/>
        <w:topLinePunct w:val="0"/>
        <w:autoSpaceDE w:val="0"/>
        <w:autoSpaceDN/>
        <w:bidi w:val="0"/>
        <w:adjustRightInd/>
        <w:spacing w:beforeAutospacing="0" w:afterAutospacing="0" w:line="560" w:lineRule="exact"/>
        <w:ind w:firstLine="640" w:firstLineChars="200"/>
        <w:rPr>
          <w:rFonts w:hint="default" w:ascii="Times New Roman" w:hAnsi="Times New Roman" w:eastAsia="楷体" w:cs="Times New Roman"/>
          <w:b/>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lang w:val="en-US" w:eastAsia="zh-CN" w:bidi="ar-SA"/>
        </w:rPr>
        <w:t>（一）单位自评情况</w:t>
      </w:r>
    </w:p>
    <w:p>
      <w:pPr>
        <w:pStyle w:val="11"/>
        <w:keepNext w:val="0"/>
        <w:keepLines w:val="0"/>
        <w:pageBreakBefore w:val="0"/>
        <w:widowControl/>
        <w:kinsoku/>
        <w:overflowPunct/>
        <w:topLinePunct w:val="0"/>
        <w:autoSpaceDE w:val="0"/>
        <w:autoSpaceDN/>
        <w:bidi w:val="0"/>
        <w:adjustRightInd/>
        <w:spacing w:beforeAutospacing="0" w:afterAutospacing="0" w:line="560" w:lineRule="exact"/>
        <w:ind w:firstLine="640" w:firstLineChars="200"/>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kern w:val="0"/>
          <w:sz w:val="32"/>
          <w:szCs w:val="32"/>
          <w:lang w:val="en-US" w:eastAsia="zh-CN" w:bidi="ar-SA"/>
        </w:rPr>
        <w:t>根据预算绩效管理要求，我</w:t>
      </w:r>
      <w:r>
        <w:rPr>
          <w:rFonts w:hint="eastAsia" w:ascii="Times New Roman" w:hAnsi="Times New Roman" w:eastAsia="方正仿宋_GBK" w:cs="宋体"/>
          <w:kern w:val="0"/>
          <w:sz w:val="32"/>
          <w:szCs w:val="32"/>
          <w:lang w:val="en-US" w:eastAsia="zh-CN" w:bidi="ar-SA"/>
        </w:rPr>
        <w:t>单位对1</w:t>
      </w:r>
      <w:r>
        <w:rPr>
          <w:rFonts w:hint="default" w:ascii="Times New Roman" w:hAnsi="Times New Roman" w:eastAsia="方正仿宋_GBK" w:cs="宋体"/>
          <w:kern w:val="0"/>
          <w:sz w:val="32"/>
          <w:szCs w:val="32"/>
          <w:lang w:val="en-US" w:eastAsia="zh-CN" w:bidi="ar-SA"/>
        </w:rPr>
        <w:t>个项目开展了绩效自评，涉及财政拨款项目支出资金</w:t>
      </w:r>
      <w:r>
        <w:rPr>
          <w:rFonts w:hint="eastAsia" w:ascii="Times New Roman" w:hAnsi="Times New Roman" w:eastAsia="方正仿宋_GBK" w:cs="宋体"/>
          <w:kern w:val="0"/>
          <w:sz w:val="32"/>
          <w:szCs w:val="32"/>
          <w:lang w:val="en-US" w:eastAsia="zh-CN" w:bidi="ar-SA"/>
        </w:rPr>
        <w:t>5</w:t>
      </w:r>
      <w:r>
        <w:rPr>
          <w:rFonts w:hint="default" w:ascii="Times New Roman" w:hAnsi="Times New Roman" w:eastAsia="方正仿宋_GBK" w:cs="宋体"/>
          <w:kern w:val="0"/>
          <w:sz w:val="32"/>
          <w:szCs w:val="32"/>
          <w:lang w:val="en-US" w:eastAsia="zh-CN" w:bidi="ar-SA"/>
        </w:rPr>
        <w:t>万元。</w:t>
      </w:r>
    </w:p>
    <w:tbl>
      <w:tblPr>
        <w:tblStyle w:val="9"/>
        <w:tblpPr w:leftFromText="180" w:rightFromText="180" w:vertAnchor="text" w:horzAnchor="page" w:tblpX="2169" w:tblpY="512"/>
        <w:tblOverlap w:val="never"/>
        <w:tblW w:w="8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95"/>
        <w:gridCol w:w="695"/>
        <w:gridCol w:w="695"/>
        <w:gridCol w:w="695"/>
        <w:gridCol w:w="695"/>
        <w:gridCol w:w="695"/>
        <w:gridCol w:w="695"/>
        <w:gridCol w:w="695"/>
        <w:gridCol w:w="695"/>
        <w:gridCol w:w="695"/>
        <w:gridCol w:w="695"/>
        <w:gridCol w:w="6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48" w:hRule="atLeast"/>
        </w:trPr>
        <w:tc>
          <w:tcPr>
            <w:tcW w:w="834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Fonts w:hint="default" w:ascii="Times New Roman" w:hAnsi="Times New Roman" w:eastAsia="方正小标宋_GBK" w:cs="Times New Roman"/>
                <w:b/>
                <w:i w:val="0"/>
                <w:color w:val="000000"/>
                <w:kern w:val="0"/>
                <w:sz w:val="32"/>
                <w:szCs w:val="32"/>
                <w:u w:val="none"/>
                <w:lang w:val="en-US" w:eastAsia="zh-CN" w:bidi="ar"/>
              </w:rPr>
              <w:t>2023年度项目支出绩效自评表（二级项目）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48"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序号</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项目名称：</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指标名称</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指标性质</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指标</w:t>
            </w:r>
          </w:p>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值</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全年</w:t>
            </w:r>
            <w:r>
              <w:rPr>
                <w:rStyle w:val="16"/>
                <w:rFonts w:hint="default" w:ascii="Times New Roman" w:hAnsi="Times New Roman" w:cs="Times New Roman"/>
                <w:lang w:val="en-US" w:eastAsia="zh-CN" w:bidi="ar"/>
              </w:rPr>
              <w:br w:type="textWrapping"/>
            </w:r>
            <w:r>
              <w:rPr>
                <w:rStyle w:val="16"/>
                <w:rFonts w:hint="default" w:ascii="Times New Roman" w:hAnsi="Times New Roman" w:cs="Times New Roman"/>
                <w:lang w:val="en-US" w:eastAsia="zh-CN" w:bidi="ar"/>
              </w:rPr>
              <w:t>完成值</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偏离</w:t>
            </w:r>
            <w:r>
              <w:rPr>
                <w:rStyle w:val="16"/>
                <w:rFonts w:hint="default" w:ascii="Times New Roman" w:hAnsi="Times New Roman" w:cs="Times New Roman"/>
                <w:lang w:val="en-US" w:eastAsia="zh-CN" w:bidi="ar"/>
              </w:rPr>
              <w:br w:type="textWrapping"/>
            </w:r>
            <w:r>
              <w:rPr>
                <w:rStyle w:val="16"/>
                <w:rFonts w:hint="default" w:ascii="Times New Roman" w:hAnsi="Times New Roman" w:cs="Times New Roman"/>
                <w:lang w:val="en-US" w:eastAsia="zh-CN" w:bidi="ar"/>
              </w:rPr>
              <w:t>度（%）</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得分</w:t>
            </w:r>
            <w:r>
              <w:rPr>
                <w:rStyle w:val="16"/>
                <w:rFonts w:hint="default" w:ascii="Times New Roman" w:hAnsi="Times New Roman" w:cs="Times New Roman"/>
                <w:lang w:val="en-US" w:eastAsia="zh-CN" w:bidi="ar"/>
              </w:rPr>
              <w:br w:type="textWrapping"/>
            </w:r>
            <w:r>
              <w:rPr>
                <w:rStyle w:val="16"/>
                <w:rFonts w:hint="default" w:ascii="Times New Roman" w:hAnsi="Times New Roman" w:cs="Times New Roman"/>
                <w:lang w:val="en-US" w:eastAsia="zh-CN" w:bidi="ar"/>
              </w:rPr>
              <w:t>系数（%）</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指标</w:t>
            </w:r>
            <w:r>
              <w:rPr>
                <w:rStyle w:val="16"/>
                <w:rFonts w:hint="default" w:ascii="Times New Roman" w:hAnsi="Times New Roman" w:cs="Times New Roman"/>
                <w:lang w:val="en-US" w:eastAsia="zh-CN" w:bidi="ar"/>
              </w:rPr>
              <w:br w:type="textWrapping"/>
            </w:r>
            <w:r>
              <w:rPr>
                <w:rStyle w:val="16"/>
                <w:rFonts w:hint="default" w:ascii="Times New Roman" w:hAnsi="Times New Roman" w:cs="Times New Roman"/>
                <w:lang w:val="en-US" w:eastAsia="zh-CN" w:bidi="ar"/>
              </w:rPr>
              <w:t>权重</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指标得分</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说明</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自评总分：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48" w:hRule="atLeast"/>
        </w:trPr>
        <w:tc>
          <w:tcPr>
            <w:tcW w:w="695"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1</w:t>
            </w:r>
          </w:p>
        </w:tc>
        <w:tc>
          <w:tcPr>
            <w:tcW w:w="695"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美术馆、图书馆、文化馆(站)免费开放专项</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服务群众人次</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eastAsia" w:ascii="Times New Roman" w:hAnsi="Times New Roman" w:cs="Times New Roman"/>
                <w:lang w:val="en-US" w:eastAsia="zh-CN" w:bidi="ar"/>
              </w:rPr>
              <w:t>1000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eastAsia" w:ascii="Times New Roman" w:hAnsi="Times New Roman" w:cs="Times New Roman"/>
                <w:lang w:val="en-US" w:eastAsia="zh-CN" w:bidi="ar"/>
              </w:rPr>
              <w:t>1000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100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eastAsia" w:ascii="Times New Roman" w:hAnsi="Times New Roman" w:cs="Times New Roman"/>
                <w:lang w:val="en-US" w:eastAsia="zh-CN" w:bidi="ar"/>
              </w:rPr>
              <w:t>20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eastAsia" w:ascii="Times New Roman" w:hAnsi="Times New Roman" w:cs="Times New Roman"/>
                <w:lang w:val="en-US" w:eastAsia="zh-CN" w:bidi="ar"/>
              </w:rPr>
              <w:t>20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p>
        </w:tc>
        <w:tc>
          <w:tcPr>
            <w:tcW w:w="69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48" w:hRule="atLeast"/>
        </w:trPr>
        <w:tc>
          <w:tcPr>
            <w:tcW w:w="6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p>
        </w:tc>
        <w:tc>
          <w:tcPr>
            <w:tcW w:w="6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eastAsia" w:ascii="Times New Roman" w:hAnsi="Times New Roman" w:eastAsia="宋体" w:cs="Times New Roman"/>
                <w:lang w:val="en-US" w:eastAsia="zh-CN" w:bidi="ar"/>
              </w:rPr>
            </w:pPr>
            <w:r>
              <w:rPr>
                <w:rStyle w:val="16"/>
                <w:rFonts w:hint="default" w:ascii="Times New Roman" w:hAnsi="Times New Roman" w:cs="Times New Roman"/>
                <w:lang w:val="en-US" w:eastAsia="zh-CN" w:bidi="ar"/>
              </w:rPr>
              <w:t>完成</w:t>
            </w:r>
            <w:r>
              <w:rPr>
                <w:rStyle w:val="16"/>
                <w:rFonts w:hint="eastAsia" w:ascii="Times New Roman" w:hAnsi="Times New Roman" w:cs="Times New Roman"/>
                <w:lang w:val="en-US" w:eastAsia="zh-CN" w:bidi="ar"/>
              </w:rPr>
              <w:t>时间</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eastAsia" w:ascii="Times New Roman" w:hAnsi="Times New Roman" w:cs="Times New Roman"/>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eastAsia" w:ascii="Times New Roman" w:hAnsi="Times New Roman" w:cs="Times New Roman"/>
                <w:lang w:val="en-US" w:eastAsia="zh-CN" w:bidi="ar"/>
              </w:rPr>
              <w:t>12</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eastAsia" w:ascii="Times New Roman" w:hAnsi="Times New Roman" w:cs="Times New Roman"/>
                <w:lang w:val="en-US" w:eastAsia="zh-CN" w:bidi="ar"/>
              </w:rPr>
              <w:t>12</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eastAsia" w:ascii="Times New Roman" w:hAnsi="Times New Roman" w:cs="Times New Roman"/>
                <w:lang w:val="en-US" w:eastAsia="zh-CN" w:bidi="ar"/>
              </w:rPr>
              <w:t>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100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40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40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p>
        </w:tc>
        <w:tc>
          <w:tcPr>
            <w:tcW w:w="69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48" w:hRule="atLeast"/>
        </w:trPr>
        <w:tc>
          <w:tcPr>
            <w:tcW w:w="6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p>
        </w:tc>
        <w:tc>
          <w:tcPr>
            <w:tcW w:w="6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eastAsia" w:ascii="Times New Roman" w:hAnsi="Times New Roman" w:cs="Times New Roman"/>
                <w:lang w:val="en-US" w:eastAsia="zh-CN" w:bidi="ar"/>
              </w:rPr>
              <w:t>可持续发展几率</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eastAsia" w:ascii="Times New Roman" w:hAnsi="Times New Roman" w:cs="Times New Roman"/>
                <w:lang w:val="en-US" w:eastAsia="zh-CN" w:bidi="ar"/>
              </w:rPr>
              <w:t>60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eastAsia" w:ascii="Times New Roman" w:hAnsi="Times New Roman" w:cs="Times New Roman"/>
                <w:lang w:val="en-US" w:eastAsia="zh-CN" w:bidi="ar"/>
              </w:rPr>
              <w:t>60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100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eastAsia" w:ascii="Times New Roman" w:hAnsi="Times New Roman" w:cs="Times New Roman"/>
                <w:lang w:val="en-US" w:eastAsia="zh-CN" w:bidi="ar"/>
              </w:rPr>
              <w:t>2</w:t>
            </w:r>
            <w:r>
              <w:rPr>
                <w:rStyle w:val="16"/>
                <w:rFonts w:hint="default" w:ascii="Times New Roman" w:hAnsi="Times New Roman" w:cs="Times New Roman"/>
                <w:lang w:val="en-US" w:eastAsia="zh-CN" w:bidi="ar"/>
              </w:rPr>
              <w:t>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eastAsia" w:ascii="Times New Roman" w:hAnsi="Times New Roman" w:cs="Times New Roman"/>
                <w:lang w:val="en-US" w:eastAsia="zh-CN" w:bidi="ar"/>
              </w:rPr>
              <w:t>2</w:t>
            </w:r>
            <w:r>
              <w:rPr>
                <w:rStyle w:val="16"/>
                <w:rFonts w:hint="default" w:ascii="Times New Roman" w:hAnsi="Times New Roman" w:cs="Times New Roman"/>
                <w:lang w:val="en-US" w:eastAsia="zh-CN" w:bidi="ar"/>
              </w:rPr>
              <w:t>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p>
        </w:tc>
        <w:tc>
          <w:tcPr>
            <w:tcW w:w="695"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48" w:hRule="atLeast"/>
        </w:trPr>
        <w:tc>
          <w:tcPr>
            <w:tcW w:w="6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p>
        </w:tc>
        <w:tc>
          <w:tcPr>
            <w:tcW w:w="6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eastAsia" w:ascii="Times New Roman" w:hAnsi="Times New Roman" w:cs="Times New Roman"/>
                <w:lang w:val="en-US" w:eastAsia="zh-CN" w:bidi="ar"/>
              </w:rPr>
              <w:t>花费成本</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eastAsia" w:ascii="Times New Roman" w:hAnsi="Times New Roman" w:cs="Times New Roman"/>
                <w:lang w:val="en-US" w:eastAsia="zh-CN" w:bidi="ar"/>
              </w:rPr>
              <w:t>50000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eastAsia" w:ascii="Times New Roman" w:hAnsi="Times New Roman" w:cs="Times New Roman"/>
                <w:lang w:val="en-US" w:eastAsia="zh-CN" w:bidi="ar"/>
              </w:rPr>
              <w:t>5000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100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eastAsia" w:ascii="Times New Roman" w:hAnsi="Times New Roman" w:cs="Times New Roman"/>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eastAsia" w:ascii="Times New Roman" w:hAnsi="Times New Roman" w:cs="Times New Roman"/>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p>
        </w:tc>
        <w:tc>
          <w:tcPr>
            <w:tcW w:w="69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2"/>
                <w:szCs w:val="22"/>
                <w:u w:val="none"/>
              </w:rPr>
            </w:pPr>
          </w:p>
        </w:tc>
      </w:tr>
    </w:tbl>
    <w:p>
      <w:pPr>
        <w:pStyle w:val="11"/>
        <w:keepNext w:val="0"/>
        <w:keepLines w:val="0"/>
        <w:pageBreakBefore w:val="0"/>
        <w:widowControl/>
        <w:kinsoku/>
        <w:overflowPunct/>
        <w:topLinePunct w:val="0"/>
        <w:autoSpaceDE w:val="0"/>
        <w:autoSpaceDN/>
        <w:bidi w:val="0"/>
        <w:adjustRightInd/>
        <w:spacing w:beforeAutospacing="0" w:afterAutospacing="0" w:line="560" w:lineRule="exact"/>
        <w:rPr>
          <w:rFonts w:hint="default" w:ascii="Times New Roman" w:hAnsi="Times New Roman" w:eastAsia="方正仿宋" w:cs="Times New Roman"/>
          <w:i w:val="0"/>
          <w:caps w:val="0"/>
          <w:color w:val="333333"/>
          <w:spacing w:val="0"/>
          <w:sz w:val="32"/>
          <w:szCs w:val="32"/>
          <w:shd w:val="clear" w:fill="FFFFFF"/>
          <w:lang w:val="en-US" w:eastAsia="zh-CN" w:bidi="ar-SA"/>
        </w:rPr>
      </w:pPr>
      <w:r>
        <w:rPr>
          <w:rStyle w:val="8"/>
          <w:rFonts w:hint="default" w:ascii="Times New Roman" w:hAnsi="Times New Roman" w:eastAsia="方正楷体_GBK" w:cs="Times New Roman"/>
          <w:b w:val="0"/>
          <w:bCs/>
          <w:sz w:val="32"/>
          <w:szCs w:val="32"/>
          <w:shd w:val="clear" w:color="auto" w:fill="FFFFFF"/>
          <w:lang w:val="en-US" w:eastAsia="zh-CN" w:bidi="ar-SA"/>
        </w:rPr>
        <w:t>（二）单位绩效评价情况</w:t>
      </w:r>
    </w:p>
    <w:p>
      <w:pPr>
        <w:pStyle w:val="11"/>
        <w:keepNext w:val="0"/>
        <w:keepLines w:val="0"/>
        <w:pageBreakBefore w:val="0"/>
        <w:widowControl/>
        <w:kinsoku/>
        <w:overflowPunct/>
        <w:topLinePunct w:val="0"/>
        <w:autoSpaceDE w:val="0"/>
        <w:autoSpaceDN/>
        <w:bidi w:val="0"/>
        <w:adjustRightInd/>
        <w:spacing w:line="560" w:lineRule="exact"/>
        <w:ind w:firstLine="640" w:firstLineChars="200"/>
        <w:rPr>
          <w:rFonts w:hint="default" w:ascii="Times New Roman" w:hAnsi="Times New Roman" w:eastAsia="方正仿宋" w:cs="Times New Roman"/>
          <w:i w:val="0"/>
          <w:caps w:val="0"/>
          <w:color w:val="333333"/>
          <w:spacing w:val="0"/>
          <w:sz w:val="32"/>
          <w:szCs w:val="32"/>
          <w:shd w:val="clear" w:fill="FFFFFF"/>
          <w:lang w:val="en-US" w:eastAsia="zh-CN" w:bidi="ar-SA"/>
        </w:rPr>
      </w:pPr>
      <w:r>
        <w:rPr>
          <w:rFonts w:hint="eastAsia" w:ascii="方正仿宋_GBK" w:hAnsi="方正仿宋_GBK" w:eastAsia="方正仿宋_GBK" w:cs="方正仿宋_GBK"/>
          <w:b w:val="0"/>
          <w:bCs w:val="0"/>
          <w:color w:val="auto"/>
          <w:sz w:val="32"/>
          <w:szCs w:val="32"/>
          <w:highlight w:val="none"/>
          <w:shd w:val="clear" w:color="auto" w:fill="FFFFFF"/>
          <w:lang w:eastAsia="zh-CN"/>
        </w:rPr>
        <w:t>我单位未组织绩效评价。</w:t>
      </w:r>
    </w:p>
    <w:p>
      <w:pPr>
        <w:pStyle w:val="6"/>
        <w:keepNext w:val="0"/>
        <w:keepLines w:val="0"/>
        <w:pageBreakBefore w:val="0"/>
        <w:widowControl/>
        <w:shd w:val="clear" w:color="auto" w:fill="FFFFFF"/>
        <w:kinsoku/>
        <w:overflowPunct/>
        <w:topLinePunct w:val="0"/>
        <w:autoSpaceDN/>
        <w:bidi w:val="0"/>
        <w:adjustRightInd/>
        <w:spacing w:beforeAutospacing="0" w:afterAutospacing="0" w:line="560" w:lineRule="exact"/>
        <w:ind w:firstLine="640" w:firstLineChars="200"/>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（三）财政绩效评价情况</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kern w:val="0"/>
          <w:sz w:val="32"/>
          <w:szCs w:val="32"/>
          <w:lang w:val="en-US" w:eastAsia="zh-CN" w:bidi="ar-SA"/>
        </w:rPr>
        <w:t>县财政局未委托第三方对我单位开展绩效评价。</w:t>
      </w:r>
    </w:p>
    <w:p>
      <w:pPr>
        <w:pStyle w:val="6"/>
        <w:keepNext w:val="0"/>
        <w:keepLines w:val="0"/>
        <w:pageBreakBefore w:val="0"/>
        <w:widowControl/>
        <w:shd w:val="clear" w:color="auto" w:fill="FFFFFF"/>
        <w:kinsoku/>
        <w:overflowPunct/>
        <w:topLinePunct w:val="0"/>
        <w:autoSpaceDN/>
        <w:bidi w:val="0"/>
        <w:adjustRightInd/>
        <w:spacing w:beforeAutospacing="0" w:afterAutospacing="0" w:line="560" w:lineRule="exact"/>
        <w:ind w:firstLine="643" w:firstLineChars="200"/>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Style w:val="8"/>
          <w:rFonts w:hint="default" w:ascii="Times New Roman" w:hAnsi="Times New Roman" w:eastAsia="方正黑体_GBK" w:cs="Times New Roman"/>
          <w:b w:val="0"/>
          <w:bCs/>
          <w:sz w:val="32"/>
          <w:szCs w:val="32"/>
          <w:shd w:val="clear" w:color="auto" w:fill="FFFFFF"/>
          <w:lang w:eastAsia="zh-CN"/>
        </w:rPr>
        <w:t>六、专业名词解释</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firstLineChars="200"/>
        <w:jc w:val="both"/>
        <w:textAlignment w:val="auto"/>
        <w:outlineLvl w:val="9"/>
        <w:rPr>
          <w:rStyle w:val="8"/>
          <w:rFonts w:hint="eastAsia" w:ascii="方正仿宋_GBK" w:hAnsi="方正仿宋_GBK" w:eastAsia="方正仿宋_GBK" w:cs="方正仿宋_GBK"/>
          <w:b w:val="0"/>
          <w:bCs/>
          <w:sz w:val="32"/>
          <w:szCs w:val="32"/>
          <w:shd w:val="clear" w:color="auto" w:fill="FFFFFF"/>
          <w:lang w:val="en-US" w:eastAsia="zh-CN" w:bidi="ar-SA"/>
        </w:rPr>
      </w:pPr>
      <w:r>
        <w:rPr>
          <w:rFonts w:hint="eastAsia" w:ascii="方正仿宋_GBK" w:hAnsi="方正仿宋_GBK" w:eastAsia="方正仿宋_GBK" w:cs="方正仿宋_GBK"/>
          <w:b/>
          <w:bCs/>
          <w:sz w:val="32"/>
          <w:szCs w:val="32"/>
          <w:shd w:val="clear" w:color="auto" w:fill="FFFFFF"/>
        </w:rPr>
        <w:t> </w:t>
      </w:r>
      <w:r>
        <w:rPr>
          <w:rStyle w:val="8"/>
          <w:rFonts w:hint="eastAsia" w:ascii="方正仿宋_GBK" w:hAnsi="方正仿宋_GBK" w:eastAsia="方正仿宋_GBK" w:cs="方正仿宋_GBK"/>
          <w:b w:val="0"/>
          <w:bCs/>
          <w:sz w:val="32"/>
          <w:szCs w:val="32"/>
          <w:shd w:val="clear" w:color="auto" w:fill="FFFFFF"/>
          <w:lang w:val="en-US" w:eastAsia="zh-CN" w:bidi="ar-SA"/>
        </w:rPr>
        <w:t>（一）财政拨款收入：指本年度从本级财政部门取得的财政拨款，包括一般公共预算财政拨款和政府性基金预算财政拨款。</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8"/>
          <w:rFonts w:hint="eastAsia" w:ascii="方正仿宋_GBK" w:hAnsi="方正仿宋_GBK" w:eastAsia="方正仿宋_GBK" w:cs="方正仿宋_GBK"/>
          <w:b w:val="0"/>
          <w:bCs/>
          <w:sz w:val="32"/>
          <w:szCs w:val="32"/>
          <w:shd w:val="clear" w:color="auto" w:fill="FFFFFF"/>
          <w:lang w:val="en-US" w:eastAsia="zh-CN" w:bidi="ar-SA"/>
        </w:rPr>
      </w:pPr>
      <w:r>
        <w:rPr>
          <w:rStyle w:val="8"/>
          <w:rFonts w:hint="eastAsia" w:ascii="方正仿宋_GBK" w:hAnsi="方正仿宋_GBK" w:eastAsia="方正仿宋_GBK" w:cs="方正仿宋_GBK"/>
          <w:b w:val="0"/>
          <w:bCs/>
          <w:sz w:val="32"/>
          <w:szCs w:val="32"/>
          <w:shd w:val="clear" w:color="auto" w:fill="FFFFFF"/>
          <w:lang w:val="en-US" w:eastAsia="zh-CN" w:bidi="ar-SA"/>
        </w:rPr>
        <w:t> （二）事业收入：指事业单位开展专业业务活动及其辅助活动取得的现金流入；事业单位收到的财政专户实际核拨的教育收费等资金在此反映。</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8"/>
          <w:rFonts w:hint="eastAsia" w:ascii="方正仿宋_GBK" w:hAnsi="方正仿宋_GBK" w:eastAsia="方正仿宋_GBK" w:cs="方正仿宋_GBK"/>
          <w:b w:val="0"/>
          <w:bCs/>
          <w:sz w:val="32"/>
          <w:szCs w:val="32"/>
          <w:shd w:val="clear" w:color="auto" w:fill="FFFFFF"/>
          <w:lang w:val="en-US" w:eastAsia="zh-CN" w:bidi="ar-SA"/>
        </w:rPr>
      </w:pPr>
      <w:r>
        <w:rPr>
          <w:rStyle w:val="8"/>
          <w:rFonts w:hint="eastAsia" w:ascii="方正仿宋_GBK" w:hAnsi="方正仿宋_GBK" w:eastAsia="方正仿宋_GBK" w:cs="方正仿宋_GBK"/>
          <w:b w:val="0"/>
          <w:bCs/>
          <w:sz w:val="32"/>
          <w:szCs w:val="32"/>
          <w:shd w:val="clear" w:color="auto" w:fill="FFFFFF"/>
          <w:lang w:val="en-US" w:eastAsia="zh-CN" w:bidi="ar-SA"/>
        </w:rPr>
        <w:t> （三）经营收入：指事业单位在专业业务活动及其辅助活动之外开展非独立核算经营活动取得的现金流入。</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8"/>
          <w:rFonts w:hint="eastAsia" w:ascii="方正仿宋_GBK" w:hAnsi="方正仿宋_GBK" w:eastAsia="方正仿宋_GBK" w:cs="方正仿宋_GBK"/>
          <w:b w:val="0"/>
          <w:bCs/>
          <w:sz w:val="32"/>
          <w:szCs w:val="32"/>
          <w:shd w:val="clear" w:color="auto" w:fill="FFFFFF"/>
          <w:lang w:val="en-US" w:eastAsia="zh-CN" w:bidi="ar-SA"/>
        </w:rPr>
      </w:pPr>
      <w:r>
        <w:rPr>
          <w:rStyle w:val="8"/>
          <w:rFonts w:hint="eastAsia" w:ascii="方正仿宋_GBK" w:hAnsi="方正仿宋_GBK" w:eastAsia="方正仿宋_GBK" w:cs="方正仿宋_GBK"/>
          <w:b w:val="0"/>
          <w:bCs/>
          <w:sz w:val="32"/>
          <w:szCs w:val="32"/>
          <w:shd w:val="clear" w:color="auto" w:fill="FFFFFF"/>
          <w:lang w:val="en-US" w:eastAsia="zh-CN" w:bidi="ar-SA"/>
        </w:rPr>
        <w:t> （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8"/>
          <w:rFonts w:hint="eastAsia" w:ascii="方正仿宋_GBK" w:hAnsi="方正仿宋_GBK" w:eastAsia="方正仿宋_GBK" w:cs="方正仿宋_GBK"/>
          <w:b w:val="0"/>
          <w:bCs/>
          <w:sz w:val="32"/>
          <w:szCs w:val="32"/>
          <w:shd w:val="clear" w:color="auto" w:fill="FFFFFF"/>
          <w:lang w:val="en-US" w:eastAsia="zh-CN" w:bidi="ar-SA"/>
        </w:rPr>
      </w:pPr>
      <w:r>
        <w:rPr>
          <w:rStyle w:val="8"/>
          <w:rFonts w:hint="eastAsia" w:ascii="方正仿宋_GBK" w:hAnsi="方正仿宋_GBK" w:eastAsia="方正仿宋_GBK" w:cs="方正仿宋_GBK"/>
          <w:b w:val="0"/>
          <w:bCs/>
          <w:sz w:val="32"/>
          <w:szCs w:val="32"/>
          <w:shd w:val="clear" w:color="auto" w:fill="FFFFFF"/>
          <w:lang w:val="en-US" w:eastAsia="zh-CN" w:bidi="ar-SA"/>
        </w:rPr>
        <w:t>（五）使用非财政拨款结余：指单位在当年的“财政拨款收入”、“事业收入”、“经营收入”、“其他收入”等不足以安排当年支出的情况下，使用以前年度积累的非财政拨款结余弥补本年度收支缺口的资金。</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8"/>
          <w:rFonts w:hint="eastAsia" w:ascii="方正仿宋_GBK" w:hAnsi="方正仿宋_GBK" w:eastAsia="方正仿宋_GBK" w:cs="方正仿宋_GBK"/>
          <w:b w:val="0"/>
          <w:bCs/>
          <w:sz w:val="32"/>
          <w:szCs w:val="32"/>
          <w:shd w:val="clear" w:color="auto" w:fill="FFFFFF"/>
          <w:lang w:val="en-US" w:eastAsia="zh-CN" w:bidi="ar-SA"/>
        </w:rPr>
      </w:pPr>
      <w:r>
        <w:rPr>
          <w:rStyle w:val="8"/>
          <w:rFonts w:hint="eastAsia" w:ascii="方正仿宋_GBK" w:hAnsi="方正仿宋_GBK" w:eastAsia="方正仿宋_GBK" w:cs="方正仿宋_GBK"/>
          <w:b w:val="0"/>
          <w:bCs/>
          <w:sz w:val="32"/>
          <w:szCs w:val="32"/>
          <w:shd w:val="clear" w:color="auto" w:fill="FFFFFF"/>
          <w:lang w:val="en-US" w:eastAsia="zh-CN" w:bidi="ar-SA"/>
        </w:rPr>
        <w:t> （六）年初结转和结余：指单位上年结转本年使用的基本支出结转、项目支出结转和结余、经营结余。</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8"/>
          <w:rFonts w:hint="eastAsia" w:ascii="方正仿宋_GBK" w:hAnsi="方正仿宋_GBK" w:eastAsia="方正仿宋_GBK" w:cs="方正仿宋_GBK"/>
          <w:b w:val="0"/>
          <w:bCs/>
          <w:sz w:val="32"/>
          <w:szCs w:val="32"/>
          <w:shd w:val="clear" w:color="auto" w:fill="FFFFFF"/>
          <w:lang w:val="en-US" w:eastAsia="zh-CN" w:bidi="ar-SA"/>
        </w:rPr>
      </w:pPr>
      <w:r>
        <w:rPr>
          <w:rStyle w:val="8"/>
          <w:rFonts w:hint="eastAsia" w:ascii="方正仿宋_GBK" w:hAnsi="方正仿宋_GBK" w:eastAsia="方正仿宋_GBK" w:cs="方正仿宋_GBK"/>
          <w:b w:val="0"/>
          <w:bCs/>
          <w:sz w:val="32"/>
          <w:szCs w:val="32"/>
          <w:shd w:val="clear" w:color="auto" w:fill="FFFFFF"/>
          <w:lang w:val="en-US" w:eastAsia="zh-CN" w:bidi="ar-SA"/>
        </w:rPr>
        <w:t> （七）结余分配：指单位按照国家有关规定，缴纳所得税、提取专用基金、转入非财政拨款结余等当年结余的分配情况。</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8"/>
          <w:rFonts w:hint="eastAsia" w:ascii="方正仿宋_GBK" w:hAnsi="方正仿宋_GBK" w:eastAsia="方正仿宋_GBK" w:cs="方正仿宋_GBK"/>
          <w:b w:val="0"/>
          <w:bCs/>
          <w:sz w:val="32"/>
          <w:szCs w:val="32"/>
          <w:shd w:val="clear" w:color="auto" w:fill="FFFFFF"/>
          <w:lang w:val="en-US" w:eastAsia="zh-CN" w:bidi="ar-SA"/>
        </w:rPr>
      </w:pPr>
      <w:r>
        <w:rPr>
          <w:rStyle w:val="8"/>
          <w:rFonts w:hint="eastAsia" w:ascii="方正仿宋_GBK" w:hAnsi="方正仿宋_GBK" w:eastAsia="方正仿宋_GBK" w:cs="方正仿宋_GBK"/>
          <w:b w:val="0"/>
          <w:bCs/>
          <w:sz w:val="32"/>
          <w:szCs w:val="32"/>
          <w:shd w:val="clear" w:color="auto" w:fill="FFFFFF"/>
          <w:lang w:val="en-US" w:eastAsia="zh-CN" w:bidi="ar-SA"/>
        </w:rPr>
        <w:t> （八）年末结转和结余：指单位结转下年的基本支出结转、项目支出结转和结余、经营结余。</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8"/>
          <w:rFonts w:hint="eastAsia" w:ascii="方正仿宋_GBK" w:hAnsi="方正仿宋_GBK" w:eastAsia="方正仿宋_GBK" w:cs="方正仿宋_GBK"/>
          <w:b w:val="0"/>
          <w:bCs/>
          <w:sz w:val="32"/>
          <w:szCs w:val="32"/>
          <w:shd w:val="clear" w:color="auto" w:fill="FFFFFF"/>
          <w:lang w:val="en-US" w:eastAsia="zh-CN" w:bidi="ar-SA"/>
        </w:rPr>
      </w:pPr>
      <w:r>
        <w:rPr>
          <w:rStyle w:val="8"/>
          <w:rFonts w:hint="eastAsia" w:ascii="方正仿宋_GBK" w:hAnsi="方正仿宋_GBK" w:eastAsia="方正仿宋_GBK" w:cs="方正仿宋_GBK"/>
          <w:b w:val="0"/>
          <w:bCs/>
          <w:sz w:val="32"/>
          <w:szCs w:val="32"/>
          <w:shd w:val="clear" w:color="auto" w:fill="FFFFFF"/>
          <w:lang w:val="en-US" w:eastAsia="zh-CN" w:bidi="ar-SA"/>
        </w:rPr>
        <w:t> （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8"/>
          <w:rFonts w:hint="eastAsia" w:ascii="方正仿宋_GBK" w:hAnsi="方正仿宋_GBK" w:eastAsia="方正仿宋_GBK" w:cs="方正仿宋_GBK"/>
          <w:b w:val="0"/>
          <w:bCs/>
          <w:sz w:val="32"/>
          <w:szCs w:val="32"/>
          <w:shd w:val="clear" w:color="auto" w:fill="FFFFFF"/>
          <w:lang w:val="en-US" w:eastAsia="zh-CN" w:bidi="ar-SA"/>
        </w:rPr>
      </w:pPr>
      <w:r>
        <w:rPr>
          <w:rStyle w:val="8"/>
          <w:rFonts w:hint="eastAsia" w:ascii="方正仿宋_GBK" w:hAnsi="方正仿宋_GBK" w:eastAsia="方正仿宋_GBK" w:cs="方正仿宋_GBK"/>
          <w:b w:val="0"/>
          <w:bCs/>
          <w:sz w:val="32"/>
          <w:szCs w:val="32"/>
          <w:shd w:val="clear" w:color="auto" w:fill="FFFFFF"/>
          <w:lang w:val="en-US" w:eastAsia="zh-CN" w:bidi="ar-SA"/>
        </w:rPr>
        <w:t> （十）项目支出：指在基本支出之外为完成特定行政任务和事业发展目标所发生的支出。</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8"/>
          <w:rFonts w:hint="eastAsia" w:ascii="方正仿宋_GBK" w:hAnsi="方正仿宋_GBK" w:eastAsia="方正仿宋_GBK" w:cs="方正仿宋_GBK"/>
          <w:b w:val="0"/>
          <w:bCs/>
          <w:sz w:val="32"/>
          <w:szCs w:val="32"/>
          <w:shd w:val="clear" w:color="auto" w:fill="FFFFFF"/>
          <w:lang w:val="en-US" w:eastAsia="zh-CN" w:bidi="ar-SA"/>
        </w:rPr>
      </w:pPr>
      <w:r>
        <w:rPr>
          <w:rStyle w:val="8"/>
          <w:rFonts w:hint="eastAsia" w:ascii="方正仿宋_GBK" w:hAnsi="方正仿宋_GBK" w:eastAsia="方正仿宋_GBK" w:cs="方正仿宋_GBK"/>
          <w:b w:val="0"/>
          <w:bCs/>
          <w:sz w:val="32"/>
          <w:szCs w:val="32"/>
          <w:shd w:val="clear" w:color="auto" w:fill="FFFFFF"/>
          <w:lang w:val="en-US" w:eastAsia="zh-CN" w:bidi="ar-SA"/>
        </w:rPr>
        <w:t> （十一）经营支出：指事业单位在专业业务活动及其辅助活动之外开展非独立核算经营活动发生的支出。</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8"/>
          <w:rFonts w:hint="eastAsia" w:ascii="方正仿宋_GBK" w:hAnsi="方正仿宋_GBK" w:eastAsia="方正仿宋_GBK" w:cs="方正仿宋_GBK"/>
          <w:b w:val="0"/>
          <w:bCs/>
          <w:sz w:val="32"/>
          <w:szCs w:val="32"/>
          <w:shd w:val="clear" w:color="auto" w:fill="FFFFFF"/>
          <w:lang w:val="en-US" w:eastAsia="zh-CN" w:bidi="ar-SA"/>
        </w:rPr>
      </w:pPr>
      <w:r>
        <w:rPr>
          <w:rStyle w:val="8"/>
          <w:rFonts w:hint="eastAsia" w:ascii="方正仿宋_GBK" w:hAnsi="方正仿宋_GBK" w:eastAsia="方正仿宋_GBK" w:cs="方正仿宋_GBK"/>
          <w:b w:val="0"/>
          <w:bCs/>
          <w:sz w:val="32"/>
          <w:szCs w:val="32"/>
          <w:shd w:val="clear" w:color="auto" w:fill="FFFFFF"/>
          <w:lang w:val="en-US" w:eastAsia="zh-CN" w:bidi="ar-SA"/>
        </w:rPr>
        <w:t> （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8"/>
          <w:rFonts w:hint="eastAsia" w:ascii="方正仿宋_GBK" w:hAnsi="方正仿宋_GBK" w:eastAsia="方正仿宋_GBK" w:cs="方正仿宋_GBK"/>
          <w:b w:val="0"/>
          <w:bCs/>
          <w:sz w:val="32"/>
          <w:szCs w:val="32"/>
          <w:shd w:val="clear" w:color="auto" w:fill="FFFFFF"/>
          <w:lang w:val="en-US" w:eastAsia="zh-CN" w:bidi="ar-SA"/>
        </w:rPr>
      </w:pPr>
      <w:r>
        <w:rPr>
          <w:rStyle w:val="8"/>
          <w:rFonts w:hint="eastAsia" w:ascii="方正仿宋_GBK" w:hAnsi="方正仿宋_GBK" w:eastAsia="方正仿宋_GBK" w:cs="方正仿宋_GBK"/>
          <w:b w:val="0"/>
          <w:bCs/>
          <w:sz w:val="32"/>
          <w:szCs w:val="32"/>
          <w:shd w:val="clear" w:color="auto" w:fill="FFFFFF"/>
          <w:lang w:val="en-US" w:eastAsia="zh-CN" w:bidi="ar-SA"/>
        </w:rPr>
        <w:t> （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8"/>
          <w:rFonts w:hint="eastAsia" w:ascii="方正仿宋_GBK" w:hAnsi="方正仿宋_GBK" w:eastAsia="方正仿宋_GBK" w:cs="方正仿宋_GBK"/>
          <w:b w:val="0"/>
          <w:bCs/>
          <w:sz w:val="32"/>
          <w:szCs w:val="32"/>
          <w:shd w:val="clear" w:color="auto" w:fill="FFFFFF"/>
          <w:lang w:val="en-US" w:eastAsia="zh-CN" w:bidi="ar-SA"/>
        </w:rPr>
      </w:pPr>
      <w:r>
        <w:rPr>
          <w:rStyle w:val="8"/>
          <w:rFonts w:hint="eastAsia" w:ascii="方正仿宋_GBK" w:hAnsi="方正仿宋_GBK" w:eastAsia="方正仿宋_GBK" w:cs="方正仿宋_GBK"/>
          <w:b w:val="0"/>
          <w:bCs/>
          <w:sz w:val="32"/>
          <w:szCs w:val="32"/>
          <w:shd w:val="clear" w:color="auto" w:fill="FFFFFF"/>
          <w:lang w:val="en-US" w:eastAsia="zh-CN" w:bidi="ar-SA"/>
        </w:rPr>
        <w:t> （十四）工资福利支出（支出经济分类科目类级）：反映单位开支的在职职工和编制外长期聘用人员的各类劳动报酬，以及为上述人员缴纳的各项社会保险费等。</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8"/>
          <w:rFonts w:hint="eastAsia" w:ascii="方正仿宋_GBK" w:hAnsi="方正仿宋_GBK" w:eastAsia="方正仿宋_GBK" w:cs="方正仿宋_GBK"/>
          <w:b w:val="0"/>
          <w:bCs/>
          <w:sz w:val="32"/>
          <w:szCs w:val="32"/>
          <w:shd w:val="clear" w:color="auto" w:fill="FFFFFF"/>
          <w:lang w:val="en-US" w:eastAsia="zh-CN" w:bidi="ar-SA"/>
        </w:rPr>
      </w:pPr>
      <w:r>
        <w:rPr>
          <w:rStyle w:val="8"/>
          <w:rFonts w:hint="eastAsia" w:ascii="方正仿宋_GBK" w:hAnsi="方正仿宋_GBK" w:eastAsia="方正仿宋_GBK" w:cs="方正仿宋_GBK"/>
          <w:b w:val="0"/>
          <w:bCs/>
          <w:sz w:val="32"/>
          <w:szCs w:val="32"/>
          <w:shd w:val="clear" w:color="auto" w:fill="FFFFFF"/>
          <w:lang w:val="en-US" w:eastAsia="zh-CN" w:bidi="ar-SA"/>
        </w:rPr>
        <w:t> （十五）商品和服务支出（支出经济分类科目类级）：反映单位购买商品和服务的支出（不包括用于购置固定资产的支出、战略性和应急储备支出）。</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8"/>
          <w:rFonts w:hint="eastAsia" w:ascii="方正仿宋_GBK" w:hAnsi="方正仿宋_GBK" w:eastAsia="方正仿宋_GBK" w:cs="方正仿宋_GBK"/>
          <w:b w:val="0"/>
          <w:bCs/>
          <w:sz w:val="32"/>
          <w:szCs w:val="32"/>
          <w:shd w:val="clear" w:color="auto" w:fill="FFFFFF"/>
          <w:lang w:val="en-US" w:eastAsia="zh-CN" w:bidi="ar-SA"/>
        </w:rPr>
      </w:pPr>
      <w:r>
        <w:rPr>
          <w:rStyle w:val="8"/>
          <w:rFonts w:hint="eastAsia" w:ascii="方正仿宋_GBK" w:hAnsi="方正仿宋_GBK" w:eastAsia="方正仿宋_GBK" w:cs="方正仿宋_GBK"/>
          <w:b w:val="0"/>
          <w:bCs/>
          <w:sz w:val="32"/>
          <w:szCs w:val="32"/>
          <w:shd w:val="clear" w:color="auto" w:fill="FFFFFF"/>
          <w:lang w:val="en-US" w:eastAsia="zh-CN" w:bidi="ar-SA"/>
        </w:rPr>
        <w:t> （十六）对个人和家庭的补助（支出经济分类科目类级）：反映用于对个人和家庭的补助支出。</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8"/>
          <w:rFonts w:hint="eastAsia" w:ascii="方正仿宋_GBK" w:hAnsi="方正仿宋_GBK" w:eastAsia="方正仿宋_GBK" w:cs="方正仿宋_GBK"/>
          <w:b w:val="0"/>
          <w:bCs/>
          <w:sz w:val="32"/>
          <w:szCs w:val="32"/>
          <w:shd w:val="clear" w:color="auto" w:fill="FFFFFF"/>
          <w:lang w:val="en-US" w:eastAsia="zh-CN" w:bidi="ar-SA"/>
        </w:rPr>
      </w:pPr>
      <w:r>
        <w:rPr>
          <w:rStyle w:val="8"/>
          <w:rFonts w:hint="eastAsia" w:ascii="方正仿宋_GBK" w:hAnsi="方正仿宋_GBK" w:eastAsia="方正仿宋_GBK" w:cs="方正仿宋_GBK"/>
          <w:b w:val="0"/>
          <w:bCs/>
          <w:sz w:val="32"/>
          <w:szCs w:val="32"/>
          <w:shd w:val="clear" w:color="auto" w:fill="FFFFFF"/>
          <w:lang w:val="en-US" w:eastAsia="zh-CN" w:bidi="ar-SA"/>
        </w:rPr>
        <w:t> （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overflowPunct/>
        <w:topLinePunct w:val="0"/>
        <w:autoSpaceDN/>
        <w:bidi w:val="0"/>
        <w:adjustRightInd/>
        <w:spacing w:beforeAutospacing="0" w:afterAutospacing="0" w:line="560" w:lineRule="exact"/>
        <w:ind w:firstLine="643" w:firstLineChars="200"/>
        <w:rPr>
          <w:rStyle w:val="8"/>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rPr>
        <w:t> </w:t>
      </w:r>
      <w:r>
        <w:rPr>
          <w:rStyle w:val="8"/>
          <w:rFonts w:hint="default" w:ascii="Times New Roman" w:hAnsi="Times New Roman" w:eastAsia="方正黑体_GBK" w:cs="Times New Roman"/>
          <w:b w:val="0"/>
          <w:bCs/>
          <w:sz w:val="32"/>
          <w:szCs w:val="32"/>
          <w:shd w:val="clear" w:color="auto" w:fill="FFFFFF"/>
          <w:lang w:eastAsia="zh-CN"/>
        </w:rPr>
        <w:t>七、决算公开联系方式及信息反馈渠道</w:t>
      </w:r>
      <w:bookmarkStart w:id="0" w:name="_GoBack"/>
      <w:bookmarkEnd w:id="0"/>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eastAsia" w:ascii="Times New Roman" w:hAnsi="Times New Roman" w:eastAsia="方正仿宋_GBK" w:cs="宋体"/>
          <w:kern w:val="0"/>
          <w:sz w:val="32"/>
          <w:szCs w:val="32"/>
          <w:lang w:val="en-US" w:eastAsia="zh-CN" w:bidi="ar-SA"/>
        </w:rPr>
      </w:pPr>
      <w:r>
        <w:rPr>
          <w:rFonts w:hint="eastAsia" w:ascii="Times New Roman" w:hAnsi="Times New Roman" w:eastAsia="方正仿宋_GBK" w:cs="宋体"/>
          <w:kern w:val="0"/>
          <w:sz w:val="32"/>
          <w:szCs w:val="32"/>
          <w:lang w:val="en-US" w:eastAsia="zh-CN" w:bidi="ar-SA"/>
        </w:rPr>
        <w:t>本单位决算公开信息反馈和联系方式：</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eastAsia" w:ascii="Times New Roman" w:hAnsi="Times New Roman" w:eastAsia="方正仿宋_GBK" w:cs="宋体"/>
          <w:kern w:val="0"/>
          <w:sz w:val="32"/>
          <w:szCs w:val="32"/>
          <w:lang w:val="en-US" w:eastAsia="zh-CN" w:bidi="ar-SA"/>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Times New Roman" w:hAnsi="Times New Roman" w:eastAsia="方正仿宋_GBK" w:cs="宋体"/>
          <w:kern w:val="0"/>
          <w:sz w:val="32"/>
          <w:szCs w:val="32"/>
          <w:lang w:val="en-US" w:eastAsia="zh-CN" w:bidi="ar-SA"/>
        </w:rPr>
        <w:t xml:space="preserve">易力 </w:t>
      </w:r>
      <w:r>
        <w:rPr>
          <w:rFonts w:hint="default" w:ascii="Times New Roman" w:hAnsi="Times New Roman" w:eastAsia="方正仿宋_GBK" w:cs="宋体"/>
          <w:kern w:val="0"/>
          <w:sz w:val="32"/>
          <w:szCs w:val="32"/>
          <w:lang w:val="en-US" w:eastAsia="zh-CN" w:bidi="ar-SA"/>
        </w:rPr>
        <w:t>023-76615631</w:t>
      </w:r>
    </w:p>
    <w:p>
      <w:pPr>
        <w:keepNext w:val="0"/>
        <w:keepLines w:val="0"/>
        <w:pageBreakBefore w:val="0"/>
        <w:widowControl/>
        <w:kinsoku/>
        <w:overflowPunct/>
        <w:topLinePunct w:val="0"/>
        <w:autoSpaceDN/>
        <w:bidi w:val="0"/>
        <w:adjustRightInd/>
        <w:spacing w:beforeAutospacing="0" w:afterAutospacing="0" w:line="560" w:lineRule="exact"/>
        <w:ind w:firstLine="420" w:firstLineChars="200"/>
        <w:rPr>
          <w:rFonts w:hint="default" w:ascii="Times New Roman" w:hAnsi="Times New Roman" w:cs="Times New Roman"/>
          <w:sz w:val="21"/>
          <w:szCs w:val="21"/>
        </w:rPr>
      </w:pPr>
    </w:p>
    <w:tbl>
      <w:tblPr>
        <w:tblStyle w:val="9"/>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643" w:firstLineChars="20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rPr>
                <w:rFonts w:hint="default" w:ascii="Times New Roman" w:hAnsi="Times New Roman" w:cs="Times New Roman"/>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jc w:val="right"/>
              <w:rPr>
                <w:rFonts w:hint="default" w:ascii="Times New Roman" w:hAnsi="Times New Roman" w:cs="Times New Roman"/>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rPr>
                <w:rFonts w:hint="default" w:ascii="Times New Roman" w:hAnsi="Times New Roman" w:cs="Times New Roman"/>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rPr>
                <w:rFonts w:hint="default" w:ascii="Times New Roman" w:hAnsi="Times New Roman" w:cs="Times New Roman"/>
                <w:color w:val="000000"/>
                <w:sz w:val="22"/>
                <w:szCs w:val="22"/>
              </w:rPr>
            </w:pPr>
            <w:r>
              <w:rPr>
                <w:rFonts w:hint="default" w:ascii="Times New Roman" w:hAnsi="Times New Roman" w:cs="Times New Roman"/>
                <w:sz w:val="20"/>
                <w:szCs w:val="20"/>
              </w:rPr>
              <w:t>公开单位：</w:t>
            </w:r>
            <w:r>
              <w:rPr>
                <w:rFonts w:hint="default" w:ascii="Times New Roman" w:hAnsi="Times New Roman" w:cs="Times New Roman"/>
                <w:sz w:val="20"/>
                <w:u w:color="auto"/>
              </w:rPr>
              <w:t>重庆市秀山土家族苗族自治县溪口镇文化服务中心</w:t>
            </w:r>
          </w:p>
        </w:tc>
        <w:tc>
          <w:tcPr>
            <w:tcW w:w="480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440" w:firstLineChars="200"/>
              <w:rPr>
                <w:rFonts w:hint="default" w:ascii="Times New Roman" w:hAnsi="Times New Roman" w:cs="Times New Roman"/>
                <w:color w:val="000000"/>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67.36</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48.77</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11.74</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2.34</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4.51</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rPr>
                <w:rFonts w:hint="default" w:ascii="Times New Roman" w:hAnsi="Times New Roman" w:cs="Times New Roman"/>
                <w:b/>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67.36</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67.36</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67.36</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67.36</w:t>
            </w:r>
            <w:r>
              <w:rPr>
                <w:rFonts w:hint="default" w:ascii="Times New Roman" w:hAnsi="Times New Roman" w:cs="Times New Roman"/>
                <w:color w:val="000000"/>
                <w:sz w:val="20"/>
                <w:u w:color="auto"/>
              </w:rPr>
              <w:t xml:space="preserve"> </w:t>
            </w:r>
          </w:p>
        </w:tc>
      </w:tr>
    </w:tbl>
    <w:p>
      <w:pPr>
        <w:keepNext w:val="0"/>
        <w:keepLines w:val="0"/>
        <w:pageBreakBefore w:val="0"/>
        <w:widowControl/>
        <w:kinsoku/>
        <w:overflowPunct/>
        <w:topLinePunct w:val="0"/>
        <w:autoSpaceDN/>
        <w:bidi w:val="0"/>
        <w:adjustRightInd/>
        <w:spacing w:beforeAutospacing="0" w:afterAutospacing="0" w:line="560" w:lineRule="exact"/>
        <w:ind w:firstLine="400" w:firstLineChars="2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9"/>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643" w:firstLineChars="20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sz w:val="20"/>
                <w:u w:color="auto"/>
              </w:rPr>
              <w:t>重庆市秀山土家族苗族自治县溪口镇文化服务中心</w:t>
            </w: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rPr>
                <w:rFonts w:hint="default" w:ascii="Times New Roman" w:hAnsi="Times New Roman" w:cs="Times New Roman"/>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rPr>
                <w:rFonts w:hint="default" w:ascii="Times New Roman" w:hAnsi="Times New Roman" w:cs="Times New Roman"/>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rPr>
                <w:rFonts w:hint="default" w:ascii="Times New Roman" w:hAnsi="Times New Roman" w:cs="Times New Roman"/>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rPr>
                <w:rFonts w:hint="default" w:ascii="Times New Roman" w:hAnsi="Times New Roman" w:cs="Times New Roman"/>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rPr>
                <w:rFonts w:hint="default" w:ascii="Times New Roman" w:hAnsi="Times New Roman" w:cs="Times New Roman"/>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rPr>
                <w:rFonts w:hint="default" w:ascii="Times New Roman" w:hAnsi="Times New Roman" w:cs="Times New Roman"/>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rPr>
                <w:rFonts w:hint="default" w:ascii="Times New Roman" w:hAnsi="Times New Roman" w:cs="Times New Roman"/>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rPr>
                <w:rFonts w:hint="default" w:ascii="Times New Roman" w:hAnsi="Times New Roman" w:cs="Times New Roman"/>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rPr>
                <w:rFonts w:hint="default" w:ascii="Times New Roman" w:hAnsi="Times New Roman" w:cs="Times New Roman"/>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67.36</w:t>
            </w:r>
            <w:r>
              <w:rPr>
                <w:rFonts w:hint="default" w:ascii="Times New Roman" w:hAnsi="Times New Roman" w:cs="Times New Roman"/>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67.36</w:t>
            </w:r>
            <w:r>
              <w:rPr>
                <w:rFonts w:hint="default" w:ascii="Times New Roman" w:hAnsi="Times New Roman" w:cs="Times New Roman"/>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文化旅游体育与传媒支出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48.77</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48.77</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文化和旅游</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48.77</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48.77</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2070109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群众文化</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43.77</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43.77</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其他文化和旅游支出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11.74</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11.74</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11.74</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11.74</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事业单位离退休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5.16</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5.16</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3.97</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3.97</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2.61</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2.61</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2.34</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2.34</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2.34</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2.34</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2.34</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2.34</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4.51</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4.51</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4.51</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4.51</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4.51</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4.51</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keepNext w:val="0"/>
        <w:keepLines w:val="0"/>
        <w:pageBreakBefore w:val="0"/>
        <w:widowControl/>
        <w:kinsoku/>
        <w:overflowPunct/>
        <w:topLinePunct w:val="0"/>
        <w:autoSpaceDN/>
        <w:bidi w:val="0"/>
        <w:adjustRightInd/>
        <w:spacing w:beforeAutospacing="0" w:afterAutospacing="0" w:line="560" w:lineRule="exact"/>
        <w:ind w:left="600" w:firstLine="400" w:firstLineChars="2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keepNext w:val="0"/>
        <w:keepLines w:val="0"/>
        <w:pageBreakBefore w:val="0"/>
        <w:widowControl/>
        <w:kinsoku/>
        <w:overflowPunct/>
        <w:topLinePunct w:val="0"/>
        <w:autoSpaceDN/>
        <w:bidi w:val="0"/>
        <w:adjustRightInd/>
        <w:spacing w:beforeAutospacing="0" w:afterAutospacing="0" w:line="560" w:lineRule="exact"/>
        <w:ind w:firstLine="400" w:firstLineChars="200"/>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9"/>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643" w:firstLineChars="20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 xml:space="preserve">重庆市秀山土家族苗族自治县溪口镇文化服务中心 </w:t>
            </w: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rPr>
                <w:rFonts w:hint="default" w:ascii="Times New Roman" w:hAnsi="Times New Roman" w:cs="Times New Roman"/>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rPr>
                <w:rFonts w:hint="default" w:ascii="Times New Roman" w:hAnsi="Times New Roman" w:cs="Times New Roman"/>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67.36</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62.36</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5.00</w:t>
            </w:r>
            <w:r>
              <w:rPr>
                <w:rFonts w:hint="default" w:ascii="Times New Roman" w:hAnsi="Times New Roman" w:cs="Times New Roman"/>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文化旅游体育与传媒支出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48.77</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43.77</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5.00</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文化和旅游</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48.77</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43.77</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5.00</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2070109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群众文化</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43.77</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43.77</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其他文化和旅游支出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11.74</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11.74</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11.74</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11.74</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事业单位离退休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5.16</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5.16</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3.97</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3.97</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2.61</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2.61</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2.34</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2.34</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2.34</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2.34</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2.34</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2.34</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4.51</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4.51</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4.51</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4.51</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4.51</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4.51</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keepNext w:val="0"/>
        <w:keepLines w:val="0"/>
        <w:pageBreakBefore w:val="0"/>
        <w:widowControl/>
        <w:kinsoku/>
        <w:overflowPunct/>
        <w:topLinePunct w:val="0"/>
        <w:autoSpaceDN/>
        <w:bidi w:val="0"/>
        <w:adjustRightInd/>
        <w:spacing w:beforeAutospacing="0" w:afterAutospacing="0" w:line="560" w:lineRule="exact"/>
        <w:ind w:firstLine="400" w:firstLineChars="2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keepNext w:val="0"/>
        <w:keepLines w:val="0"/>
        <w:pageBreakBefore w:val="0"/>
        <w:widowControl/>
        <w:kinsoku/>
        <w:overflowPunct/>
        <w:topLinePunct w:val="0"/>
        <w:autoSpaceDN/>
        <w:bidi w:val="0"/>
        <w:adjustRightInd/>
        <w:spacing w:beforeAutospacing="0" w:afterAutospacing="0" w:line="560" w:lineRule="exact"/>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br w:type="page"/>
      </w:r>
    </w:p>
    <w:p>
      <w:pPr>
        <w:keepNext w:val="0"/>
        <w:keepLines w:val="0"/>
        <w:pageBreakBefore w:val="0"/>
        <w:widowControl/>
        <w:kinsoku/>
        <w:overflowPunct/>
        <w:topLinePunct w:val="0"/>
        <w:autoSpaceDN/>
        <w:bidi w:val="0"/>
        <w:adjustRightInd/>
        <w:spacing w:beforeAutospacing="0" w:afterAutospacing="0" w:line="560" w:lineRule="exact"/>
        <w:ind w:firstLine="420" w:firstLineChars="200"/>
        <w:rPr>
          <w:rFonts w:hint="default" w:ascii="Times New Roman" w:hAnsi="Times New Roman" w:cs="Times New Roman"/>
          <w:sz w:val="21"/>
          <w:szCs w:val="21"/>
        </w:rPr>
      </w:pPr>
    </w:p>
    <w:tbl>
      <w:tblPr>
        <w:tblStyle w:val="9"/>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643" w:firstLineChars="20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重庆市秀山土家族苗族自治县溪口镇文化服务中心</w:t>
            </w:r>
          </w:p>
        </w:tc>
        <w:tc>
          <w:tcPr>
            <w:tcW w:w="17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rPr>
                <w:rFonts w:hint="default" w:ascii="Times New Roman" w:hAnsi="Times New Roman" w:cs="Times New Roman"/>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rPr>
                <w:rFonts w:hint="default" w:ascii="Times New Roman" w:hAnsi="Times New Roman" w:cs="Times New Roman"/>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1" w:firstLineChars="200"/>
              <w:jc w:val="center"/>
              <w:rPr>
                <w:rFonts w:hint="default" w:ascii="Times New Roman" w:hAnsi="Times New Roman" w:cs="Times New Roman"/>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1" w:firstLineChars="200"/>
              <w:jc w:val="center"/>
              <w:rPr>
                <w:rFonts w:hint="default" w:ascii="Times New Roman" w:hAnsi="Times New Roman" w:cs="Times New Roman"/>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1" w:firstLineChars="200"/>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67.36</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48.77</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48.77</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11.74</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11.74</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2.34</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2.34</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4.51</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4.51</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67.36</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67.36</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67.36</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1" w:firstLineChars="200"/>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jc w:val="righ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1" w:firstLineChars="200"/>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jc w:val="righ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67.36</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67.36</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67.36</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bl>
    <w:p>
      <w:pPr>
        <w:keepNext w:val="0"/>
        <w:keepLines w:val="0"/>
        <w:pageBreakBefore w:val="0"/>
        <w:widowControl/>
        <w:kinsoku/>
        <w:overflowPunct/>
        <w:topLinePunct w:val="0"/>
        <w:autoSpaceDN/>
        <w:bidi w:val="0"/>
        <w:adjustRightInd/>
        <w:spacing w:beforeAutospacing="0" w:afterAutospacing="0" w:line="560" w:lineRule="exact"/>
        <w:ind w:firstLine="400" w:firstLineChars="2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9"/>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643" w:firstLineChars="20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重庆市秀山土家族苗族自治县溪口镇文化服务中心</w:t>
            </w:r>
          </w:p>
        </w:tc>
        <w:tc>
          <w:tcPr>
            <w:tcW w:w="331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rPr>
                <w:rFonts w:hint="default" w:ascii="Times New Roman" w:hAnsi="Times New Roman" w:cs="Times New Roman"/>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rPr>
                <w:rFonts w:hint="default" w:ascii="Times New Roman" w:hAnsi="Times New Roman" w:cs="Times New Roman"/>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rPr>
                <w:rFonts w:hint="default" w:ascii="Times New Roman" w:hAnsi="Times New Roman" w:cs="Times New Roman"/>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rPr>
                <w:rFonts w:hint="default" w:ascii="Times New Roman" w:hAnsi="Times New Roman" w:cs="Times New Roman"/>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rPr>
                <w:rFonts w:hint="default" w:ascii="Times New Roman" w:hAnsi="Times New Roman" w:cs="Times New Roman"/>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rPr>
                <w:rFonts w:hint="default" w:ascii="Times New Roman" w:hAnsi="Times New Roman" w:cs="Times New Roman"/>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rPr>
                <w:rFonts w:hint="default" w:ascii="Times New Roman" w:hAnsi="Times New Roman" w:cs="Times New Roman"/>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67.36</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62.36</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5.00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文化旅游体育与传媒支出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48.77</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43.77</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文化和旅游</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48.77</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43.77</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2070109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群众文化</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43.77</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43.77</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其他文化和旅游支出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11.74</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11.74</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11.74</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11.74</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事业单位离退休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5.16</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5.16</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3.97</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3.97</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2.61</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2.61</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2.34</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2.34</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2.34</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2.34</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2.34</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2.34</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4.51</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4.51</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4.51</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4.51</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4.51</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4.51</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bl>
    <w:p>
      <w:pPr>
        <w:keepNext w:val="0"/>
        <w:keepLines w:val="0"/>
        <w:pageBreakBefore w:val="0"/>
        <w:widowControl/>
        <w:kinsoku/>
        <w:overflowPunct/>
        <w:topLinePunct w:val="0"/>
        <w:autoSpaceDN/>
        <w:bidi w:val="0"/>
        <w:adjustRightInd/>
        <w:spacing w:beforeAutospacing="0" w:afterAutospacing="0" w:line="560" w:lineRule="exact"/>
        <w:ind w:firstLine="400" w:firstLineChars="200"/>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keepNext w:val="0"/>
        <w:keepLines w:val="0"/>
        <w:pageBreakBefore w:val="0"/>
        <w:widowControl/>
        <w:kinsoku/>
        <w:overflowPunct/>
        <w:topLinePunct w:val="0"/>
        <w:autoSpaceDN/>
        <w:bidi w:val="0"/>
        <w:adjustRightInd/>
        <w:spacing w:beforeAutospacing="0" w:afterAutospacing="0" w:line="560" w:lineRule="exact"/>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9"/>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643" w:firstLineChars="20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重庆市秀山土家族苗族自治县溪口镇文化服务中心</w:t>
            </w:r>
          </w:p>
        </w:tc>
        <w:tc>
          <w:tcPr>
            <w:tcW w:w="192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rPr>
                <w:rFonts w:hint="default" w:ascii="Times New Roman" w:hAnsi="Times New Roman" w:cs="Times New Roman"/>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rPr>
                <w:rFonts w:hint="default" w:ascii="Times New Roman" w:hAnsi="Times New Roman" w:cs="Times New Roman"/>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rPr>
                <w:rFonts w:hint="default" w:ascii="Times New Roman" w:hAnsi="Times New Roman" w:cs="Times New Roman"/>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rPr>
                <w:rFonts w:hint="default" w:ascii="Times New Roman" w:hAnsi="Times New Roman" w:cs="Times New Roman"/>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rPr>
                <w:rFonts w:hint="default" w:ascii="Times New Roman" w:hAnsi="Times New Roman" w:cs="Times New Roman"/>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rPr>
                <w:rFonts w:hint="default" w:ascii="Times New Roman" w:hAnsi="Times New Roman" w:cs="Times New Roman"/>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rPr>
                <w:rFonts w:hint="default" w:ascii="Times New Roman" w:hAnsi="Times New Roman" w:cs="Times New Roman"/>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rPr>
                <w:rFonts w:hint="default" w:ascii="Times New Roman" w:hAnsi="Times New Roman" w:cs="Times New Roman"/>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rPr>
                <w:rFonts w:hint="default" w:ascii="Times New Roman" w:hAnsi="Times New Roman" w:cs="Times New Roman"/>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1" w:firstLineChars="200"/>
              <w:jc w:val="center"/>
              <w:rPr>
                <w:rFonts w:hint="default" w:ascii="Times New Roman" w:hAnsi="Times New Roman" w:cs="Times New Roman"/>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1" w:firstLineChars="200"/>
              <w:jc w:val="center"/>
              <w:rPr>
                <w:rFonts w:hint="default" w:ascii="Times New Roman" w:hAnsi="Times New Roman" w:cs="Times New Roman"/>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1" w:firstLineChars="200"/>
              <w:jc w:val="center"/>
              <w:rPr>
                <w:rFonts w:hint="default" w:ascii="Times New Roman" w:hAnsi="Times New Roman" w:cs="Times New Roman"/>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1" w:firstLineChars="200"/>
              <w:jc w:val="center"/>
              <w:rPr>
                <w:rFonts w:hint="default" w:ascii="Times New Roman" w:hAnsi="Times New Roman" w:cs="Times New Roman"/>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1" w:firstLineChars="200"/>
              <w:jc w:val="center"/>
              <w:rPr>
                <w:rFonts w:hint="default" w:ascii="Times New Roman" w:hAnsi="Times New Roman" w:cs="Times New Roman"/>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1" w:firstLineChars="200"/>
              <w:jc w:val="center"/>
              <w:rPr>
                <w:rFonts w:hint="default" w:ascii="Times New Roman" w:hAnsi="Times New Roman" w:cs="Times New Roman"/>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1" w:firstLineChars="200"/>
              <w:jc w:val="center"/>
              <w:rPr>
                <w:rFonts w:hint="default" w:ascii="Times New Roman" w:hAnsi="Times New Roman" w:cs="Times New Roman"/>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1" w:firstLineChars="200"/>
              <w:jc w:val="center"/>
              <w:rPr>
                <w:rFonts w:hint="default" w:ascii="Times New Roman" w:hAnsi="Times New Roman" w:cs="Times New Roman"/>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1" w:firstLineChars="200"/>
              <w:jc w:val="center"/>
              <w:rPr>
                <w:rFonts w:hint="default" w:ascii="Times New Roman" w:hAnsi="Times New Roman" w:cs="Times New Roman"/>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52.58</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4.61</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13.37</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2.89</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3.82</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21.17</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3.97</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0.25</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2.61</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0.96</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2.34</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0.07</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4.51</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0.72</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0.11</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5.16</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0.18</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4.60</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0.08</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0.56</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0.14</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0" w:firstLineChars="200"/>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57.74</w:t>
            </w:r>
            <w:r>
              <w:rPr>
                <w:rFonts w:hint="default" w:ascii="Times New Roman" w:hAnsi="Times New Roman" w:cs="Times New Roman"/>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4.61</w:t>
            </w:r>
            <w:r>
              <w:rPr>
                <w:rFonts w:hint="default" w:ascii="Times New Roman" w:hAnsi="Times New Roman" w:cs="Times New Roman"/>
                <w:color w:val="000000"/>
                <w:sz w:val="18"/>
                <w:u w:color="auto"/>
              </w:rPr>
              <w:t xml:space="preserve"> </w:t>
            </w:r>
          </w:p>
        </w:tc>
      </w:tr>
    </w:tbl>
    <w:p>
      <w:pPr>
        <w:keepNext w:val="0"/>
        <w:keepLines w:val="0"/>
        <w:pageBreakBefore w:val="0"/>
        <w:widowControl/>
        <w:kinsoku/>
        <w:overflowPunct/>
        <w:topLinePunct w:val="0"/>
        <w:autoSpaceDN/>
        <w:bidi w:val="0"/>
        <w:adjustRightInd/>
        <w:spacing w:beforeAutospacing="0" w:afterAutospacing="0" w:line="560" w:lineRule="exact"/>
        <w:ind w:firstLine="400" w:firstLineChars="2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9"/>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643" w:firstLineChars="20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重庆市秀山土家族苗族自治县溪口镇文化服务中心</w:t>
            </w: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rPr>
                <w:rFonts w:hint="default" w:ascii="Times New Roman" w:hAnsi="Times New Roman" w:cs="Times New Roman"/>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rPr>
                <w:rFonts w:hint="default" w:ascii="Times New Roman" w:hAnsi="Times New Roman" w:cs="Times New Roman"/>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rPr>
                <w:rFonts w:hint="default" w:ascii="Times New Roman" w:hAnsi="Times New Roman" w:cs="Times New Roman"/>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rPr>
                <w:rFonts w:hint="default" w:ascii="Times New Roman" w:hAnsi="Times New Roman" w:cs="Times New Roman"/>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rPr>
                <w:rFonts w:hint="default" w:ascii="Times New Roman" w:hAnsi="Times New Roman" w:cs="Times New Roman"/>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rPr>
                <w:rFonts w:hint="default" w:ascii="Times New Roman" w:hAnsi="Times New Roman" w:cs="Times New Roman"/>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rPr>
                <w:rFonts w:hint="default" w:ascii="Times New Roman" w:hAnsi="Times New Roman" w:cs="Times New Roman"/>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rPr>
                <w:rFonts w:hint="default" w:ascii="Times New Roman" w:hAnsi="Times New Roman" w:cs="Times New Roman"/>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rPr>
                <w:rFonts w:hint="default" w:ascii="Times New Roman" w:hAnsi="Times New Roman" w:cs="Times New Roman"/>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rPr>
                <w:rFonts w:hint="default" w:ascii="Times New Roman" w:hAnsi="Times New Roman" w:cs="Times New Roman"/>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rPr>
                <w:rFonts w:hint="default" w:ascii="Times New Roman" w:hAnsi="Times New Roman" w:cs="Times New Roman"/>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pPr>
        <w:keepNext w:val="0"/>
        <w:keepLines w:val="0"/>
        <w:pageBreakBefore w:val="0"/>
        <w:widowControl/>
        <w:kinsoku/>
        <w:overflowPunct/>
        <w:topLinePunct w:val="0"/>
        <w:autoSpaceDN/>
        <w:bidi w:val="0"/>
        <w:adjustRightInd/>
        <w:spacing w:beforeAutospacing="0" w:afterAutospacing="0" w:line="560" w:lineRule="exact"/>
        <w:ind w:firstLine="400" w:firstLineChars="200"/>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备注：本表反映单位本年度政府性基金预算财政拨款收入支出及结转和结余情况。本单位无政府性基金收支，故本表无数据。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keepNext w:val="0"/>
        <w:keepLines w:val="0"/>
        <w:pageBreakBefore w:val="0"/>
        <w:widowControl/>
        <w:kinsoku/>
        <w:overflowPunct/>
        <w:topLinePunct w:val="0"/>
        <w:autoSpaceDN/>
        <w:bidi w:val="0"/>
        <w:adjustRightInd/>
        <w:spacing w:beforeAutospacing="0" w:afterAutospacing="0" w:line="560" w:lineRule="exact"/>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9"/>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643" w:firstLineChars="20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重庆市秀山土家族苗族自治县溪口镇文化服务中心</w:t>
            </w: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rPr>
                <w:rFonts w:hint="default" w:ascii="Times New Roman" w:hAnsi="Times New Roman" w:cs="Times New Roman"/>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rPr>
                <w:rFonts w:hint="default" w:ascii="Times New Roman" w:hAnsi="Times New Roman" w:cs="Times New Roman"/>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rPr>
                <w:rFonts w:hint="default" w:ascii="Times New Roman" w:hAnsi="Times New Roman" w:cs="Times New Roman"/>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402" w:firstLineChars="200"/>
              <w:jc w:val="right"/>
              <w:rPr>
                <w:rFonts w:hint="default" w:ascii="Times New Roman" w:hAnsi="Times New Roman" w:cs="Times New Roman"/>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pPr>
        <w:keepNext w:val="0"/>
        <w:keepLines w:val="0"/>
        <w:pageBreakBefore w:val="0"/>
        <w:widowControl/>
        <w:kinsoku/>
        <w:overflowPunct/>
        <w:topLinePunct w:val="0"/>
        <w:autoSpaceDN/>
        <w:bidi w:val="0"/>
        <w:adjustRightInd/>
        <w:spacing w:beforeAutospacing="0" w:afterAutospacing="0" w:line="560" w:lineRule="exact"/>
        <w:ind w:firstLine="400" w:firstLineChars="200"/>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备注：本表反映单位本年度国有资本经营预算财政拨款支出情况。本单位无国有资本经营收支，故本表无数据。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9"/>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Layout w:type="fixed"/>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643" w:firstLineChars="20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rPr>
                <w:rFonts w:hint="default" w:ascii="Times New Roman" w:hAnsi="Times New Roman" w:cs="Times New Roman"/>
                <w:color w:val="000000"/>
                <w:sz w:val="20"/>
                <w:szCs w:val="20"/>
              </w:rPr>
            </w:pPr>
          </w:p>
        </w:tc>
        <w:tc>
          <w:tcPr>
            <w:tcW w:w="216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jc w:val="center"/>
              <w:rPr>
                <w:rFonts w:hint="default" w:ascii="Times New Roman" w:hAnsi="Times New Roman" w:cs="Times New Roman"/>
                <w:color w:val="000000"/>
                <w:sz w:val="20"/>
                <w:szCs w:val="20"/>
              </w:rPr>
            </w:pPr>
          </w:p>
        </w:tc>
        <w:tc>
          <w:tcPr>
            <w:tcW w:w="211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jc w:val="right"/>
              <w:rPr>
                <w:rFonts w:hint="default" w:ascii="Times New Roman" w:hAnsi="Times New Roman" w:cs="Times New Roman"/>
                <w:color w:val="000000"/>
                <w:sz w:val="20"/>
                <w:szCs w:val="20"/>
              </w:rPr>
            </w:pPr>
          </w:p>
        </w:tc>
        <w:tc>
          <w:tcPr>
            <w:tcW w:w="452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rPr>
                <w:rFonts w:hint="default" w:ascii="Times New Roman" w:hAnsi="Times New Roman" w:cs="Times New Roman"/>
                <w:color w:val="000000"/>
                <w:sz w:val="20"/>
                <w:szCs w:val="20"/>
              </w:rPr>
            </w:pPr>
          </w:p>
        </w:tc>
        <w:tc>
          <w:tcPr>
            <w:tcW w:w="215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公开09表</w:t>
            </w:r>
          </w:p>
        </w:tc>
      </w:tr>
      <w:tr>
        <w:tblPrEx>
          <w:tblLayout w:type="fixed"/>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重庆市秀山土家族苗族自治县溪口镇文化服务中心</w:t>
            </w:r>
          </w:p>
        </w:tc>
        <w:tc>
          <w:tcPr>
            <w:tcW w:w="2115" w:type="dxa"/>
            <w:tcBorders>
              <w:top w:val="nil"/>
              <w:left w:val="nil"/>
              <w:bottom w:val="single" w:color="auto" w:sz="4" w:space="0"/>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jc w:val="right"/>
              <w:rPr>
                <w:rFonts w:hint="default" w:ascii="Times New Roman" w:hAnsi="Times New Roman" w:cs="Times New Roman"/>
                <w:color w:val="000000"/>
                <w:sz w:val="20"/>
                <w:szCs w:val="20"/>
              </w:rPr>
            </w:pPr>
          </w:p>
        </w:tc>
        <w:tc>
          <w:tcPr>
            <w:tcW w:w="4524" w:type="dxa"/>
            <w:tcBorders>
              <w:top w:val="nil"/>
              <w:left w:val="nil"/>
              <w:bottom w:val="single" w:color="auto" w:sz="4" w:space="0"/>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rPr>
                <w:rFonts w:hint="default" w:ascii="Times New Roman" w:hAnsi="Times New Roman" w:cs="Times New Roman"/>
                <w:color w:val="000000"/>
                <w:sz w:val="20"/>
                <w:szCs w:val="20"/>
              </w:rPr>
            </w:pPr>
          </w:p>
        </w:tc>
        <w:tc>
          <w:tcPr>
            <w:tcW w:w="2154" w:type="dxa"/>
            <w:tcBorders>
              <w:top w:val="nil"/>
              <w:left w:val="nil"/>
              <w:bottom w:val="single" w:color="auto" w:sz="4" w:space="0"/>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21" w:firstLineChars="200"/>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21" w:firstLineChars="200"/>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21" w:firstLineChars="200"/>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21" w:firstLineChars="200"/>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21" w:firstLineChars="200"/>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决算数</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20" w:firstLineChars="200"/>
              <w:rPr>
                <w:rFonts w:hint="default" w:ascii="Times New Roman" w:hAnsi="Times New Roman" w:cs="Times New Roman"/>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320" w:firstLineChars="200"/>
              <w:jc w:val="right"/>
              <w:rPr>
                <w:rFonts w:hint="default" w:ascii="Times New Roman" w:hAnsi="Times New Roman" w:cs="Times New Roman"/>
                <w:color w:val="000000"/>
                <w:sz w:val="16"/>
                <w:szCs w:val="16"/>
              </w:rPr>
            </w:pPr>
          </w:p>
        </w:tc>
      </w:tr>
      <w:tr>
        <w:tblPrEx>
          <w:tblLayout w:type="fixed"/>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0.18</w:t>
            </w: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320" w:firstLineChars="200"/>
              <w:rPr>
                <w:rFonts w:hint="default" w:ascii="Times New Roman" w:hAnsi="Times New Roman" w:cs="Times New Roman"/>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firstLine="320" w:firstLineChars="200"/>
              <w:jc w:val="right"/>
              <w:rPr>
                <w:rFonts w:hint="default" w:ascii="Times New Roman" w:hAnsi="Times New Roman" w:cs="Times New Roman"/>
                <w:color w:val="000000"/>
                <w:sz w:val="16"/>
                <w:szCs w:val="16"/>
              </w:rPr>
            </w:pPr>
          </w:p>
        </w:tc>
      </w:tr>
    </w:tbl>
    <w:p>
      <w:pPr>
        <w:keepNext w:val="0"/>
        <w:keepLines w:val="0"/>
        <w:pageBreakBefore w:val="0"/>
        <w:widowControl/>
        <w:kinsoku/>
        <w:overflowPunct/>
        <w:topLinePunct w:val="0"/>
        <w:autoSpaceDN/>
        <w:bidi w:val="0"/>
        <w:adjustRightInd/>
        <w:spacing w:beforeAutospacing="0" w:afterAutospacing="0" w:line="560" w:lineRule="exact"/>
        <w:ind w:firstLine="400" w:firstLineChars="200"/>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- 22 -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010D9"/>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2D903C2"/>
    <w:rsid w:val="03B87EA0"/>
    <w:rsid w:val="03D005EF"/>
    <w:rsid w:val="03DC3C66"/>
    <w:rsid w:val="03E3214F"/>
    <w:rsid w:val="044C50BA"/>
    <w:rsid w:val="05BC6D49"/>
    <w:rsid w:val="06194FF1"/>
    <w:rsid w:val="06A2550B"/>
    <w:rsid w:val="06BF2613"/>
    <w:rsid w:val="06F80EE2"/>
    <w:rsid w:val="07001CCA"/>
    <w:rsid w:val="075678DB"/>
    <w:rsid w:val="079D7CC7"/>
    <w:rsid w:val="08051BCA"/>
    <w:rsid w:val="081B16EA"/>
    <w:rsid w:val="08512A34"/>
    <w:rsid w:val="086C12F4"/>
    <w:rsid w:val="08705944"/>
    <w:rsid w:val="08BA052C"/>
    <w:rsid w:val="08BB5CEE"/>
    <w:rsid w:val="08DB07BA"/>
    <w:rsid w:val="0969353F"/>
    <w:rsid w:val="098305D0"/>
    <w:rsid w:val="0A3317EA"/>
    <w:rsid w:val="0A5C4B69"/>
    <w:rsid w:val="0A86124A"/>
    <w:rsid w:val="0AB54CC0"/>
    <w:rsid w:val="0B9335CE"/>
    <w:rsid w:val="0BB82BB6"/>
    <w:rsid w:val="0BF2311A"/>
    <w:rsid w:val="0C7927C4"/>
    <w:rsid w:val="0C9B098C"/>
    <w:rsid w:val="0D673E11"/>
    <w:rsid w:val="0DDA54E4"/>
    <w:rsid w:val="0DE27778"/>
    <w:rsid w:val="0E3A5F83"/>
    <w:rsid w:val="0F836721"/>
    <w:rsid w:val="0FA25D96"/>
    <w:rsid w:val="107B59E5"/>
    <w:rsid w:val="10EC0126"/>
    <w:rsid w:val="10F70B9A"/>
    <w:rsid w:val="111445C7"/>
    <w:rsid w:val="1133683F"/>
    <w:rsid w:val="114278C6"/>
    <w:rsid w:val="1158083A"/>
    <w:rsid w:val="11643A4B"/>
    <w:rsid w:val="11ED0F98"/>
    <w:rsid w:val="11F03528"/>
    <w:rsid w:val="12C921C4"/>
    <w:rsid w:val="13871C70"/>
    <w:rsid w:val="13A71CB4"/>
    <w:rsid w:val="13AF1D43"/>
    <w:rsid w:val="13CE1647"/>
    <w:rsid w:val="13FD55AB"/>
    <w:rsid w:val="14200702"/>
    <w:rsid w:val="163A6CEE"/>
    <w:rsid w:val="16BD45E5"/>
    <w:rsid w:val="173708E3"/>
    <w:rsid w:val="17C374FC"/>
    <w:rsid w:val="182E4AB6"/>
    <w:rsid w:val="189079DC"/>
    <w:rsid w:val="189B0D0B"/>
    <w:rsid w:val="18B43F7C"/>
    <w:rsid w:val="194A1770"/>
    <w:rsid w:val="197F1FDB"/>
    <w:rsid w:val="19B906A4"/>
    <w:rsid w:val="1A0C036B"/>
    <w:rsid w:val="1B6F15B6"/>
    <w:rsid w:val="1BAA2EDC"/>
    <w:rsid w:val="1C814D34"/>
    <w:rsid w:val="1C9B5AAB"/>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07464F2"/>
    <w:rsid w:val="212174BB"/>
    <w:rsid w:val="21556F04"/>
    <w:rsid w:val="21F2310E"/>
    <w:rsid w:val="22403BD3"/>
    <w:rsid w:val="23F76ADD"/>
    <w:rsid w:val="24B92327"/>
    <w:rsid w:val="24C14514"/>
    <w:rsid w:val="2533755C"/>
    <w:rsid w:val="25791755"/>
    <w:rsid w:val="25A04E6F"/>
    <w:rsid w:val="26396DF4"/>
    <w:rsid w:val="268B4C37"/>
    <w:rsid w:val="26A70866"/>
    <w:rsid w:val="27167136"/>
    <w:rsid w:val="271B442C"/>
    <w:rsid w:val="27B23302"/>
    <w:rsid w:val="29310A5F"/>
    <w:rsid w:val="29C37A35"/>
    <w:rsid w:val="2A076083"/>
    <w:rsid w:val="2A701BCB"/>
    <w:rsid w:val="2A73162E"/>
    <w:rsid w:val="2B167953"/>
    <w:rsid w:val="2B200583"/>
    <w:rsid w:val="2B8209DE"/>
    <w:rsid w:val="2C636760"/>
    <w:rsid w:val="2C6762A3"/>
    <w:rsid w:val="2FA10F56"/>
    <w:rsid w:val="2FCA4B37"/>
    <w:rsid w:val="2FE029D7"/>
    <w:rsid w:val="2FF06E00"/>
    <w:rsid w:val="30586FEC"/>
    <w:rsid w:val="30D26959"/>
    <w:rsid w:val="315F0B22"/>
    <w:rsid w:val="31D84415"/>
    <w:rsid w:val="32192EFD"/>
    <w:rsid w:val="32285F6F"/>
    <w:rsid w:val="32770556"/>
    <w:rsid w:val="329C0913"/>
    <w:rsid w:val="32AA0460"/>
    <w:rsid w:val="3337290D"/>
    <w:rsid w:val="33E31118"/>
    <w:rsid w:val="33EF7674"/>
    <w:rsid w:val="342D7BC6"/>
    <w:rsid w:val="352930DB"/>
    <w:rsid w:val="35573069"/>
    <w:rsid w:val="355F6038"/>
    <w:rsid w:val="358C217E"/>
    <w:rsid w:val="36400684"/>
    <w:rsid w:val="3643005A"/>
    <w:rsid w:val="36C9128A"/>
    <w:rsid w:val="37841E99"/>
    <w:rsid w:val="37BF1123"/>
    <w:rsid w:val="38046692"/>
    <w:rsid w:val="383C3F15"/>
    <w:rsid w:val="38BE4696"/>
    <w:rsid w:val="39237FEB"/>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13439"/>
    <w:rsid w:val="3F032E93"/>
    <w:rsid w:val="3F0527E5"/>
    <w:rsid w:val="3F0D1945"/>
    <w:rsid w:val="3F694D83"/>
    <w:rsid w:val="3F885DCC"/>
    <w:rsid w:val="3FCD675E"/>
    <w:rsid w:val="4004000C"/>
    <w:rsid w:val="407F5B79"/>
    <w:rsid w:val="40BD5482"/>
    <w:rsid w:val="411B6CE5"/>
    <w:rsid w:val="411D7A44"/>
    <w:rsid w:val="412070D7"/>
    <w:rsid w:val="41314E40"/>
    <w:rsid w:val="414A1FA6"/>
    <w:rsid w:val="41E0734B"/>
    <w:rsid w:val="426C1EA8"/>
    <w:rsid w:val="42736402"/>
    <w:rsid w:val="42754039"/>
    <w:rsid w:val="42E86A87"/>
    <w:rsid w:val="43307B09"/>
    <w:rsid w:val="439A3EB9"/>
    <w:rsid w:val="43BB152F"/>
    <w:rsid w:val="44C37687"/>
    <w:rsid w:val="452D379C"/>
    <w:rsid w:val="45CB699A"/>
    <w:rsid w:val="465B470D"/>
    <w:rsid w:val="469D6AD4"/>
    <w:rsid w:val="471E6C84"/>
    <w:rsid w:val="4748792B"/>
    <w:rsid w:val="475D719D"/>
    <w:rsid w:val="47674801"/>
    <w:rsid w:val="48225EF7"/>
    <w:rsid w:val="48860AC1"/>
    <w:rsid w:val="488F422B"/>
    <w:rsid w:val="48E36915"/>
    <w:rsid w:val="48EB6572"/>
    <w:rsid w:val="495C4A24"/>
    <w:rsid w:val="497135DF"/>
    <w:rsid w:val="4A263DF2"/>
    <w:rsid w:val="4A6F6675"/>
    <w:rsid w:val="4B135857"/>
    <w:rsid w:val="4B7951CB"/>
    <w:rsid w:val="4B7C315C"/>
    <w:rsid w:val="4DAC4ACA"/>
    <w:rsid w:val="4DBE01D2"/>
    <w:rsid w:val="4E2C2622"/>
    <w:rsid w:val="4F0C6BA3"/>
    <w:rsid w:val="4F186D58"/>
    <w:rsid w:val="50F06B6E"/>
    <w:rsid w:val="51D21804"/>
    <w:rsid w:val="52026B01"/>
    <w:rsid w:val="52234D33"/>
    <w:rsid w:val="522F6E0C"/>
    <w:rsid w:val="52463BA1"/>
    <w:rsid w:val="52F163D4"/>
    <w:rsid w:val="5315397F"/>
    <w:rsid w:val="531A2DB4"/>
    <w:rsid w:val="53266501"/>
    <w:rsid w:val="534A5FB8"/>
    <w:rsid w:val="53C0244D"/>
    <w:rsid w:val="53DD4D4E"/>
    <w:rsid w:val="53E578CE"/>
    <w:rsid w:val="541330F0"/>
    <w:rsid w:val="54272666"/>
    <w:rsid w:val="543B029D"/>
    <w:rsid w:val="54861779"/>
    <w:rsid w:val="552256E1"/>
    <w:rsid w:val="554C028C"/>
    <w:rsid w:val="554E5773"/>
    <w:rsid w:val="555829E0"/>
    <w:rsid w:val="555A3CBC"/>
    <w:rsid w:val="5582012B"/>
    <w:rsid w:val="558E4E05"/>
    <w:rsid w:val="55BE2E85"/>
    <w:rsid w:val="56530F5D"/>
    <w:rsid w:val="567700D3"/>
    <w:rsid w:val="56FF7E9E"/>
    <w:rsid w:val="57325CBA"/>
    <w:rsid w:val="578867FC"/>
    <w:rsid w:val="5842572D"/>
    <w:rsid w:val="59B86C7B"/>
    <w:rsid w:val="5A3B59D6"/>
    <w:rsid w:val="5AD134D8"/>
    <w:rsid w:val="5C263CE4"/>
    <w:rsid w:val="5C5D2777"/>
    <w:rsid w:val="5CF66BF3"/>
    <w:rsid w:val="5D290C69"/>
    <w:rsid w:val="5D295879"/>
    <w:rsid w:val="5DAC0CE6"/>
    <w:rsid w:val="5DAC16F8"/>
    <w:rsid w:val="5F2D4A41"/>
    <w:rsid w:val="5FC33C08"/>
    <w:rsid w:val="60C74F6C"/>
    <w:rsid w:val="61025A59"/>
    <w:rsid w:val="613D5BBC"/>
    <w:rsid w:val="61536C39"/>
    <w:rsid w:val="6281772B"/>
    <w:rsid w:val="62944DD7"/>
    <w:rsid w:val="6319381F"/>
    <w:rsid w:val="63C25DC5"/>
    <w:rsid w:val="63C62057"/>
    <w:rsid w:val="64571EF5"/>
    <w:rsid w:val="64FB113D"/>
    <w:rsid w:val="656152C6"/>
    <w:rsid w:val="6587477F"/>
    <w:rsid w:val="658C3A08"/>
    <w:rsid w:val="65C031CA"/>
    <w:rsid w:val="65CE6852"/>
    <w:rsid w:val="65F102D9"/>
    <w:rsid w:val="66267C04"/>
    <w:rsid w:val="663F505A"/>
    <w:rsid w:val="666B4415"/>
    <w:rsid w:val="66EE5541"/>
    <w:rsid w:val="67924660"/>
    <w:rsid w:val="68407834"/>
    <w:rsid w:val="6883293E"/>
    <w:rsid w:val="688412AD"/>
    <w:rsid w:val="68AC7C3D"/>
    <w:rsid w:val="68EA5C9E"/>
    <w:rsid w:val="68EB1B71"/>
    <w:rsid w:val="69903DA1"/>
    <w:rsid w:val="6A6337BB"/>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665CFD"/>
    <w:rsid w:val="708F6F7F"/>
    <w:rsid w:val="70D94BD3"/>
    <w:rsid w:val="71C276C1"/>
    <w:rsid w:val="71C34D91"/>
    <w:rsid w:val="726E6BF5"/>
    <w:rsid w:val="72DB435C"/>
    <w:rsid w:val="72E2613A"/>
    <w:rsid w:val="72F771F4"/>
    <w:rsid w:val="73934AD2"/>
    <w:rsid w:val="73A30ACB"/>
    <w:rsid w:val="750837F0"/>
    <w:rsid w:val="754758CF"/>
    <w:rsid w:val="75C522C3"/>
    <w:rsid w:val="75D031B7"/>
    <w:rsid w:val="76412820"/>
    <w:rsid w:val="764F62AB"/>
    <w:rsid w:val="765C45EC"/>
    <w:rsid w:val="768A7619"/>
    <w:rsid w:val="772E1EBA"/>
    <w:rsid w:val="781926BC"/>
    <w:rsid w:val="796D60A4"/>
    <w:rsid w:val="79A031D5"/>
    <w:rsid w:val="7A1525F7"/>
    <w:rsid w:val="7B0515FF"/>
    <w:rsid w:val="7B420052"/>
    <w:rsid w:val="7BD06A28"/>
    <w:rsid w:val="7BF316F5"/>
    <w:rsid w:val="7C3A7C0B"/>
    <w:rsid w:val="7C5248E4"/>
    <w:rsid w:val="7C566698"/>
    <w:rsid w:val="7C5866A3"/>
    <w:rsid w:val="7D7406BB"/>
    <w:rsid w:val="7DE94331"/>
    <w:rsid w:val="7F027A32"/>
    <w:rsid w:val="7F446A19"/>
    <w:rsid w:val="7F7452B9"/>
    <w:rsid w:val="7FDF76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8">
    <w:name w:val="Strong"/>
    <w:qFormat/>
    <w:uiPriority w:val="0"/>
    <w:rPr>
      <w:b/>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7"/>
    <w:link w:val="2"/>
    <w:qFormat/>
    <w:uiPriority w:val="0"/>
    <w:rPr>
      <w:rFonts w:ascii="宋体" w:hAnsi="宋体"/>
      <w:sz w:val="18"/>
      <w:szCs w:val="18"/>
    </w:rPr>
  </w:style>
  <w:style w:type="character" w:customStyle="1" w:styleId="16">
    <w:name w:val="font71"/>
    <w:basedOn w:val="7"/>
    <w:qFormat/>
    <w:uiPriority w:val="0"/>
    <w:rPr>
      <w:rFonts w:hint="eastAsia" w:ascii="方正仿宋_GBK" w:hAnsi="方正仿宋_GBK" w:eastAsia="方正仿宋_GBK" w:cs="方正仿宋_GBK"/>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1</TotalTime>
  <ScaleCrop>false</ScaleCrop>
  <LinksUpToDate>false</LinksUpToDate>
  <CharactersWithSpaces>26759</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2024-09-19T12:15:50Z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