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Autospacing="0" w:line="560" w:lineRule="exact"/>
        <w:jc w:val="center"/>
        <w:rPr>
          <w:rFonts w:hint="default" w:ascii="Times New Roman" w:hAnsi="Times New Roman" w:eastAsia="方正小标宋_GBK" w:cs="Times New Roman"/>
          <w:color w:val="auto"/>
          <w:sz w:val="40"/>
          <w:szCs w:val="40"/>
          <w:shd w:val="clear" w:color="auto" w:fill="FFFFFF"/>
        </w:rPr>
      </w:pPr>
      <w:r>
        <w:rPr>
          <w:rFonts w:hint="default" w:ascii="Times New Roman" w:hAnsi="Times New Roman" w:eastAsia="方正小标宋_GBK" w:cs="Times New Roman"/>
          <w:color w:val="auto"/>
          <w:sz w:val="40"/>
          <w:szCs w:val="40"/>
        </w:rPr>
        <w:t>重庆市秀山土家族苗族自治县梅江镇劳动就业和社会保障服务所</w:t>
      </w:r>
      <w:r>
        <w:rPr>
          <w:rFonts w:hint="default" w:ascii="Times New Roman" w:hAnsi="Times New Roman" w:eastAsia="方正小标宋_GBK" w:cs="Times New Roman"/>
          <w:color w:val="auto"/>
          <w:sz w:val="40"/>
          <w:szCs w:val="40"/>
          <w:shd w:val="clear" w:color="auto" w:fill="FFFFFF"/>
        </w:rPr>
        <w:t>2023年度决算公开说明</w:t>
      </w:r>
    </w:p>
    <w:p>
      <w:pPr>
        <w:pStyle w:val="6"/>
        <w:keepNext w:val="0"/>
        <w:keepLines w:val="0"/>
        <w:pageBreakBefore w:val="0"/>
        <w:widowControl/>
        <w:kinsoku/>
        <w:overflowPunct/>
        <w:topLinePunct w:val="0"/>
        <w:autoSpaceDN/>
        <w:bidi w:val="0"/>
        <w:adjustRightInd/>
        <w:spacing w:before="0" w:beforeAutospacing="0" w:afterAutospacing="0" w:line="560" w:lineRule="exact"/>
        <w:jc w:val="center"/>
        <w:rPr>
          <w:rFonts w:hint="default" w:ascii="Times New Roman" w:hAnsi="Times New Roman" w:eastAsia="方正小标宋_GBK" w:cs="Times New Roman"/>
          <w:color w:val="auto"/>
          <w:sz w:val="40"/>
          <w:szCs w:val="40"/>
          <w:shd w:val="clear" w:color="auto" w:fill="FFFFFF"/>
        </w:rPr>
      </w:pP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黑体_GBK" w:cs="Times New Roman"/>
          <w:b w:val="0"/>
          <w:bCs/>
          <w:color w:val="auto"/>
          <w:sz w:val="32"/>
          <w:szCs w:val="32"/>
          <w:shd w:val="clear" w:color="auto" w:fill="FFFFFF"/>
        </w:rPr>
      </w:pPr>
      <w:r>
        <w:rPr>
          <w:rStyle w:val="8"/>
          <w:rFonts w:hint="default" w:ascii="Times New Roman" w:hAnsi="Times New Roman" w:eastAsia="方正黑体_GBK" w:cs="Times New Roman"/>
          <w:b w:val="0"/>
          <w:bCs/>
          <w:color w:val="auto"/>
          <w:sz w:val="32"/>
          <w:szCs w:val="32"/>
          <w:shd w:val="clear" w:color="auto" w:fill="FFFFFF"/>
        </w:rPr>
        <w:t>单位基本情况</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b w:val="0"/>
          <w:bCs/>
          <w:color w:val="auto"/>
          <w:sz w:val="32"/>
          <w:szCs w:val="32"/>
        </w:rPr>
      </w:pPr>
      <w:r>
        <w:rPr>
          <w:rStyle w:val="8"/>
          <w:rFonts w:hint="default" w:ascii="Times New Roman" w:hAnsi="Times New Roman" w:eastAsia="方正楷体_GBK" w:cs="Times New Roman"/>
          <w:b w:val="0"/>
          <w:bCs/>
          <w:color w:val="auto"/>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承担就业、再就业、农村富余劳动力转移，劳动和社会保障、城镇居民最低生活保障、社保救济、医疗保障服务等社会保障相关具体工作。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楷体_GBK" w:cs="Times New Roman"/>
          <w:b w:val="0"/>
          <w:bCs/>
          <w:color w:val="auto"/>
          <w:sz w:val="32"/>
          <w:szCs w:val="32"/>
        </w:rPr>
      </w:pPr>
      <w:r>
        <w:rPr>
          <w:rStyle w:val="8"/>
          <w:rFonts w:hint="default" w:ascii="Times New Roman" w:hAnsi="Times New Roman" w:eastAsia="方正楷体_GBK" w:cs="Times New Roman"/>
          <w:b w:val="0"/>
          <w:bCs/>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秀山土家族苗族自治县梅江镇劳动就业和社会保障服务所为梅江镇人民政府下属二级单位。本单位有事业编制人员4名。</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黑体_GBK" w:cs="Times New Roman"/>
          <w:b w:val="0"/>
          <w:bCs/>
          <w:color w:val="auto"/>
          <w:sz w:val="32"/>
          <w:szCs w:val="32"/>
          <w:shd w:val="clear" w:color="auto" w:fill="FFFFFF"/>
        </w:rPr>
      </w:pPr>
      <w:r>
        <w:rPr>
          <w:rStyle w:val="8"/>
          <w:rFonts w:hint="default" w:ascii="Times New Roman" w:hAnsi="Times New Roman" w:eastAsia="方正黑体_GBK" w:cs="Times New Roman"/>
          <w:b w:val="0"/>
          <w:bCs/>
          <w:color w:val="auto"/>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val="0"/>
          <w:color w:val="auto"/>
          <w:sz w:val="32"/>
          <w:szCs w:val="32"/>
        </w:rPr>
      </w:pPr>
      <w:r>
        <w:rPr>
          <w:rStyle w:val="8"/>
          <w:rFonts w:hint="default" w:ascii="Times New Roman" w:hAnsi="Times New Roman" w:eastAsia="方正仿宋_GBK" w:cs="Times New Roman"/>
          <w:color w:val="auto"/>
          <w:sz w:val="32"/>
          <w:szCs w:val="32"/>
          <w:shd w:val="clear" w:color="auto" w:fill="FFFFFF"/>
        </w:rPr>
        <w:t>1.总体情况。</w:t>
      </w:r>
      <w:r>
        <w:rPr>
          <w:rFonts w:hint="default" w:ascii="Times New Roman" w:hAnsi="Times New Roman" w:eastAsia="方正仿宋_GBK" w:cs="Times New Roman"/>
          <w:color w:val="auto"/>
          <w:sz w:val="32"/>
          <w:szCs w:val="32"/>
          <w:shd w:val="clear" w:color="auto" w:fill="FFFFFF"/>
        </w:rPr>
        <w:t>2023年度收入总计134.13万元，支出总计</w:t>
      </w:r>
      <w:r>
        <w:rPr>
          <w:rFonts w:hint="default" w:ascii="Times New Roman" w:hAnsi="Times New Roman" w:eastAsia="方正仿宋_GBK" w:cs="Times New Roman"/>
          <w:color w:val="auto"/>
          <w:sz w:val="32"/>
          <w:szCs w:val="32"/>
        </w:rPr>
        <w:t>134.13</w:t>
      </w:r>
      <w:r>
        <w:rPr>
          <w:rFonts w:hint="default" w:ascii="Times New Roman" w:hAnsi="Times New Roman" w:eastAsia="方正仿宋_GBK" w:cs="Times New Roman"/>
          <w:color w:val="auto"/>
          <w:sz w:val="32"/>
          <w:szCs w:val="32"/>
          <w:shd w:val="clear" w:color="auto" w:fill="FFFFFF"/>
        </w:rPr>
        <w:t>万元。收支较上年决算数增加134.13万元，增长100.00%，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8"/>
          <w:rFonts w:hint="default" w:ascii="Times New Roman" w:hAnsi="Times New Roman" w:eastAsia="方正仿宋_GBK" w:cs="Times New Roman"/>
          <w:color w:val="auto"/>
          <w:sz w:val="32"/>
          <w:szCs w:val="32"/>
          <w:shd w:val="clear" w:color="auto" w:fill="FFFFFF"/>
        </w:rPr>
        <w:t>2.收入情况。</w:t>
      </w:r>
      <w:r>
        <w:rPr>
          <w:rFonts w:hint="default" w:ascii="Times New Roman" w:hAnsi="Times New Roman" w:eastAsia="方正仿宋_GBK" w:cs="Times New Roman"/>
          <w:color w:val="auto"/>
          <w:sz w:val="32"/>
          <w:szCs w:val="32"/>
          <w:shd w:val="clear" w:color="auto" w:fill="FFFFFF"/>
        </w:rPr>
        <w:t>2023年度收入合计134.13万元，较上年决算数增加134.13万元，增长100.00%，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其中：财政拨款收入134.13万元，占100.00%；事业收入0.00万元，占0.00%；经营收入0.00万元，占0.00%；其他收入0.00万元，占0.00%。此外，使用非财政拨款结余和专用结余0.00万元，年初结转和结余0.00万元。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shd w:val="clear" w:color="auto" w:fill="FFFFFF"/>
        </w:rPr>
      </w:pPr>
      <w:r>
        <w:rPr>
          <w:rStyle w:val="8"/>
          <w:rFonts w:hint="default" w:ascii="Times New Roman" w:hAnsi="Times New Roman" w:eastAsia="方正仿宋_GBK" w:cs="Times New Roman"/>
          <w:color w:val="auto"/>
          <w:sz w:val="32"/>
          <w:szCs w:val="32"/>
          <w:shd w:val="clear" w:color="auto" w:fill="FFFFFF"/>
        </w:rPr>
        <w:t>3.支出情况。</w:t>
      </w:r>
      <w:r>
        <w:rPr>
          <w:rFonts w:hint="default" w:ascii="Times New Roman" w:hAnsi="Times New Roman" w:eastAsia="方正仿宋_GBK" w:cs="Times New Roman"/>
          <w:color w:val="auto"/>
          <w:sz w:val="32"/>
          <w:szCs w:val="32"/>
          <w:shd w:val="clear" w:color="auto" w:fill="FFFFFF"/>
        </w:rPr>
        <w:t>2023年度支出合计</w:t>
      </w:r>
      <w:r>
        <w:rPr>
          <w:rFonts w:hint="default" w:ascii="Times New Roman" w:hAnsi="Times New Roman" w:eastAsia="方正仿宋_GBK" w:cs="Times New Roman"/>
          <w:color w:val="auto"/>
          <w:sz w:val="32"/>
          <w:szCs w:val="32"/>
        </w:rPr>
        <w:t>134.13</w:t>
      </w:r>
      <w:r>
        <w:rPr>
          <w:rFonts w:hint="default" w:ascii="Times New Roman" w:hAnsi="Times New Roman" w:eastAsia="方正仿宋_GBK" w:cs="Times New Roman"/>
          <w:color w:val="auto"/>
          <w:sz w:val="32"/>
          <w:szCs w:val="32"/>
          <w:shd w:val="clear" w:color="auto" w:fill="FFFFFF"/>
        </w:rPr>
        <w:t>万元，较上年决算数增加134.13万元，增长100.00%，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其中：基本支出68.96万元，占51.41%；项目支出65.17万元，占48.59%；经营支出0.00万元，占0.00%。此外，结余分配0.00万元。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8"/>
          <w:rFonts w:hint="default" w:ascii="Times New Roman" w:hAnsi="Times New Roman" w:eastAsia="方正仿宋_GBK" w:cs="Times New Roman"/>
          <w:color w:val="auto"/>
          <w:sz w:val="32"/>
          <w:szCs w:val="32"/>
          <w:shd w:val="clear" w:color="auto" w:fill="FFFFFF"/>
        </w:rPr>
        <w:t>4.结转结余情况。</w:t>
      </w:r>
      <w:r>
        <w:rPr>
          <w:rFonts w:hint="default" w:ascii="Times New Roman" w:hAnsi="Times New Roman" w:eastAsia="方正仿宋_GBK" w:cs="Times New Roman"/>
          <w:color w:val="auto"/>
          <w:sz w:val="32"/>
          <w:szCs w:val="32"/>
          <w:shd w:val="clear" w:color="auto" w:fill="FFFFFF"/>
        </w:rPr>
        <w:t>2023年度年末结转和结余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color w:val="auto"/>
          <w:sz w:val="32"/>
          <w:szCs w:val="32"/>
          <w:shd w:val="clear" w:color="auto" w:fill="FFFFFF"/>
        </w:rPr>
        <w:t>2023年度财政拨款收、支总计134.13万元。与2022年相比，财政拨款收、支总计各增加134.13万元，增长100.00%。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8"/>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134.13</w:t>
      </w:r>
      <w:r>
        <w:rPr>
          <w:rFonts w:hint="default" w:ascii="Times New Roman" w:hAnsi="Times New Roman" w:eastAsia="方正仿宋_GBK" w:cs="Times New Roman"/>
          <w:color w:val="auto"/>
          <w:sz w:val="32"/>
          <w:szCs w:val="32"/>
          <w:shd w:val="clear" w:color="auto" w:fill="FFFFFF"/>
        </w:rPr>
        <w:t>万元，较上年决算数增加134.13万元，增长100.00%。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较年初预算数增加58.21万元，增长76.67%。主要原因是</w:t>
      </w:r>
      <w:r>
        <w:rPr>
          <w:rFonts w:hint="default" w:ascii="Times New Roman" w:hAnsi="Times New Roman" w:eastAsia="方正仿宋_GBK" w:cs="Times New Roman"/>
          <w:color w:val="auto"/>
          <w:sz w:val="32"/>
          <w:szCs w:val="32"/>
          <w:shd w:val="clear" w:color="auto" w:fill="FFFFFF"/>
          <w:lang w:val="en-US" w:eastAsia="zh-CN"/>
        </w:rPr>
        <w:t>年中追加义务兵家庭优待金、重度残疾人居家托养经费、村（居）或社区助残联络员工作补贴等民政资金</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8"/>
          <w:rFonts w:hint="default" w:ascii="Times New Roman" w:hAnsi="Times New Roman" w:eastAsia="方正仿宋_GBK" w:cs="Times New Roman"/>
          <w:color w:val="auto"/>
          <w:sz w:val="32"/>
          <w:szCs w:val="32"/>
          <w:shd w:val="clear" w:color="auto" w:fill="FFFFFF"/>
        </w:rPr>
        <w:t>2.支出情况。</w:t>
      </w:r>
      <w:r>
        <w:rPr>
          <w:rFonts w:hint="default" w:ascii="Times New Roman" w:hAnsi="Times New Roman" w:eastAsia="方正仿宋_GBK" w:cs="Times New Roman"/>
          <w:color w:val="auto"/>
          <w:sz w:val="32"/>
          <w:szCs w:val="32"/>
          <w:shd w:val="clear" w:color="auto" w:fill="FFFFFF"/>
        </w:rPr>
        <w:t>2023年度一般公共预算财政拨款支出</w:t>
      </w:r>
      <w:r>
        <w:rPr>
          <w:rFonts w:hint="default" w:ascii="Times New Roman" w:hAnsi="Times New Roman" w:eastAsia="方正仿宋_GBK" w:cs="Times New Roman"/>
          <w:color w:val="auto"/>
          <w:sz w:val="32"/>
          <w:szCs w:val="32"/>
        </w:rPr>
        <w:t>134.13</w:t>
      </w:r>
      <w:r>
        <w:rPr>
          <w:rFonts w:hint="default" w:ascii="Times New Roman" w:hAnsi="Times New Roman" w:eastAsia="方正仿宋_GBK" w:cs="Times New Roman"/>
          <w:color w:val="auto"/>
          <w:sz w:val="32"/>
          <w:szCs w:val="32"/>
          <w:shd w:val="clear" w:color="auto" w:fill="FFFFFF"/>
        </w:rPr>
        <w:t>万元，较上年决算数增加134.13万元，增长100.00%。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rPr>
        <w:t>较年初预算数增加40.29万元，增长42.93%。主要原因是</w:t>
      </w:r>
      <w:r>
        <w:rPr>
          <w:rFonts w:hint="default" w:ascii="Times New Roman" w:hAnsi="Times New Roman" w:eastAsia="方正仿宋_GBK" w:cs="Times New Roman"/>
          <w:color w:val="auto"/>
          <w:sz w:val="32"/>
          <w:szCs w:val="32"/>
          <w:shd w:val="clear" w:color="auto" w:fill="FFFFFF"/>
          <w:lang w:val="en-US" w:eastAsia="zh-CN"/>
        </w:rPr>
        <w:t>年中追加义务兵家庭优待金、重度残疾人居家托养经费、村（居）或社区助残联络员工作补贴、严重精神障碍患者监护人奖励等资金</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rPr>
      </w:pPr>
      <w:r>
        <w:rPr>
          <w:rStyle w:val="8"/>
          <w:rFonts w:hint="default" w:ascii="Times New Roman" w:hAnsi="Times New Roman" w:eastAsia="方正仿宋_GBK" w:cs="Times New Roman"/>
          <w:color w:val="auto"/>
          <w:sz w:val="32"/>
          <w:szCs w:val="32"/>
          <w:shd w:val="clear" w:color="auto" w:fill="FFFFFF"/>
        </w:rPr>
        <w:t>3.结转结余情况。</w:t>
      </w:r>
      <w:r>
        <w:rPr>
          <w:rFonts w:hint="default" w:ascii="Times New Roman" w:hAnsi="Times New Roman" w:eastAsia="方正仿宋_GBK" w:cs="Times New Roman"/>
          <w:color w:val="auto"/>
          <w:sz w:val="32"/>
          <w:szCs w:val="32"/>
          <w:shd w:val="clear" w:color="auto" w:fill="FFFFFF"/>
        </w:rPr>
        <w:t>2023年度年末一般公共预算财政拨款结转和结余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auto"/>
          <w:sz w:val="32"/>
          <w:szCs w:val="32"/>
          <w:highlight w:val="cyan"/>
          <w:shd w:val="clear" w:color="auto" w:fill="FFFFFF"/>
        </w:rPr>
      </w:pPr>
      <w:r>
        <w:rPr>
          <w:rStyle w:val="8"/>
          <w:rFonts w:hint="default" w:ascii="Times New Roman" w:hAnsi="Times New Roman" w:eastAsia="方正仿宋_GBK" w:cs="Times New Roman"/>
          <w:color w:val="auto"/>
          <w:sz w:val="32"/>
          <w:szCs w:val="32"/>
          <w:shd w:val="clear" w:color="auto" w:fill="FFFFFF"/>
        </w:rPr>
        <w:t>4.比较情况。</w:t>
      </w:r>
      <w:r>
        <w:rPr>
          <w:rFonts w:hint="default" w:ascii="Times New Roman" w:hAnsi="Times New Roman" w:eastAsia="方正仿宋_GBK" w:cs="Times New Roman"/>
          <w:color w:val="auto"/>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（1）社会保障与就业支出</w:t>
      </w:r>
      <w:r>
        <w:rPr>
          <w:rFonts w:hint="default" w:ascii="Times New Roman" w:hAnsi="Times New Roman" w:eastAsia="方正仿宋_GBK" w:cs="Times New Roman"/>
          <w:color w:val="auto"/>
          <w:sz w:val="32"/>
          <w:szCs w:val="32"/>
        </w:rPr>
        <w:t>114.80</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85.59</w:t>
      </w:r>
      <w:r>
        <w:rPr>
          <w:rFonts w:hint="default" w:ascii="Times New Roman" w:hAnsi="Times New Roman" w:eastAsia="方正仿宋_GBK" w:cs="Times New Roman"/>
          <w:color w:val="auto"/>
          <w:sz w:val="32"/>
          <w:szCs w:val="32"/>
          <w:shd w:val="clear" w:color="auto" w:fill="FFFFFF"/>
        </w:rPr>
        <w:t>%，较年初预算数增加35.20万元，增长44.22%，主要原因是</w:t>
      </w:r>
      <w:r>
        <w:rPr>
          <w:rFonts w:hint="default" w:ascii="Times New Roman" w:hAnsi="Times New Roman" w:eastAsia="方正仿宋_GBK" w:cs="Times New Roman"/>
          <w:color w:val="auto"/>
          <w:sz w:val="32"/>
          <w:szCs w:val="32"/>
          <w:shd w:val="clear" w:color="auto" w:fill="FFFFFF"/>
          <w:lang w:val="en-US" w:eastAsia="zh-CN"/>
        </w:rPr>
        <w:t>年中追加义务兵家庭优待金、重度残疾人居家托养经费、村（居）或社区助残联络员工作补贴等民政资金</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2</w:t>
      </w:r>
      <w:r>
        <w:rPr>
          <w:rFonts w:hint="default" w:ascii="Times New Roman" w:hAnsi="Times New Roman" w:eastAsia="方正仿宋_GBK" w:cs="Times New Roman"/>
          <w:color w:val="auto"/>
          <w:sz w:val="32"/>
          <w:szCs w:val="32"/>
          <w:shd w:val="clear" w:color="auto" w:fill="FFFFFF"/>
        </w:rPr>
        <w:t>）卫生健康支出</w:t>
      </w:r>
      <w:r>
        <w:rPr>
          <w:rFonts w:hint="default" w:ascii="Times New Roman" w:hAnsi="Times New Roman" w:eastAsia="方正仿宋_GBK" w:cs="Times New Roman"/>
          <w:color w:val="auto"/>
          <w:sz w:val="32"/>
          <w:szCs w:val="32"/>
        </w:rPr>
        <w:t>15.17</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11.31</w:t>
      </w:r>
      <w:r>
        <w:rPr>
          <w:rFonts w:hint="default" w:ascii="Times New Roman" w:hAnsi="Times New Roman" w:eastAsia="方正仿宋_GBK" w:cs="Times New Roman"/>
          <w:color w:val="auto"/>
          <w:sz w:val="32"/>
          <w:szCs w:val="32"/>
          <w:shd w:val="clear" w:color="auto" w:fill="FFFFFF"/>
        </w:rPr>
        <w:t>%，较年初预算数增加6.70万元，增长79.10%，主要原因是</w:t>
      </w:r>
      <w:r>
        <w:rPr>
          <w:rFonts w:hint="default" w:ascii="Times New Roman" w:hAnsi="Times New Roman" w:eastAsia="方正仿宋_GBK" w:cs="Times New Roman"/>
          <w:color w:val="auto"/>
          <w:sz w:val="32"/>
          <w:szCs w:val="32"/>
          <w:shd w:val="clear" w:color="auto" w:fill="FFFFFF"/>
          <w:lang w:val="en-US" w:eastAsia="zh-CN"/>
        </w:rPr>
        <w:t>年中追加严重精神障碍患者监护人奖励、医疗保障能力提升资金、2022年居民医保工作（奖励）经费等资金。</w:t>
      </w:r>
    </w:p>
    <w:p>
      <w:pPr>
        <w:keepNext w:val="0"/>
        <w:keepLines w:val="0"/>
        <w:pageBreakBefore w:val="0"/>
        <w:widowControl/>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rPr>
        <w:t>住房保障支出4.15</w:t>
      </w:r>
      <w:r>
        <w:rPr>
          <w:rFonts w:hint="default" w:ascii="Times New Roman" w:hAnsi="Times New Roman" w:eastAsia="方正仿宋_GBK" w:cs="Times New Roman"/>
          <w:color w:val="auto"/>
          <w:sz w:val="32"/>
          <w:szCs w:val="32"/>
          <w:shd w:val="clear" w:color="auto" w:fill="FFFFFF"/>
        </w:rPr>
        <w:t>万元，占</w:t>
      </w:r>
      <w:r>
        <w:rPr>
          <w:rFonts w:hint="default" w:ascii="Times New Roman" w:hAnsi="Times New Roman" w:eastAsia="方正仿宋_GBK" w:cs="Times New Roman"/>
          <w:color w:val="auto"/>
          <w:sz w:val="32"/>
          <w:szCs w:val="32"/>
        </w:rPr>
        <w:t>3.10</w:t>
      </w:r>
      <w:r>
        <w:rPr>
          <w:rFonts w:hint="default" w:ascii="Times New Roman" w:hAnsi="Times New Roman" w:eastAsia="方正仿宋_GBK" w:cs="Times New Roman"/>
          <w:color w:val="auto"/>
          <w:sz w:val="32"/>
          <w:szCs w:val="32"/>
          <w:shd w:val="clear" w:color="auto" w:fill="FFFFFF"/>
        </w:rPr>
        <w:t>%，较年初预算数减少1.62万元，下降28.08%，主要原因是</w:t>
      </w:r>
      <w:r>
        <w:rPr>
          <w:rFonts w:hint="default" w:ascii="Times New Roman" w:hAnsi="Times New Roman" w:eastAsia="方正仿宋_GBK" w:cs="Times New Roman"/>
          <w:color w:val="auto"/>
          <w:sz w:val="32"/>
          <w:szCs w:val="32"/>
          <w:shd w:val="clear" w:color="auto" w:fill="FFFFFF"/>
          <w:lang w:val="en-US" w:eastAsia="zh-CN"/>
        </w:rPr>
        <w:t>在职人员预算减少。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2023年度一般公共财政拨款基本支出</w:t>
      </w:r>
      <w:r>
        <w:rPr>
          <w:rFonts w:hint="default" w:ascii="Times New Roman" w:hAnsi="Times New Roman" w:eastAsia="方正仿宋_GBK" w:cs="Times New Roman"/>
          <w:color w:val="auto"/>
          <w:sz w:val="32"/>
          <w:szCs w:val="32"/>
        </w:rPr>
        <w:t>68.96</w:t>
      </w:r>
      <w:r>
        <w:rPr>
          <w:rFonts w:hint="default" w:ascii="Times New Roman" w:hAnsi="Times New Roman" w:eastAsia="方正仿宋_GBK" w:cs="Times New Roman"/>
          <w:color w:val="auto"/>
          <w:sz w:val="32"/>
          <w:szCs w:val="32"/>
          <w:shd w:val="clear" w:color="auto" w:fill="FFFFFF"/>
        </w:rPr>
        <w:t>万元。其中：人员经费</w:t>
      </w:r>
      <w:r>
        <w:rPr>
          <w:rFonts w:hint="default" w:ascii="Times New Roman" w:hAnsi="Times New Roman" w:eastAsia="方正仿宋_GBK" w:cs="Times New Roman"/>
          <w:color w:val="auto"/>
          <w:sz w:val="32"/>
          <w:szCs w:val="32"/>
        </w:rPr>
        <w:t>63.38</w:t>
      </w:r>
      <w:r>
        <w:rPr>
          <w:rFonts w:hint="default" w:ascii="Times New Roman" w:hAnsi="Times New Roman" w:eastAsia="方正仿宋_GBK" w:cs="Times New Roman"/>
          <w:color w:val="auto"/>
          <w:sz w:val="32"/>
          <w:szCs w:val="32"/>
          <w:shd w:val="clear" w:color="auto" w:fill="FFFFFF"/>
        </w:rPr>
        <w:t>万元，较上年决算数增加63.38万元，增长100.00%，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人员经费用途主要包括基本工资、津贴补贴、奖金、社会保障缴费等。</w:t>
      </w:r>
      <w:r>
        <w:rPr>
          <w:rFonts w:hint="default" w:ascii="Times New Roman" w:hAnsi="Times New Roman" w:eastAsia="方正仿宋_GBK" w:cs="Times New Roman"/>
          <w:color w:val="auto"/>
          <w:sz w:val="32"/>
          <w:szCs w:val="32"/>
          <w:shd w:val="clear" w:color="auto" w:fill="FFFFFF"/>
        </w:rPr>
        <w:t>公用经费</w:t>
      </w:r>
      <w:r>
        <w:rPr>
          <w:rFonts w:hint="default" w:ascii="Times New Roman" w:hAnsi="Times New Roman" w:eastAsia="方正仿宋_GBK" w:cs="Times New Roman"/>
          <w:color w:val="auto"/>
          <w:sz w:val="32"/>
          <w:szCs w:val="32"/>
        </w:rPr>
        <w:t>5.57</w:t>
      </w:r>
      <w:r>
        <w:rPr>
          <w:rFonts w:hint="default" w:ascii="Times New Roman" w:hAnsi="Times New Roman" w:eastAsia="方正仿宋_GBK" w:cs="Times New Roman"/>
          <w:color w:val="auto"/>
          <w:sz w:val="32"/>
          <w:szCs w:val="32"/>
          <w:shd w:val="clear" w:color="auto" w:fill="FFFFFF"/>
        </w:rPr>
        <w:t>万元，较上年决算数增加5.57万元，增长100.00%，</w:t>
      </w:r>
      <w:r>
        <w:rPr>
          <w:rFonts w:hint="default" w:ascii="Times New Roman" w:hAnsi="Times New Roman" w:eastAsia="方正仿宋_GBK" w:cs="Times New Roman"/>
          <w:b w:val="0"/>
          <w:bCs w:val="0"/>
          <w:color w:val="auto"/>
          <w:sz w:val="32"/>
          <w:szCs w:val="32"/>
          <w:shd w:val="clear" w:color="auto" w:fill="FFFFFF"/>
        </w:rPr>
        <w:t>主要原因是</w:t>
      </w:r>
      <w:r>
        <w:rPr>
          <w:rFonts w:hint="default" w:ascii="Times New Roman" w:hAnsi="Times New Roman" w:eastAsia="方正仿宋_GBK" w:cs="Times New Roman"/>
          <w:b w:val="0"/>
          <w:bCs w:val="0"/>
          <w:color w:val="auto"/>
          <w:sz w:val="32"/>
          <w:szCs w:val="32"/>
          <w:shd w:val="clear" w:color="auto" w:fill="FFFFFF"/>
          <w:lang w:val="en-US" w:eastAsia="zh-CN"/>
        </w:rPr>
        <w:t>2022年度本单位与部门合并编报决算，按照市财政局要求，2023年度独立编报决算，故与上年对比增长100%。</w:t>
      </w:r>
      <w:r>
        <w:rPr>
          <w:rFonts w:hint="default" w:ascii="Times New Roman" w:hAnsi="Times New Roman" w:eastAsia="方正仿宋_GBK" w:cs="Times New Roman"/>
          <w:b w:val="0"/>
          <w:bCs w:val="0"/>
          <w:color w:val="auto"/>
          <w:sz w:val="32"/>
          <w:szCs w:val="32"/>
          <w:shd w:val="clear" w:color="auto" w:fill="FFFFFF"/>
        </w:rPr>
        <w:t>公用经费用途主要包括支付办公费</w:t>
      </w:r>
      <w:r>
        <w:rPr>
          <w:rFonts w:hint="default" w:ascii="Times New Roman" w:hAnsi="Times New Roman" w:eastAsia="方正仿宋_GBK" w:cs="Times New Roman"/>
          <w:b w:val="0"/>
          <w:bCs w:val="0"/>
          <w:color w:val="auto"/>
          <w:sz w:val="32"/>
          <w:szCs w:val="32"/>
          <w:shd w:val="clear" w:color="auto" w:fill="FFFFFF"/>
          <w:lang w:eastAsia="zh-CN"/>
        </w:rPr>
        <w:t>、</w:t>
      </w:r>
      <w:r>
        <w:rPr>
          <w:rFonts w:hint="default" w:ascii="Times New Roman" w:hAnsi="Times New Roman" w:eastAsia="方正仿宋_GBK" w:cs="Times New Roman"/>
          <w:b w:val="0"/>
          <w:bCs w:val="0"/>
          <w:color w:val="auto"/>
          <w:sz w:val="32"/>
          <w:szCs w:val="32"/>
          <w:shd w:val="clear" w:color="auto" w:fill="FFFFFF"/>
          <w:lang w:val="en-US" w:eastAsia="zh-CN"/>
        </w:rPr>
        <w:t>水电费</w:t>
      </w:r>
      <w:r>
        <w:rPr>
          <w:rFonts w:hint="default" w:ascii="Times New Roman" w:hAnsi="Times New Roman" w:eastAsia="方正仿宋_GBK" w:cs="Times New Roman"/>
          <w:b w:val="0"/>
          <w:bCs w:val="0"/>
          <w:color w:val="auto"/>
          <w:sz w:val="32"/>
          <w:szCs w:val="32"/>
          <w:shd w:val="clear" w:color="auto" w:fill="FFFFFF"/>
        </w:rPr>
        <w:t>、</w:t>
      </w:r>
      <w:r>
        <w:rPr>
          <w:rFonts w:hint="default" w:ascii="Times New Roman" w:hAnsi="Times New Roman" w:eastAsia="方正仿宋_GBK" w:cs="Times New Roman"/>
          <w:b w:val="0"/>
          <w:bCs w:val="0"/>
          <w:color w:val="auto"/>
          <w:sz w:val="32"/>
          <w:szCs w:val="32"/>
          <w:shd w:val="clear" w:color="auto" w:fill="FFFFFF"/>
          <w:lang w:val="en-US" w:eastAsia="zh-CN"/>
        </w:rPr>
        <w:t>网费、</w:t>
      </w:r>
      <w:r>
        <w:rPr>
          <w:rFonts w:hint="default" w:ascii="Times New Roman" w:hAnsi="Times New Roman" w:eastAsia="方正仿宋_GBK" w:cs="Times New Roman"/>
          <w:b w:val="0"/>
          <w:bCs w:val="0"/>
          <w:color w:val="auto"/>
          <w:sz w:val="32"/>
          <w:szCs w:val="32"/>
          <w:shd w:val="clear" w:color="auto" w:fill="FFFFFF"/>
        </w:rPr>
        <w:t>差旅费等。</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lang w:val="en-US" w:eastAsia="zh-CN"/>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shd w:val="clear" w:color="auto" w:fill="FFFFFF"/>
          <w:lang w:val="en-US" w:eastAsia="zh-CN"/>
        </w:rPr>
      </w:pPr>
      <w:r>
        <w:rPr>
          <w:rFonts w:hint="default" w:ascii="Times New Roman" w:hAnsi="Times New Roman" w:eastAsia="方正仿宋_GBK" w:cs="Times New Roman"/>
          <w:b w:val="0"/>
          <w:bCs w:val="0"/>
          <w:color w:val="auto"/>
          <w:sz w:val="32"/>
          <w:szCs w:val="32"/>
          <w:shd w:val="clear" w:color="auto" w:fill="FFFFFF"/>
          <w:lang w:val="en-US" w:eastAsia="zh-CN"/>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Style w:val="8"/>
          <w:rFonts w:hint="default" w:ascii="Times New Roman" w:hAnsi="Times New Roman" w:eastAsia="方正黑体_GBK" w:cs="Times New Roman"/>
          <w:b w:val="0"/>
          <w:bCs/>
          <w:color w:val="auto"/>
          <w:sz w:val="32"/>
          <w:szCs w:val="32"/>
          <w:shd w:val="clear" w:color="auto" w:fill="FFFFFF"/>
        </w:rPr>
      </w:pPr>
      <w:r>
        <w:rPr>
          <w:rStyle w:val="8"/>
          <w:rFonts w:hint="default" w:ascii="Times New Roman" w:hAnsi="Times New Roman" w:eastAsia="方正黑体_GBK" w:cs="Times New Roman"/>
          <w:b w:val="0"/>
          <w:bCs/>
          <w:color w:val="auto"/>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2023年度“三公”经费支出共计</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万元，较年初预算数无增减。较上年支出数无增减。</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left="0" w:leftChars="0" w:firstLine="640" w:firstLineChars="200"/>
        <w:jc w:val="both"/>
        <w:textAlignment w:val="auto"/>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（二）“三公”经费分项支出情况</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kern w:val="0"/>
          <w:sz w:val="32"/>
          <w:szCs w:val="32"/>
          <w:shd w:val="clear" w:fill="FFFFFF"/>
        </w:rPr>
      </w:pPr>
      <w:r>
        <w:rPr>
          <w:rFonts w:hint="default" w:ascii="Times New Roman" w:hAnsi="Times New Roman" w:eastAsia="方正仿宋_GBK" w:cs="Times New Roman"/>
          <w:b w:val="0"/>
          <w:bCs w:val="0"/>
          <w:color w:val="auto"/>
          <w:kern w:val="0"/>
          <w:sz w:val="32"/>
          <w:szCs w:val="32"/>
          <w:shd w:val="clear" w:fill="FFFFFF"/>
        </w:rPr>
        <w:t>本单位202</w:t>
      </w:r>
      <w:r>
        <w:rPr>
          <w:rFonts w:hint="default" w:ascii="Times New Roman" w:hAnsi="Times New Roman" w:eastAsia="方正仿宋_GBK" w:cs="Times New Roman"/>
          <w:b w:val="0"/>
          <w:bCs w:val="0"/>
          <w:color w:val="auto"/>
          <w:kern w:val="0"/>
          <w:sz w:val="32"/>
          <w:szCs w:val="32"/>
          <w:shd w:val="clear" w:fill="FFFFFF"/>
          <w:lang w:val="en-US" w:eastAsia="zh-CN"/>
        </w:rPr>
        <w:t>3</w:t>
      </w:r>
      <w:r>
        <w:rPr>
          <w:rFonts w:hint="default" w:ascii="Times New Roman" w:hAnsi="Times New Roman" w:eastAsia="方正仿宋_GBK" w:cs="Times New Roman"/>
          <w:b w:val="0"/>
          <w:bCs w:val="0"/>
          <w:color w:val="auto"/>
          <w:kern w:val="0"/>
          <w:sz w:val="32"/>
          <w:szCs w:val="32"/>
          <w:shd w:val="clear" w:fill="FFFFFF"/>
        </w:rPr>
        <w:t>年度未发生因公出国（境）费用。</w:t>
      </w:r>
      <w:r>
        <w:rPr>
          <w:rFonts w:hint="default" w:ascii="Times New Roman" w:hAnsi="Times New Roman" w:eastAsia="方正仿宋_GBK" w:cs="Times New Roman"/>
          <w:b w:val="0"/>
          <w:bCs/>
          <w:kern w:val="0"/>
          <w:sz w:val="32"/>
          <w:szCs w:val="32"/>
          <w:shd w:val="clear" w:fill="FFFFFF"/>
          <w:lang w:eastAsia="zh-CN"/>
        </w:rPr>
        <w:t>费用支出较年初预算数、上年支出数无增减。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kern w:val="0"/>
          <w:sz w:val="32"/>
          <w:szCs w:val="32"/>
          <w:shd w:val="clear" w:fill="FFFFFF"/>
        </w:rPr>
      </w:pPr>
      <w:r>
        <w:rPr>
          <w:rFonts w:hint="default" w:ascii="Times New Roman" w:hAnsi="Times New Roman" w:eastAsia="方正仿宋_GBK" w:cs="Times New Roman"/>
          <w:b w:val="0"/>
          <w:bCs w:val="0"/>
          <w:color w:val="auto"/>
          <w:kern w:val="0"/>
          <w:sz w:val="32"/>
          <w:szCs w:val="32"/>
          <w:shd w:val="clear" w:fill="FFFFFF"/>
        </w:rPr>
        <w:t>本单位202</w:t>
      </w:r>
      <w:r>
        <w:rPr>
          <w:rFonts w:hint="default" w:ascii="Times New Roman" w:hAnsi="Times New Roman" w:eastAsia="方正仿宋_GBK" w:cs="Times New Roman"/>
          <w:b w:val="0"/>
          <w:bCs w:val="0"/>
          <w:color w:val="auto"/>
          <w:kern w:val="0"/>
          <w:sz w:val="32"/>
          <w:szCs w:val="32"/>
          <w:shd w:val="clear" w:fill="FFFFFF"/>
          <w:lang w:val="en-US" w:eastAsia="zh-CN"/>
        </w:rPr>
        <w:t>3</w:t>
      </w:r>
      <w:r>
        <w:rPr>
          <w:rFonts w:hint="default" w:ascii="Times New Roman" w:hAnsi="Times New Roman" w:eastAsia="方正仿宋_GBK" w:cs="Times New Roman"/>
          <w:b w:val="0"/>
          <w:bCs w:val="0"/>
          <w:color w:val="auto"/>
          <w:kern w:val="0"/>
          <w:sz w:val="32"/>
          <w:szCs w:val="32"/>
          <w:shd w:val="clear" w:fill="FFFFFF"/>
        </w:rPr>
        <w:t>年度未发生公务车购置费。</w:t>
      </w:r>
      <w:r>
        <w:rPr>
          <w:rFonts w:hint="default" w:ascii="Times New Roman" w:hAnsi="Times New Roman" w:eastAsia="方正仿宋_GBK" w:cs="Times New Roman"/>
          <w:b w:val="0"/>
          <w:bCs/>
          <w:kern w:val="0"/>
          <w:sz w:val="32"/>
          <w:szCs w:val="32"/>
          <w:shd w:val="clear" w:fill="FFFFFF"/>
          <w:lang w:eastAsia="zh-CN"/>
        </w:rPr>
        <w:t>费用支出较年初预算数、上年支出数无增减。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kern w:val="0"/>
          <w:sz w:val="32"/>
          <w:szCs w:val="32"/>
          <w:shd w:val="clear" w:fill="FFFFFF"/>
          <w:lang w:eastAsia="zh-CN"/>
        </w:rPr>
      </w:pPr>
      <w:r>
        <w:rPr>
          <w:rFonts w:hint="default" w:ascii="Times New Roman" w:hAnsi="Times New Roman" w:eastAsia="方正仿宋_GBK" w:cs="Times New Roman"/>
          <w:b w:val="0"/>
          <w:bCs w:val="0"/>
          <w:color w:val="auto"/>
          <w:kern w:val="0"/>
          <w:sz w:val="32"/>
          <w:szCs w:val="32"/>
          <w:shd w:val="clear" w:fill="FFFFFF"/>
        </w:rPr>
        <w:t>本单位202</w:t>
      </w:r>
      <w:r>
        <w:rPr>
          <w:rFonts w:hint="default" w:ascii="Times New Roman" w:hAnsi="Times New Roman" w:eastAsia="方正仿宋_GBK" w:cs="Times New Roman"/>
          <w:b w:val="0"/>
          <w:bCs w:val="0"/>
          <w:color w:val="auto"/>
          <w:kern w:val="0"/>
          <w:sz w:val="32"/>
          <w:szCs w:val="32"/>
          <w:shd w:val="clear" w:fill="FFFFFF"/>
          <w:lang w:val="en-US" w:eastAsia="zh-CN"/>
        </w:rPr>
        <w:t>3</w:t>
      </w:r>
      <w:r>
        <w:rPr>
          <w:rFonts w:hint="default" w:ascii="Times New Roman" w:hAnsi="Times New Roman" w:eastAsia="方正仿宋_GBK" w:cs="Times New Roman"/>
          <w:b w:val="0"/>
          <w:bCs w:val="0"/>
          <w:color w:val="auto"/>
          <w:kern w:val="0"/>
          <w:sz w:val="32"/>
          <w:szCs w:val="32"/>
          <w:shd w:val="clear" w:fill="FFFFFF"/>
        </w:rPr>
        <w:t>年度未发生</w:t>
      </w:r>
      <w:r>
        <w:rPr>
          <w:rFonts w:hint="default" w:ascii="Times New Roman" w:hAnsi="Times New Roman" w:eastAsia="方正仿宋_GBK" w:cs="Times New Roman"/>
          <w:b w:val="0"/>
          <w:bCs w:val="0"/>
          <w:color w:val="auto"/>
          <w:sz w:val="32"/>
          <w:szCs w:val="32"/>
          <w:shd w:val="clear" w:color="auto" w:fill="FFFFFF"/>
        </w:rPr>
        <w:t>公务车运行维护费</w:t>
      </w:r>
      <w:r>
        <w:rPr>
          <w:rFonts w:hint="default" w:ascii="Times New Roman" w:hAnsi="Times New Roman" w:eastAsia="方正仿宋_GBK" w:cs="Times New Roman"/>
          <w:b w:val="0"/>
          <w:bCs w:val="0"/>
          <w:color w:val="auto"/>
          <w:kern w:val="0"/>
          <w:sz w:val="32"/>
          <w:szCs w:val="32"/>
          <w:shd w:val="clear" w:fill="FFFFFF"/>
        </w:rPr>
        <w:t>。</w:t>
      </w:r>
      <w:r>
        <w:rPr>
          <w:rFonts w:hint="default" w:ascii="Times New Roman" w:hAnsi="Times New Roman" w:eastAsia="方正仿宋_GBK" w:cs="Times New Roman"/>
          <w:b w:val="0"/>
          <w:bCs/>
          <w:kern w:val="0"/>
          <w:sz w:val="32"/>
          <w:szCs w:val="32"/>
          <w:shd w:val="clear" w:fill="FFFFFF"/>
          <w:lang w:eastAsia="zh-CN"/>
        </w:rPr>
        <w:t>费用支出较年初预算数、上年支出数无增减。</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firstLine="640" w:firstLineChars="200"/>
        <w:jc w:val="both"/>
        <w:textAlignment w:val="auto"/>
        <w:outlineLvl w:val="9"/>
        <w:rPr>
          <w:rFonts w:hint="default" w:ascii="Times New Roman" w:hAnsi="Times New Roman" w:eastAsia="方正仿宋_GBK" w:cs="Times New Roman"/>
          <w:b w:val="0"/>
          <w:bCs w:val="0"/>
          <w:color w:val="auto"/>
          <w:kern w:val="0"/>
          <w:sz w:val="32"/>
          <w:szCs w:val="32"/>
          <w:shd w:val="clear" w:fill="FFFFFF"/>
        </w:rPr>
      </w:pPr>
      <w:r>
        <w:rPr>
          <w:rFonts w:hint="default" w:ascii="Times New Roman" w:hAnsi="Times New Roman" w:eastAsia="方正仿宋_GBK" w:cs="Times New Roman"/>
          <w:b w:val="0"/>
          <w:bCs w:val="0"/>
          <w:color w:val="auto"/>
          <w:kern w:val="0"/>
          <w:sz w:val="32"/>
          <w:szCs w:val="32"/>
          <w:shd w:val="clear" w:fill="FFFFFF"/>
        </w:rPr>
        <w:t>本单位202</w:t>
      </w:r>
      <w:r>
        <w:rPr>
          <w:rFonts w:hint="default" w:ascii="Times New Roman" w:hAnsi="Times New Roman" w:eastAsia="方正仿宋_GBK" w:cs="Times New Roman"/>
          <w:b w:val="0"/>
          <w:bCs w:val="0"/>
          <w:color w:val="auto"/>
          <w:kern w:val="0"/>
          <w:sz w:val="32"/>
          <w:szCs w:val="32"/>
          <w:shd w:val="clear" w:fill="FFFFFF"/>
          <w:lang w:val="en-US" w:eastAsia="zh-CN"/>
        </w:rPr>
        <w:t>3</w:t>
      </w:r>
      <w:r>
        <w:rPr>
          <w:rFonts w:hint="default" w:ascii="Times New Roman" w:hAnsi="Times New Roman" w:eastAsia="方正仿宋_GBK" w:cs="Times New Roman"/>
          <w:b w:val="0"/>
          <w:bCs w:val="0"/>
          <w:color w:val="auto"/>
          <w:kern w:val="0"/>
          <w:sz w:val="32"/>
          <w:szCs w:val="32"/>
          <w:shd w:val="clear" w:fill="FFFFFF"/>
        </w:rPr>
        <w:t>年度未发生</w:t>
      </w:r>
      <w:r>
        <w:rPr>
          <w:rFonts w:hint="default" w:ascii="Times New Roman" w:hAnsi="Times New Roman" w:eastAsia="方正仿宋_GBK" w:cs="Times New Roman"/>
          <w:b w:val="0"/>
          <w:bCs w:val="0"/>
          <w:color w:val="auto"/>
          <w:sz w:val="32"/>
          <w:szCs w:val="32"/>
          <w:shd w:val="clear" w:color="auto" w:fill="FFFFFF"/>
        </w:rPr>
        <w:t>公务接待费</w:t>
      </w:r>
      <w:r>
        <w:rPr>
          <w:rFonts w:hint="default" w:ascii="Times New Roman" w:hAnsi="Times New Roman" w:eastAsia="方正仿宋_GBK" w:cs="Times New Roman"/>
          <w:b w:val="0"/>
          <w:bCs w:val="0"/>
          <w:color w:val="auto"/>
          <w:kern w:val="0"/>
          <w:sz w:val="32"/>
          <w:szCs w:val="32"/>
          <w:shd w:val="clear" w:fill="FFFFFF"/>
        </w:rPr>
        <w:t>。</w:t>
      </w:r>
      <w:r>
        <w:rPr>
          <w:rFonts w:hint="default" w:ascii="Times New Roman" w:hAnsi="Times New Roman" w:eastAsia="方正仿宋_GBK" w:cs="Times New Roman"/>
          <w:b w:val="0"/>
          <w:bCs/>
          <w:kern w:val="0"/>
          <w:sz w:val="32"/>
          <w:szCs w:val="32"/>
          <w:shd w:val="clear" w:fill="FFFFFF"/>
          <w:lang w:eastAsia="zh-CN"/>
        </w:rPr>
        <w:t>费用支出较年初预算数、上年支出数无增减。</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2023年度本单位因公出国（境）共计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个团组，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人；公务用车购置</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辆，公务车保有量为</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辆；国内公务接待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人，其中：国内外事接待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人；国（境）外公务接待</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批次，</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人。2023年本单位人均接待费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元，车均购置费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万元，车均维护费</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color w:val="auto"/>
          <w:sz w:val="32"/>
          <w:szCs w:val="32"/>
          <w:shd w:val="clear" w:color="auto" w:fill="FFFFFF"/>
        </w:rPr>
      </w:pPr>
      <w:r>
        <w:rPr>
          <w:rStyle w:val="8"/>
          <w:rFonts w:hint="default" w:ascii="Times New Roman" w:hAnsi="Times New Roman" w:eastAsia="方正黑体_GBK" w:cs="Times New Roman"/>
          <w:b w:val="0"/>
          <w:bCs/>
          <w:color w:val="auto"/>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（一）财政拨款会议费和培训费情况说明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本年度会议费支出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万元，较上年决算数无增减。本年度培训费支出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万元，较上年决算数无变化。</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（二）机关运行经费情况说明</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按照部门决算填报口径，我单位不在机关运行经费填报范围之内。</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截至2023年12月31日，本单位共有车辆</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辆，其中，副部（省）级及以上领导用车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辆、主要负责人用车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辆、机要通信用车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辆、应急保障用车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辆、执法执勤用车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辆，特种专业技术用车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辆，离退休干部用车</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辆。单价100万元（含）以上专用设备</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台（套）。</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（四）政府采购支出情况说明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2023年度本单位政府采购支出总额</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万元，其中：政府采购货物支出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万元、政府采购工程支出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万元、政府采购服务支出</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万元。授予中小企业合同金额</w:t>
      </w:r>
      <w:r>
        <w:rPr>
          <w:rFonts w:hint="default" w:ascii="Times New Roman" w:hAnsi="Times New Roman" w:eastAsia="方正仿宋_GBK" w:cs="Times New Roman"/>
          <w:color w:val="auto"/>
          <w:sz w:val="32"/>
          <w:szCs w:val="32"/>
        </w:rPr>
        <w:t>0.00万</w:t>
      </w:r>
      <w:r>
        <w:rPr>
          <w:rFonts w:hint="default" w:ascii="Times New Roman" w:hAnsi="Times New Roman" w:eastAsia="方正仿宋_GBK" w:cs="Times New Roman"/>
          <w:color w:val="auto"/>
          <w:sz w:val="32"/>
          <w:szCs w:val="32"/>
          <w:shd w:val="clear" w:color="auto" w:fill="FFFFFF"/>
        </w:rPr>
        <w:t>元，占政府采购支出总额的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%，其中：授予小微企业合同金额</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万元，占政府采购支出总额的</w:t>
      </w:r>
      <w:r>
        <w:rPr>
          <w:rFonts w:hint="default" w:ascii="Times New Roman" w:hAnsi="Times New Roman" w:eastAsia="方正仿宋_GBK" w:cs="Times New Roman"/>
          <w:color w:val="auto"/>
          <w:sz w:val="32"/>
          <w:szCs w:val="32"/>
        </w:rPr>
        <w:t>0</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numPr>
          <w:ilvl w:val="0"/>
          <w:numId w:val="2"/>
        </w:numPr>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color w:val="auto"/>
          <w:sz w:val="32"/>
          <w:szCs w:val="32"/>
          <w:shd w:val="clear" w:color="auto" w:fill="FFFFFF"/>
        </w:rPr>
      </w:pPr>
      <w:r>
        <w:rPr>
          <w:rStyle w:val="8"/>
          <w:rFonts w:hint="default" w:ascii="Times New Roman" w:hAnsi="Times New Roman" w:eastAsia="方正黑体_GBK" w:cs="Times New Roman"/>
          <w:b w:val="0"/>
          <w:bCs/>
          <w:color w:val="auto"/>
          <w:sz w:val="32"/>
          <w:szCs w:val="32"/>
          <w:shd w:val="clear" w:color="auto" w:fill="FFFFFF"/>
        </w:rPr>
        <w:t>预算绩效管理情况说明</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（一）单位自评情况</w:t>
      </w:r>
    </w:p>
    <w:p>
      <w:pPr>
        <w:pStyle w:val="12"/>
        <w:keepNext w:val="0"/>
        <w:keepLines w:val="0"/>
        <w:pageBreakBefore w:val="0"/>
        <w:widowControl/>
        <w:kinsoku/>
        <w:overflowPunct/>
        <w:topLinePunct w:val="0"/>
        <w:autoSpaceDE w:val="0"/>
        <w:autoSpaceDN/>
        <w:bidi w:val="0"/>
        <w:adjustRightInd/>
        <w:spacing w:before="0" w:beforeAutospacing="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rPr>
        <w:t>根据预算绩效管理要求，我单位对</w:t>
      </w:r>
      <w:r>
        <w:rPr>
          <w:rFonts w:hint="default" w:ascii="Times New Roman" w:hAnsi="Times New Roman" w:eastAsia="方正仿宋_GBK" w:cs="Times New Roman"/>
          <w:color w:val="auto"/>
          <w:sz w:val="32"/>
          <w:szCs w:val="32"/>
          <w:shd w:val="clear" w:color="auto" w:fill="FFFFFF"/>
          <w:lang w:val="en-US" w:eastAsia="zh-CN"/>
        </w:rPr>
        <w:t>11</w:t>
      </w:r>
      <w:r>
        <w:rPr>
          <w:rFonts w:hint="default" w:ascii="Times New Roman" w:hAnsi="Times New Roman" w:eastAsia="方正仿宋_GBK" w:cs="Times New Roman"/>
          <w:color w:val="auto"/>
          <w:sz w:val="32"/>
          <w:szCs w:val="32"/>
          <w:shd w:val="clear" w:color="auto" w:fill="FFFFFF"/>
        </w:rPr>
        <w:t>个项目开展了绩效自评，涉及财政拨款项目支出资金</w:t>
      </w:r>
      <w:r>
        <w:rPr>
          <w:rFonts w:hint="default" w:ascii="Times New Roman" w:hAnsi="Times New Roman" w:eastAsia="方正仿宋_GBK" w:cs="Times New Roman"/>
          <w:color w:val="auto"/>
          <w:sz w:val="32"/>
          <w:szCs w:val="32"/>
          <w:shd w:val="clear" w:color="auto" w:fill="FFFFFF"/>
          <w:lang w:val="en-US" w:eastAsia="zh-CN"/>
        </w:rPr>
        <w:t>65.17</w:t>
      </w:r>
      <w:r>
        <w:rPr>
          <w:rFonts w:hint="default" w:ascii="Times New Roman" w:hAnsi="Times New Roman" w:eastAsia="方正仿宋_GBK" w:cs="Times New Roman"/>
          <w:color w:val="auto"/>
          <w:sz w:val="32"/>
          <w:szCs w:val="32"/>
          <w:shd w:val="clear" w:color="auto" w:fill="FFFFFF"/>
        </w:rPr>
        <w:t>万元</w:t>
      </w:r>
      <w:r>
        <w:rPr>
          <w:rFonts w:hint="default" w:ascii="Times New Roman" w:hAnsi="Times New Roman" w:eastAsia="方正仿宋_GBK" w:cs="Times New Roman"/>
          <w:color w:val="auto"/>
          <w:sz w:val="32"/>
          <w:szCs w:val="32"/>
          <w:shd w:val="clear" w:color="auto" w:fill="FFFFFF"/>
          <w:lang w:eastAsia="zh-CN"/>
        </w:rPr>
        <w:t>。</w:t>
      </w:r>
    </w:p>
    <w:p>
      <w:pPr>
        <w:pStyle w:val="12"/>
        <w:keepNext w:val="0"/>
        <w:keepLines w:val="0"/>
        <w:pageBreakBefore w:val="0"/>
        <w:kinsoku/>
        <w:overflowPunct/>
        <w:topLinePunct w:val="0"/>
        <w:autoSpaceDE w:val="0"/>
        <w:autoSpaceDN/>
        <w:bidi w:val="0"/>
        <w:adjustRightInd/>
        <w:spacing w:before="0" w:beforeAutospacing="0" w:afterAutospacing="0" w:line="560" w:lineRule="exact"/>
        <w:jc w:val="center"/>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color w:val="auto"/>
          <w:sz w:val="32"/>
          <w:szCs w:val="32"/>
          <w:shd w:val="clear" w:color="auto" w:fill="FFFFFF"/>
          <w:lang w:val="en-US" w:eastAsia="zh-CN"/>
        </w:rPr>
        <w:t>梅江镇2023年度项目支出绩效自评情况表（二级项目）</w:t>
      </w:r>
    </w:p>
    <w:tbl>
      <w:tblPr>
        <w:tblStyle w:val="9"/>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1"/>
        <w:gridCol w:w="671"/>
        <w:gridCol w:w="1158"/>
        <w:gridCol w:w="785"/>
        <w:gridCol w:w="593"/>
        <w:gridCol w:w="671"/>
        <w:gridCol w:w="671"/>
        <w:gridCol w:w="1020"/>
        <w:gridCol w:w="671"/>
        <w:gridCol w:w="671"/>
        <w:gridCol w:w="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80" w:hRule="atLeast"/>
        </w:trPr>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序号</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项目名称</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指标名称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指标性质</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指标值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计量</w:t>
            </w:r>
            <w:r>
              <w:rPr>
                <w:rFonts w:hint="default" w:ascii="Times New Roman" w:hAnsi="Times New Roman" w:eastAsia="方正仿宋_GBK" w:cs="Times New Roman"/>
                <w:i w:val="0"/>
                <w:color w:val="auto"/>
                <w:kern w:val="0"/>
                <w:sz w:val="18"/>
                <w:szCs w:val="18"/>
                <w:u w:val="none"/>
                <w:lang w:val="en-US" w:eastAsia="zh-CN" w:bidi="ar"/>
              </w:rPr>
              <w:t>单位</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指标权重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全年完成值</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指标得分</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说明</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sz w:val="18"/>
                <w:szCs w:val="18"/>
                <w:u w:val="none"/>
              </w:rPr>
            </w:pPr>
            <w:r>
              <w:rPr>
                <w:rFonts w:hint="default" w:ascii="Times New Roman" w:hAnsi="Times New Roman" w:eastAsia="方正仿宋_GBK" w:cs="Times New Roman"/>
                <w:i w:val="0"/>
                <w:color w:val="auto"/>
                <w:kern w:val="0"/>
                <w:sz w:val="18"/>
                <w:szCs w:val="18"/>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1</w:t>
            </w:r>
          </w:p>
        </w:tc>
        <w:tc>
          <w:tcPr>
            <w:tcW w:w="6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2022年居民医保工作（奖励）经费</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补助村委会数量</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9</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个</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9</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40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落实好居民医保工作</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定性</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好</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30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6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2022年居民医保工作（奖励）经费</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55488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元</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55488</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20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overflowPunct/>
              <w:topLinePunct w:val="0"/>
              <w:autoSpaceDN/>
              <w:bidi w:val="0"/>
              <w:adjustRightInd/>
              <w:spacing w:line="560" w:lineRule="exact"/>
              <w:ind w:firstLine="360" w:firstLineChars="200"/>
              <w:jc w:val="center"/>
              <w:textAlignment w:val="center"/>
              <w:rPr>
                <w:rFonts w:hint="default" w:ascii="Times New Roman" w:hAnsi="Times New Roman" w:eastAsia="方正仿宋_GBK" w:cs="Times New Roman"/>
                <w:i w:val="0"/>
                <w:color w:val="auto"/>
                <w:kern w:val="0"/>
                <w:sz w:val="18"/>
                <w:szCs w:val="18"/>
                <w:u w:val="none"/>
                <w:lang w:val="en-US" w:eastAsia="zh-CN" w:bidi="ar"/>
              </w:rPr>
            </w:pPr>
          </w:p>
        </w:tc>
      </w:tr>
    </w:tbl>
    <w:p>
      <w:pPr>
        <w:pStyle w:val="12"/>
        <w:keepNext w:val="0"/>
        <w:keepLines w:val="0"/>
        <w:pageBreakBefore w:val="0"/>
        <w:widowControl/>
        <w:kinsoku/>
        <w:overflowPunct/>
        <w:topLinePunct w:val="0"/>
        <w:autoSpaceDE w:val="0"/>
        <w:autoSpaceDN/>
        <w:bidi w:val="0"/>
        <w:adjustRightInd/>
        <w:spacing w:before="0" w:beforeAutospacing="0" w:afterAutospacing="0" w:line="560" w:lineRule="exact"/>
        <w:ind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（二）单位绩效评价情况</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shd w:val="clear" w:color="auto" w:fill="FFFFFF"/>
        </w:rPr>
        <w:t>我单位对义务兵（含消防士）家庭优待金开展了绩效评价，涉及财政拨款项目资金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28.68</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100</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val="en-US" w:eastAsia="zh-CN"/>
        </w:rPr>
        <w:t>优</w:t>
      </w:r>
      <w:r>
        <w:rPr>
          <w:rFonts w:hint="default" w:ascii="Times New Roman" w:hAnsi="Times New Roman" w:eastAsia="方正仿宋_GBK" w:cs="Times New Roman"/>
          <w:color w:val="auto"/>
          <w:sz w:val="32"/>
          <w:szCs w:val="32"/>
          <w:shd w:val="clear" w:color="auto" w:fill="FFFFFF"/>
        </w:rPr>
        <w:t>，绩效评价发现了</w:t>
      </w:r>
      <w:r>
        <w:rPr>
          <w:rFonts w:hint="default" w:ascii="Times New Roman" w:hAnsi="Times New Roman" w:eastAsia="方正仿宋_GBK" w:cs="Times New Roman"/>
          <w:color w:val="auto"/>
          <w:sz w:val="32"/>
          <w:szCs w:val="32"/>
          <w:shd w:val="clear" w:color="auto" w:fill="FFFFFF"/>
          <w:lang w:val="en-US" w:eastAsia="zh-CN"/>
        </w:rPr>
        <w:t>资金已支付未审核</w:t>
      </w:r>
      <w:r>
        <w:rPr>
          <w:rFonts w:hint="default" w:ascii="Times New Roman" w:hAnsi="Times New Roman" w:eastAsia="方正仿宋_GBK" w:cs="Times New Roman"/>
          <w:color w:val="auto"/>
          <w:sz w:val="32"/>
          <w:szCs w:val="32"/>
          <w:shd w:val="clear" w:color="auto" w:fill="FFFFFF"/>
        </w:rPr>
        <w:t>等主要问题，</w:t>
      </w:r>
      <w:r>
        <w:rPr>
          <w:rFonts w:hint="default" w:ascii="Times New Roman" w:hAnsi="Times New Roman" w:eastAsia="方正仿宋_GBK" w:cs="Times New Roman"/>
          <w:color w:val="auto"/>
          <w:sz w:val="32"/>
          <w:szCs w:val="32"/>
          <w:shd w:val="clear" w:color="auto" w:fill="FFFFFF"/>
          <w:lang w:val="en-US" w:eastAsia="zh-CN"/>
        </w:rPr>
        <w:t>下一步工作建议：</w:t>
      </w:r>
      <w:r>
        <w:rPr>
          <w:rFonts w:hint="default" w:ascii="Times New Roman" w:hAnsi="Times New Roman" w:eastAsia="方正仿宋_GBK" w:cs="Times New Roman"/>
          <w:color w:val="auto"/>
          <w:sz w:val="32"/>
          <w:szCs w:val="32"/>
          <w:lang w:val="en-US" w:eastAsia="zh-CN"/>
        </w:rPr>
        <w:t>紧盯项目年初绩效目标，打标推进项目实施，确保项目按照预期圆满竣工，达到可支付条件，完成年初设定绩效目标；督促项目实施单位，对已达支付条件项目，抓紧时间完善报账资料，及时报账，提高资金支付率；加强与部门之间的沟通，加快支付进度；提升绩效目标设置的质量，进一步科学、合理的设置目标绩效。</w:t>
      </w:r>
      <w:r>
        <w:rPr>
          <w:rFonts w:hint="default" w:ascii="Times New Roman" w:hAnsi="Times New Roman" w:eastAsia="方正仿宋_GBK" w:cs="Times New Roman"/>
          <w:color w:val="auto"/>
          <w:sz w:val="32"/>
          <w:szCs w:val="32"/>
          <w:shd w:val="clear" w:color="auto" w:fill="FFFFFF"/>
        </w:rPr>
        <w:t>对残疾人数据动态更新工作经费开展了绩效评价，涉及财政拨款项目资金</w:t>
      </w:r>
      <w:r>
        <w:rPr>
          <w:rFonts w:hint="default" w:ascii="Times New Roman" w:hAnsi="Times New Roman" w:eastAsia="方正仿宋_GBK" w:cs="Times New Roman"/>
          <w:color w:val="auto"/>
          <w:sz w:val="32"/>
          <w:szCs w:val="32"/>
          <w:shd w:val="clear" w:color="auto" w:fill="FFFFFF"/>
          <w:lang w:val="en-US" w:eastAsia="zh-CN"/>
        </w:rPr>
        <w:t>1.14</w:t>
      </w:r>
      <w:r>
        <w:rPr>
          <w:rFonts w:hint="default" w:ascii="Times New Roman" w:hAnsi="Times New Roman" w:eastAsia="方正仿宋_GBK" w:cs="Times New Roman"/>
          <w:color w:val="auto"/>
          <w:sz w:val="32"/>
          <w:szCs w:val="32"/>
          <w:shd w:val="clear" w:color="auto" w:fill="FFFFFF"/>
        </w:rPr>
        <w:t>万元，评价得分</w:t>
      </w:r>
      <w:r>
        <w:rPr>
          <w:rFonts w:hint="default" w:ascii="Times New Roman" w:hAnsi="Times New Roman" w:eastAsia="方正仿宋_GBK" w:cs="Times New Roman"/>
          <w:color w:val="auto"/>
          <w:sz w:val="32"/>
          <w:szCs w:val="32"/>
          <w:shd w:val="clear" w:color="auto" w:fill="FFFFFF"/>
          <w:lang w:val="en-US" w:eastAsia="zh-CN"/>
        </w:rPr>
        <w:t>100</w:t>
      </w:r>
      <w:r>
        <w:rPr>
          <w:rFonts w:hint="default" w:ascii="Times New Roman" w:hAnsi="Times New Roman" w:eastAsia="方正仿宋_GBK" w:cs="Times New Roman"/>
          <w:color w:val="auto"/>
          <w:sz w:val="32"/>
          <w:szCs w:val="32"/>
          <w:shd w:val="clear" w:color="auto" w:fill="FFFFFF"/>
        </w:rPr>
        <w:t>分，评价等次为</w:t>
      </w:r>
      <w:r>
        <w:rPr>
          <w:rFonts w:hint="default" w:ascii="Times New Roman" w:hAnsi="Times New Roman" w:eastAsia="方正仿宋_GBK" w:cs="Times New Roman"/>
          <w:color w:val="auto"/>
          <w:sz w:val="32"/>
          <w:szCs w:val="32"/>
          <w:shd w:val="clear" w:color="auto" w:fill="FFFFFF"/>
          <w:lang w:val="en-US" w:eastAsia="zh-CN"/>
        </w:rPr>
        <w:t>优</w:t>
      </w:r>
      <w:r>
        <w:rPr>
          <w:rFonts w:hint="default" w:ascii="Times New Roman" w:hAnsi="Times New Roman" w:eastAsia="方正仿宋_GBK" w:cs="Times New Roman"/>
          <w:color w:val="auto"/>
          <w:sz w:val="32"/>
          <w:szCs w:val="32"/>
          <w:shd w:val="clear" w:color="auto" w:fill="FFFFFF"/>
        </w:rPr>
        <w:t>，绩效评价发现了</w:t>
      </w:r>
      <w:r>
        <w:rPr>
          <w:rFonts w:hint="default" w:ascii="Times New Roman" w:hAnsi="Times New Roman" w:eastAsia="方正仿宋_GBK" w:cs="Times New Roman"/>
          <w:color w:val="auto"/>
          <w:sz w:val="32"/>
          <w:szCs w:val="32"/>
          <w:shd w:val="clear" w:color="auto" w:fill="FFFFFF"/>
          <w:lang w:val="en-US" w:eastAsia="zh-CN"/>
        </w:rPr>
        <w:t>资金已支付未审核</w:t>
      </w:r>
      <w:r>
        <w:rPr>
          <w:rFonts w:hint="default" w:ascii="Times New Roman" w:hAnsi="Times New Roman" w:eastAsia="方正仿宋_GBK" w:cs="Times New Roman"/>
          <w:color w:val="auto"/>
          <w:sz w:val="32"/>
          <w:szCs w:val="32"/>
          <w:shd w:val="clear" w:color="auto" w:fill="FFFFFF"/>
        </w:rPr>
        <w:t>等主要问题，</w:t>
      </w:r>
      <w:r>
        <w:rPr>
          <w:rFonts w:hint="default" w:ascii="Times New Roman" w:hAnsi="Times New Roman" w:eastAsia="方正仿宋_GBK" w:cs="Times New Roman"/>
          <w:color w:val="auto"/>
          <w:sz w:val="32"/>
          <w:szCs w:val="32"/>
          <w:shd w:val="clear" w:color="auto" w:fill="FFFFFF"/>
          <w:lang w:val="en-US" w:eastAsia="zh-CN"/>
        </w:rPr>
        <w:t>下一步工作建议：</w:t>
      </w:r>
      <w:r>
        <w:rPr>
          <w:rFonts w:hint="default" w:ascii="Times New Roman" w:hAnsi="Times New Roman" w:eastAsia="方正仿宋_GBK" w:cs="Times New Roman"/>
          <w:color w:val="auto"/>
          <w:sz w:val="32"/>
          <w:szCs w:val="32"/>
          <w:lang w:val="en-US" w:eastAsia="zh-CN"/>
        </w:rPr>
        <w:t>紧盯项目年初绩效目标，打标推进项目实施，确保项目按照预期圆满竣工，达到可支付条件，完成年初设定绩效目标；督促项目实施单位，对已达支付条件项目，抓紧时间完善报账资料，及时报账，提高资金支付率；加强与部门之间的沟通，加快支付进度；提升绩效目标设置的质量，进一步科学、合理的设置目标绩效。</w:t>
      </w:r>
    </w:p>
    <w:p>
      <w:pPr>
        <w:pStyle w:val="11"/>
        <w:keepNext w:val="0"/>
        <w:keepLines w:val="0"/>
        <w:pageBreakBefore w:val="0"/>
        <w:widowControl/>
        <w:kinsoku/>
        <w:overflowPunct/>
        <w:topLinePunct w:val="0"/>
        <w:autoSpaceDE w:val="0"/>
        <w:autoSpaceDN/>
        <w:bidi w:val="0"/>
        <w:adjustRightInd/>
        <w:spacing w:beforeAutospacing="0" w:afterAutospacing="0" w:line="560" w:lineRule="exact"/>
        <w:ind w:left="0" w:leftChars="0" w:firstLine="640" w:firstLineChars="200"/>
        <w:jc w:val="both"/>
        <w:rPr>
          <w:rFonts w:hint="default" w:ascii="Times New Roman" w:hAnsi="Times New Roman" w:eastAsia="方正楷体_GBK" w:cs="Times New Roman"/>
          <w:b w:val="0"/>
          <w:bCs w:val="0"/>
          <w:color w:val="auto"/>
          <w:sz w:val="32"/>
          <w:szCs w:val="32"/>
          <w:shd w:val="clear" w:color="auto" w:fill="FFFFFF"/>
        </w:rPr>
      </w:pPr>
      <w:r>
        <w:rPr>
          <w:rFonts w:hint="default" w:ascii="Times New Roman" w:hAnsi="Times New Roman" w:eastAsia="方正楷体_GBK" w:cs="Times New Roman"/>
          <w:b w:val="0"/>
          <w:bCs w:val="0"/>
          <w:color w:val="auto"/>
          <w:sz w:val="32"/>
          <w:szCs w:val="32"/>
          <w:shd w:val="clear" w:color="auto" w:fill="FFFFFF"/>
        </w:rPr>
        <w:t>（三）财政绩效评价情况</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jc w:val="both"/>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县</w:t>
      </w:r>
      <w:r>
        <w:rPr>
          <w:rFonts w:hint="default" w:ascii="Times New Roman" w:hAnsi="Times New Roman" w:eastAsia="方正仿宋_GBK" w:cs="Times New Roman"/>
          <w:color w:val="auto"/>
          <w:sz w:val="32"/>
          <w:szCs w:val="32"/>
          <w:lang w:val="en-US" w:eastAsia="zh-CN"/>
        </w:rPr>
        <w:t>财政局未委托第三方对我单位开展绩效评价。</w:t>
      </w:r>
    </w:p>
    <w:p>
      <w:pPr>
        <w:pStyle w:val="6"/>
        <w:keepNext w:val="0"/>
        <w:keepLines w:val="0"/>
        <w:pageBreakBefore w:val="0"/>
        <w:widowControl/>
        <w:numPr>
          <w:ilvl w:val="0"/>
          <w:numId w:val="2"/>
        </w:numPr>
        <w:shd w:val="clear" w:color="auto" w:fill="FFFFFF"/>
        <w:kinsoku/>
        <w:overflowPunct/>
        <w:topLinePunct w:val="0"/>
        <w:autoSpaceDN/>
        <w:bidi w:val="0"/>
        <w:adjustRightInd/>
        <w:spacing w:beforeAutospacing="0" w:afterAutospacing="0" w:line="560" w:lineRule="exact"/>
        <w:ind w:left="0" w:leftChars="0" w:firstLine="640" w:firstLineChars="200"/>
        <w:jc w:val="both"/>
        <w:rPr>
          <w:rStyle w:val="8"/>
          <w:rFonts w:hint="default" w:ascii="Times New Roman" w:hAnsi="Times New Roman" w:eastAsia="方正黑体_GBK" w:cs="Times New Roman"/>
          <w:b w:val="0"/>
          <w:bCs/>
          <w:color w:val="auto"/>
          <w:sz w:val="32"/>
          <w:szCs w:val="32"/>
          <w:shd w:val="clear" w:color="auto" w:fill="FFFFFF"/>
        </w:rPr>
      </w:pPr>
      <w:r>
        <w:rPr>
          <w:rStyle w:val="8"/>
          <w:rFonts w:hint="default" w:ascii="Times New Roman" w:hAnsi="Times New Roman" w:eastAsia="方正黑体_GBK" w:cs="Times New Roman"/>
          <w:b w:val="0"/>
          <w:bCs/>
          <w:color w:val="auto"/>
          <w:sz w:val="32"/>
          <w:szCs w:val="32"/>
          <w:shd w:val="clear" w:color="auto" w:fill="FFFFFF"/>
        </w:rPr>
        <w:t>专业名词解释</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color w:val="auto"/>
          <w:sz w:val="32"/>
          <w:szCs w:val="32"/>
          <w:shd w:val="clear" w:color="auto" w:fill="FFFFFF"/>
        </w:rPr>
        <w:t> </w:t>
      </w:r>
      <w:r>
        <w:rPr>
          <w:rFonts w:hint="default" w:ascii="Times New Roman" w:hAnsi="Times New Roman" w:eastAsia="方正楷体_GBK" w:cs="Times New Roman"/>
          <w:b w:val="0"/>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（二）事业收入</w:t>
      </w:r>
      <w:r>
        <w:rPr>
          <w:rFonts w:hint="default" w:ascii="Times New Roman" w:hAnsi="Times New Roman" w:eastAsia="方正楷体_GBK" w:cs="Times New Roman"/>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楷体_GBK" w:cs="Times New Roman"/>
          <w:b w:val="0"/>
          <w:bCs/>
          <w:sz w:val="32"/>
          <w:szCs w:val="32"/>
          <w:shd w:val="clear" w:color="auto" w:fill="FFFFFF"/>
        </w:rPr>
        <w:t>（十五）商品和服务支出（支出经济分类科目类级）：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sz w:val="32"/>
          <w:szCs w:val="32"/>
        </w:rPr>
      </w:pPr>
      <w:r>
        <w:rPr>
          <w:rStyle w:val="8"/>
          <w:rFonts w:hint="default" w:ascii="Times New Roman" w:hAnsi="Times New Roman" w:eastAsia="方正楷体_GBK" w:cs="Times New Roman"/>
          <w:b w:val="0"/>
          <w:bCs/>
          <w:sz w:val="32"/>
          <w:szCs w:val="32"/>
          <w:shd w:val="clear" w:color="auto" w:fill="FFFFFF"/>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rPr>
      </w:pPr>
      <w:r>
        <w:rPr>
          <w:rStyle w:val="8"/>
          <w:rFonts w:hint="default" w:ascii="Times New Roman" w:hAnsi="Times New Roman" w:eastAsia="方正楷体_GBK" w:cs="Times New Roman"/>
          <w:b w:val="0"/>
          <w:bCs/>
          <w:sz w:val="32"/>
          <w:szCs w:val="32"/>
          <w:shd w:val="clear" w:color="auto" w:fill="FFFFFF"/>
        </w:rPr>
        <w:t>（十七）其他资本性支出（支出经济分类科目类级）：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Autospacing="0" w:afterAutospacing="0" w:line="560" w:lineRule="exact"/>
        <w:ind w:firstLine="640" w:firstLineChars="200"/>
        <w:jc w:val="both"/>
        <w:rPr>
          <w:rStyle w:val="8"/>
          <w:rFonts w:hint="default" w:ascii="Times New Roman" w:hAnsi="Times New Roman" w:eastAsia="方正黑体_GBK" w:cs="Times New Roman"/>
          <w:b w:val="0"/>
          <w:bCs/>
          <w:color w:val="auto"/>
          <w:sz w:val="32"/>
          <w:szCs w:val="32"/>
          <w:shd w:val="clear" w:color="auto" w:fill="FFFFFF"/>
        </w:rPr>
      </w:pPr>
      <w:r>
        <w:rPr>
          <w:rStyle w:val="8"/>
          <w:rFonts w:hint="default" w:ascii="Times New Roman" w:hAnsi="Times New Roman" w:eastAsia="方正黑体_GBK" w:cs="Times New Roman"/>
          <w:b w:val="0"/>
          <w:bCs/>
          <w:color w:val="auto"/>
          <w:sz w:val="32"/>
          <w:szCs w:val="32"/>
          <w:shd w:val="clear" w:color="auto" w:fill="FFFFFF"/>
        </w:rPr>
        <w:t> 七、决算公开联系方式及信息反馈渠道</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本单位决算公开信息反馈和联系方式：</w:t>
      </w:r>
      <w:r>
        <w:rPr>
          <w:rFonts w:hint="default" w:ascii="Times New Roman" w:hAnsi="Times New Roman" w:eastAsia="方正仿宋_GBK" w:cs="Times New Roman"/>
          <w:color w:val="auto"/>
          <w:sz w:val="32"/>
          <w:szCs w:val="32"/>
          <w:shd w:val="clear" w:color="auto" w:fill="FFFFFF"/>
          <w:lang w:val="en-US" w:eastAsia="zh-CN"/>
        </w:rPr>
        <w:t>蒋雯亦</w:t>
      </w:r>
      <w:r>
        <w:rPr>
          <w:rFonts w:hint="default" w:ascii="Times New Roman" w:hAnsi="Times New Roman" w:eastAsia="方正仿宋_GBK" w:cs="Times New Roman"/>
          <w:color w:val="auto"/>
          <w:sz w:val="32"/>
          <w:szCs w:val="32"/>
          <w:shd w:val="clear" w:color="auto" w:fill="FFFFFF"/>
        </w:rPr>
        <w:t>023-</w:t>
      </w:r>
      <w:r>
        <w:rPr>
          <w:rFonts w:hint="default" w:ascii="Times New Roman" w:hAnsi="Times New Roman" w:eastAsia="方正仿宋_GBK" w:cs="Times New Roman"/>
          <w:color w:val="auto"/>
          <w:sz w:val="32"/>
          <w:szCs w:val="32"/>
          <w:shd w:val="clear" w:color="auto" w:fill="FFFFFF"/>
          <w:lang w:val="en-US" w:eastAsia="zh-CN"/>
        </w:rPr>
        <w:t>76626008</w:t>
      </w:r>
      <w:r>
        <w:rPr>
          <w:rFonts w:hint="default" w:ascii="Times New Roman" w:hAnsi="Times New Roman" w:eastAsia="方正仿宋_GBK" w:cs="Times New Roman"/>
          <w:color w:val="auto"/>
          <w:sz w:val="32"/>
          <w:szCs w:val="32"/>
          <w:shd w:val="clear" w:color="auto" w:fill="FFFFFF"/>
        </w:rPr>
        <w:t>。</w:t>
      </w:r>
    </w:p>
    <w:p>
      <w:pPr>
        <w:pStyle w:val="6"/>
        <w:keepNext w:val="0"/>
        <w:keepLines w:val="0"/>
        <w:pageBreakBefore w:val="0"/>
        <w:widowControl/>
        <w:kinsoku/>
        <w:overflowPunct/>
        <w:topLinePunct w:val="0"/>
        <w:autoSpaceDN/>
        <w:bidi w:val="0"/>
        <w:adjustRightInd/>
        <w:snapToGrid w:val="0"/>
        <w:spacing w:before="0" w:beforeAutospacing="0" w:after="0" w:afterAutospacing="0" w:line="560" w:lineRule="exact"/>
        <w:ind w:firstLine="643" w:firstLineChars="200"/>
        <w:jc w:val="both"/>
        <w:rPr>
          <w:rStyle w:val="8"/>
          <w:rFonts w:hint="default" w:ascii="Times New Roman" w:hAnsi="Times New Roman" w:eastAsia="方正仿宋_GBK" w:cs="Times New Roman"/>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重庆市秀山土家族苗族自治县梅江镇劳动就业和社会保障服务所</w:t>
            </w: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Times New Roman" w:hAnsi="Times New Roman" w:cs="Times New Roman"/>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134.13</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114.80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15.17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134.13</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134.13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134.13</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134.13</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重庆市秀山土家族苗族自治县梅江镇劳动就业和社会保障服务所</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134.13</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134.13</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114.80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53.19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53.19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8.69</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28.68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28.68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11.96</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11.96</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12.28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重庆市秀山土家族苗族自治县梅江镇劳动就业和社会保障服务所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134.13</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68.96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65.17</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114.80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61.88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52.92</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53.19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53.19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53.19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8.69</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6.63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28.68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28.68</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28.68</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11.96</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11.96</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11.96</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11.96</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12.28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12.28</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12.28</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15.17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12.25</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12.07</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6.52</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重庆市秀山土家族苗族自治县梅江镇劳动就业和社会保障服务所</w:t>
            </w: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134.13</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114.80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114.80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15.17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4.15</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134.13</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134.13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134.13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134.13</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134.13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134.13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重庆市秀山土家族苗族自治县梅江镇劳动就业和社会保障服务所</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134.13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68.96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65.17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114.80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61.88</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52.92</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53.19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53.19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社会保险经办机构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53.19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53.19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8.69</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8.69</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6.63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2.06</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28.68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28.68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义务兵优待</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28.68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28.68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11.96</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其他残疾人事业支出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11.96</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11.96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12.28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12.28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12.28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12.28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15.17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12.25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0.18</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其他公共卫生支出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0.18</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2.92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2.92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医疗保障管理事务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12.07</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医疗保障政策管理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6.52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医疗保障经办事务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5.55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4.15</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4.15</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tcMar>
              <w:top w:w="15" w:type="dxa"/>
              <w:left w:w="15" w:type="dxa"/>
              <w:right w:w="15" w:type="dxa"/>
            </w:tcMar>
            <w:vAlign w:val="bottom"/>
          </w:tcPr>
          <w:p>
            <w:pPr>
              <w:spacing w:line="24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重庆市秀山土家族苗族自治县梅江镇劳动就业和社会保障服务所</w:t>
            </w: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62.91</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14.69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27.16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6.63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2.92</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1.63</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0.96</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0.47</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63.38</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5.57</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重庆市秀山土家族苗族自治县梅江镇劳动就业和社会保障服务所</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重庆市秀山土家族苗族自治县梅江镇劳动就业和社会保障服务所</w:t>
            </w: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9"/>
        <w:tblW w:w="14760" w:type="dxa"/>
        <w:tblInd w:w="0" w:type="dxa"/>
        <w:tblLayout w:type="fixed"/>
        <w:tblCellMar>
          <w:top w:w="0" w:type="dxa"/>
          <w:left w:w="0" w:type="dxa"/>
          <w:bottom w:w="0" w:type="dxa"/>
          <w:right w:w="0" w:type="dxa"/>
        </w:tblCellMar>
      </w:tblPr>
      <w:tblGrid>
        <w:gridCol w:w="4000"/>
        <w:gridCol w:w="2146"/>
        <w:gridCol w:w="2096"/>
        <w:gridCol w:w="4473"/>
        <w:gridCol w:w="2045"/>
      </w:tblGrid>
      <w:tr>
        <w:tblPrEx>
          <w:tblLayout w:type="fixed"/>
          <w:tblCellMar>
            <w:top w:w="0" w:type="dxa"/>
            <w:left w:w="0" w:type="dxa"/>
            <w:bottom w:w="0" w:type="dxa"/>
            <w:right w:w="0" w:type="dxa"/>
          </w:tblCellMar>
        </w:tblPrEx>
        <w:trPr>
          <w:trHeight w:val="240" w:hRule="atLeast"/>
        </w:trPr>
        <w:tc>
          <w:tcPr>
            <w:tcW w:w="1476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bookmarkStart w:id="0" w:name="_GoBack"/>
            <w:r>
              <w:rPr>
                <w:rFonts w:hint="default" w:ascii="Times New Roman" w:hAnsi="Times New Roman" w:cs="Times New Roman"/>
                <w:b/>
                <w:color w:val="000000"/>
                <w:sz w:val="32"/>
                <w:szCs w:val="32"/>
              </w:rPr>
              <w:t>机构运行信息表</w:t>
            </w:r>
          </w:p>
        </w:tc>
      </w:tr>
      <w:tr>
        <w:tblPrEx>
          <w:tblLayout w:type="fixed"/>
          <w:tblCellMar>
            <w:top w:w="0" w:type="dxa"/>
            <w:left w:w="0" w:type="dxa"/>
            <w:bottom w:w="0" w:type="dxa"/>
            <w:right w:w="0" w:type="dxa"/>
          </w:tblCellMar>
        </w:tblPrEx>
        <w:trPr>
          <w:trHeight w:val="171" w:hRule="atLeast"/>
        </w:trPr>
        <w:tc>
          <w:tcPr>
            <w:tcW w:w="4000"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4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09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473"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04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0" w:type="dxa"/>
            <w:bottom w:w="0" w:type="dxa"/>
            <w:right w:w="0" w:type="dxa"/>
          </w:tblCellMar>
        </w:tblPrEx>
        <w:trPr>
          <w:trHeight w:val="332" w:hRule="atLeast"/>
        </w:trPr>
        <w:tc>
          <w:tcPr>
            <w:tcW w:w="4000"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textAlignment w:val="bottom"/>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重庆市秀山土家族苗族自治县梅江镇劳动就业和社会保障服务所</w:t>
            </w:r>
          </w:p>
        </w:tc>
        <w:tc>
          <w:tcPr>
            <w:tcW w:w="214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096"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47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04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153"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14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预算数</w:t>
            </w:r>
          </w:p>
        </w:tc>
        <w:tc>
          <w:tcPr>
            <w:tcW w:w="209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  目</w:t>
            </w:r>
          </w:p>
        </w:tc>
        <w:tc>
          <w:tcPr>
            <w:tcW w:w="204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153"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四、机关运行经费</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（一）行政单位</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（二）参照公务员法管理事业单位</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五、资产信息</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（一）车辆数合计（辆）</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1．副部（省）级及以上领导用车</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2．主要领导干部用车</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3．机要通信用车</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4．应急保障用车</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5．执法执勤用车</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44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6．特种专业技术用车</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7．离退休干部用车</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8．其他用车</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（二）单价100万元（含）以上设备（不含车辆）</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六、政府采购支出信息</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（一）政府采购支出合计</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1．政府采购货物支出</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2．政府采购工程支出</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3．政府采购服务支出</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（二）政府采购授予中小企业合同金额</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14" w:hRule="atLeast"/>
        </w:trPr>
        <w:tc>
          <w:tcPr>
            <w:tcW w:w="4000"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        其中：授予小微企业合同金额</w:t>
            </w: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170"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tr>
        <w:tblPrEx>
          <w:tblLayout w:type="fixed"/>
          <w:tblCellMar>
            <w:top w:w="0" w:type="dxa"/>
            <w:left w:w="0" w:type="dxa"/>
            <w:bottom w:w="0" w:type="dxa"/>
            <w:right w:w="0" w:type="dxa"/>
          </w:tblCellMar>
        </w:tblPrEx>
        <w:trPr>
          <w:trHeight w:val="161" w:hRule="atLeast"/>
        </w:trPr>
        <w:tc>
          <w:tcPr>
            <w:tcW w:w="4000"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t>
            </w:r>
          </w:p>
        </w:tc>
        <w:tc>
          <w:tcPr>
            <w:tcW w:w="2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73"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r>
      <w:bookmarkEnd w:id="0"/>
    </w:tbl>
    <w:p>
      <w:pPr>
        <w:keepNext w:val="0"/>
        <w:keepLines w:val="0"/>
        <w:pageBreakBefore w:val="0"/>
        <w:widowControl/>
        <w:kinsoku/>
        <w:overflowPunct/>
        <w:topLinePunct w:val="0"/>
        <w:autoSpaceDN/>
        <w:bidi w:val="0"/>
        <w:adjustRightInd/>
        <w:spacing w:beforeAutospacing="0" w:afterAutospacing="0" w:line="560" w:lineRule="exact"/>
        <w:ind w:firstLine="400" w:firstLineChars="200"/>
        <w:jc w:val="both"/>
        <w:rPr>
          <w:rFonts w:hint="default" w:ascii="Times New Roman" w:hAnsi="Times New Roman" w:cs="Times New Roman"/>
          <w:color w:val="auto"/>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595FF818"/>
    <w:multiLevelType w:val="singleLevel"/>
    <w:tmpl w:val="595FF81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705A2E"/>
    <w:rsid w:val="01F3521E"/>
    <w:rsid w:val="03360433"/>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380895"/>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AA0742"/>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3D3DE5"/>
    <w:rsid w:val="4B7951CB"/>
    <w:rsid w:val="4B7C315C"/>
    <w:rsid w:val="4DAC4ACA"/>
    <w:rsid w:val="4DBE01D2"/>
    <w:rsid w:val="4F0C6BA3"/>
    <w:rsid w:val="4F186D58"/>
    <w:rsid w:val="50F06B6E"/>
    <w:rsid w:val="51D21804"/>
    <w:rsid w:val="52234D33"/>
    <w:rsid w:val="522F6E0C"/>
    <w:rsid w:val="52463BA1"/>
    <w:rsid w:val="52BE7E18"/>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E77DD5"/>
    <w:rsid w:val="6A6C7940"/>
    <w:rsid w:val="6AAD2300"/>
    <w:rsid w:val="6B474EF5"/>
    <w:rsid w:val="6C0A5AC5"/>
    <w:rsid w:val="6C560CAE"/>
    <w:rsid w:val="6C576495"/>
    <w:rsid w:val="6D903FF5"/>
    <w:rsid w:val="6DA955B8"/>
    <w:rsid w:val="6DE346AB"/>
    <w:rsid w:val="6DE5391A"/>
    <w:rsid w:val="6EFD1324"/>
    <w:rsid w:val="6F295062"/>
    <w:rsid w:val="6F2A1E5F"/>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322CD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1</TotalTime>
  <ScaleCrop>false</ScaleCrop>
  <LinksUpToDate>false</LinksUpToDate>
  <CharactersWithSpaces>26776</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2024-09-27T03:03:11Z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