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overflowPunct/>
        <w:topLinePunct w:val="0"/>
        <w:autoSpaceDN/>
        <w:bidi w:val="0"/>
        <w:adjustRightInd/>
        <w:spacing w:before="0" w:beforeAutospacing="0" w:after="0" w:afterAutospacing="0" w:line="600" w:lineRule="exact"/>
        <w:ind w:right="0" w:rightChars="0"/>
        <w:jc w:val="center"/>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重庆市秀山土家族苗族自治县石耶镇综合行政执法</w:t>
      </w:r>
    </w:p>
    <w:p>
      <w:pPr>
        <w:pStyle w:val="8"/>
        <w:keepNext w:val="0"/>
        <w:keepLines w:val="0"/>
        <w:pageBreakBefore w:val="0"/>
        <w:kinsoku/>
        <w:overflowPunct/>
        <w:topLinePunct w:val="0"/>
        <w:autoSpaceDN/>
        <w:bidi w:val="0"/>
        <w:adjustRightInd/>
        <w:spacing w:before="0" w:beforeAutospacing="0" w:after="0" w:afterAutospacing="0" w:line="600" w:lineRule="exact"/>
        <w:ind w:right="0" w:rightChars="0"/>
        <w:jc w:val="center"/>
        <w:rPr>
          <w:rFonts w:hint="eastAsia" w:ascii="方正小标宋_GBK" w:hAnsi="方正小标宋_GBK" w:eastAsia="方正小标宋_GBK" w:cs="方正小标宋_GBK"/>
          <w:color w:val="auto"/>
          <w:sz w:val="36"/>
          <w:szCs w:val="36"/>
          <w:shd w:val="clear" w:color="auto" w:fill="FFFFFF"/>
        </w:rPr>
      </w:pPr>
      <w:r>
        <w:rPr>
          <w:rFonts w:hint="eastAsia" w:ascii="方正小标宋_GBK" w:hAnsi="方正小标宋_GBK" w:eastAsia="方正小标宋_GBK" w:cs="方正小标宋_GBK"/>
          <w:color w:val="auto"/>
          <w:sz w:val="36"/>
          <w:szCs w:val="36"/>
        </w:rPr>
        <w:t>大队</w:t>
      </w:r>
      <w:r>
        <w:rPr>
          <w:rFonts w:hint="eastAsia" w:ascii="方正小标宋_GBK" w:hAnsi="方正小标宋_GBK" w:eastAsia="方正小标宋_GBK" w:cs="方正小标宋_GBK"/>
          <w:color w:val="auto"/>
          <w:sz w:val="36"/>
          <w:szCs w:val="36"/>
          <w:shd w:val="clear" w:color="auto" w:fill="FFFFFF"/>
        </w:rPr>
        <w:t>2023年度决算公开说明</w:t>
      </w:r>
    </w:p>
    <w:p>
      <w:pPr>
        <w:pStyle w:val="8"/>
        <w:keepNext w:val="0"/>
        <w:keepLines w:val="0"/>
        <w:pageBreakBefore w:val="0"/>
        <w:kinsoku/>
        <w:overflowPunct/>
        <w:topLinePunct w:val="0"/>
        <w:autoSpaceDN/>
        <w:bidi w:val="0"/>
        <w:adjustRightInd/>
        <w:spacing w:before="0" w:beforeAutospacing="0" w:after="0" w:afterAutospacing="0" w:line="600" w:lineRule="exact"/>
        <w:ind w:right="0" w:rightChars="0"/>
        <w:jc w:val="center"/>
        <w:rPr>
          <w:rFonts w:hint="default" w:ascii="Times New Roman" w:hAnsi="Times New Roman" w:eastAsia="方正小标宋_GBK" w:cs="Times New Roman"/>
          <w:color w:val="auto"/>
          <w:sz w:val="36"/>
          <w:szCs w:val="36"/>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方正黑体_GBK" w:hAnsi="方正黑体_GBK" w:eastAsia="方正黑体_GBK" w:cs="方正黑体_GBK"/>
          <w:b w:val="0"/>
          <w:bCs/>
          <w:color w:val="auto"/>
          <w:sz w:val="32"/>
          <w:szCs w:val="32"/>
        </w:rPr>
      </w:pPr>
      <w:r>
        <w:rPr>
          <w:rStyle w:val="10"/>
          <w:rFonts w:hint="eastAsia" w:ascii="方正黑体_GBK" w:hAnsi="方正黑体_GBK" w:eastAsia="方正黑体_GBK" w:cs="方正黑体_GBK"/>
          <w:b w:val="0"/>
          <w:bCs/>
          <w:color w:val="auto"/>
          <w:sz w:val="32"/>
          <w:szCs w:val="32"/>
          <w:shd w:val="clear" w:color="auto" w:fill="FFFFFF"/>
        </w:rPr>
        <w:t>一、单位基本情况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color w:val="auto"/>
          <w:sz w:val="32"/>
          <w:szCs w:val="32"/>
        </w:rPr>
      </w:pPr>
      <w:r>
        <w:rPr>
          <w:rStyle w:val="10"/>
          <w:rFonts w:hint="eastAsia" w:ascii="方正楷体_GBK" w:hAnsi="方正楷体_GBK" w:eastAsia="方正楷体_GBK" w:cs="方正楷体_GBK"/>
          <w:b w:val="0"/>
          <w:bCs/>
          <w:color w:val="auto"/>
          <w:sz w:val="32"/>
          <w:szCs w:val="32"/>
          <w:shd w:val="clear" w:color="auto" w:fill="FFFFFF"/>
        </w:rPr>
        <w:t>（一）职能职责</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受综合行政执法办公室委托，行使依法授权或委托的农林水利、规划建设、生态环境、卫生健康、文化旅游、民政管理等领域的行政执法权。建立与城市管理、食品药品安全监管等方面的联合执法机制。综合行政执法大队与综合行政执法办公室统筹运行。</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color w:val="auto"/>
          <w:sz w:val="32"/>
          <w:szCs w:val="32"/>
        </w:rPr>
      </w:pPr>
      <w:r>
        <w:rPr>
          <w:rStyle w:val="10"/>
          <w:rFonts w:hint="eastAsia" w:ascii="方正楷体_GBK" w:hAnsi="方正楷体_GBK" w:eastAsia="方正楷体_GBK" w:cs="方正楷体_GBK"/>
          <w:b w:val="0"/>
          <w:bCs/>
          <w:color w:val="auto"/>
          <w:sz w:val="32"/>
          <w:szCs w:val="32"/>
          <w:shd w:val="clear" w:color="auto" w:fill="FFFFFF"/>
        </w:rPr>
        <w:t>（二）机构设置</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从机构设置看，石耶镇综合行政执法大队，属于石耶镇人民政府二级财务独立核算机构</w:t>
      </w:r>
      <w:r>
        <w:rPr>
          <w:rFonts w:hint="default" w:ascii="Times New Roman" w:hAnsi="Times New Roman" w:eastAsia="方正仿宋_GBK" w:cs="Times New Roman"/>
          <w:color w:val="auto"/>
          <w:sz w:val="32"/>
          <w:szCs w:val="32"/>
          <w:shd w:val="clear" w:color="auto" w:fill="FFFFFF"/>
          <w:lang w:eastAsia="zh-CN"/>
        </w:rPr>
        <w:t>，无下级预算单位</w:t>
      </w:r>
      <w:r>
        <w:rPr>
          <w:rFonts w:hint="default" w:ascii="Times New Roman" w:hAnsi="Times New Roman" w:eastAsia="方正仿宋_GBK" w:cs="Times New Roman"/>
          <w:color w:val="auto"/>
          <w:sz w:val="32"/>
          <w:szCs w:val="32"/>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方正黑体_GBK" w:hAnsi="方正黑体_GBK" w:eastAsia="方正黑体_GBK" w:cs="方正黑体_GBK"/>
          <w:b w:val="0"/>
          <w:bCs/>
          <w:color w:val="auto"/>
          <w:sz w:val="32"/>
          <w:szCs w:val="32"/>
        </w:rPr>
      </w:pPr>
      <w:r>
        <w:rPr>
          <w:rStyle w:val="10"/>
          <w:rFonts w:hint="eastAsia" w:ascii="方正黑体_GBK" w:hAnsi="方正黑体_GBK" w:eastAsia="方正黑体_GBK" w:cs="方正黑体_GBK"/>
          <w:b w:val="0"/>
          <w:bCs/>
          <w:color w:val="auto"/>
          <w:sz w:val="32"/>
          <w:szCs w:val="32"/>
          <w:shd w:val="clear" w:color="auto" w:fill="FFFFFF"/>
        </w:rPr>
        <w:t>二、单位决算情况说明</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（一）收入支出决算总体情况说明</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1.总体情况。</w:t>
      </w:r>
      <w:r>
        <w:rPr>
          <w:rFonts w:hint="default" w:ascii="Times New Roman" w:hAnsi="Times New Roman" w:eastAsia="方正仿宋_GBK" w:cs="Times New Roman"/>
          <w:color w:val="auto"/>
          <w:sz w:val="32"/>
          <w:szCs w:val="32"/>
          <w:shd w:val="clear" w:color="auto" w:fill="FFFFFF"/>
        </w:rPr>
        <w:t>2023年度收入总计55.80万元，支出总计</w:t>
      </w:r>
      <w:r>
        <w:rPr>
          <w:rFonts w:hint="default" w:ascii="Times New Roman" w:hAnsi="Times New Roman" w:eastAsia="方正仿宋_GBK" w:cs="Times New Roman"/>
          <w:color w:val="auto"/>
          <w:sz w:val="32"/>
          <w:szCs w:val="32"/>
        </w:rPr>
        <w:t>55.80</w:t>
      </w:r>
      <w:r>
        <w:rPr>
          <w:rFonts w:hint="default" w:ascii="Times New Roman" w:hAnsi="Times New Roman" w:eastAsia="方正仿宋_GBK" w:cs="Times New Roman"/>
          <w:color w:val="auto"/>
          <w:sz w:val="32"/>
          <w:szCs w:val="32"/>
          <w:shd w:val="clear" w:color="auto" w:fill="FFFFFF"/>
        </w:rPr>
        <w:t>万元。收支较上年决算数增加55.80万元，增长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2022年度</w:t>
      </w:r>
      <w:r>
        <w:rPr>
          <w:rFonts w:hint="eastAsia" w:ascii="Times New Roman" w:hAnsi="Times New Roman" w:eastAsia="方正仿宋_GBK" w:cs="Times New Roman"/>
          <w:color w:val="auto"/>
          <w:sz w:val="32"/>
          <w:szCs w:val="32"/>
          <w:shd w:val="clear" w:color="auto" w:fill="FFFFFF"/>
          <w:lang w:val="en-US" w:eastAsia="zh-CN"/>
        </w:rPr>
        <w:t>石耶镇综合行政执法大队</w:t>
      </w:r>
      <w:r>
        <w:rPr>
          <w:rFonts w:hint="default" w:ascii="Times New Roman" w:hAnsi="Times New Roman" w:eastAsia="方正仿宋_GBK" w:cs="Times New Roman"/>
          <w:color w:val="auto"/>
          <w:sz w:val="32"/>
          <w:szCs w:val="32"/>
          <w:shd w:val="clear" w:color="auto" w:fill="FFFFFF"/>
          <w:lang w:val="en-US" w:eastAsia="zh-CN"/>
        </w:rPr>
        <w:t>与部门合并编报决算，按照市财政局要求，2023年度独立编报决算，故与上年对比增长</w:t>
      </w:r>
      <w:r>
        <w:rPr>
          <w:rFonts w:hint="eastAsia" w:ascii="Times New Roman" w:hAnsi="Times New Roman" w:eastAsia="方正仿宋_GBK" w:cs="Times New Roman"/>
          <w:color w:val="auto"/>
          <w:sz w:val="32"/>
          <w:szCs w:val="32"/>
          <w:shd w:val="clear" w:color="auto" w:fill="FFFFFF"/>
          <w:lang w:val="en-US" w:eastAsia="zh-CN"/>
        </w:rPr>
        <w:t>100.00%</w:t>
      </w:r>
      <w:r>
        <w:rPr>
          <w:rFonts w:hint="default" w:ascii="Times New Roman" w:hAnsi="Times New Roman" w:eastAsia="方正仿宋_GBK" w:cs="Times New Roman"/>
          <w:color w:val="auto"/>
          <w:sz w:val="32"/>
          <w:szCs w:val="32"/>
          <w:shd w:val="clear" w:color="auto" w:fill="FFFFFF"/>
          <w:lang w:val="en-US" w:eastAsia="zh-CN"/>
        </w:rPr>
        <w:t>。</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rPr>
        <w:t>2023年度收入合计55.80万元，较上年决算数增加55.80万元，增长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2022年度</w:t>
      </w:r>
      <w:r>
        <w:rPr>
          <w:rFonts w:hint="eastAsia" w:ascii="Times New Roman" w:hAnsi="Times New Roman" w:eastAsia="方正仿宋_GBK" w:cs="Times New Roman"/>
          <w:color w:val="auto"/>
          <w:sz w:val="32"/>
          <w:szCs w:val="32"/>
          <w:shd w:val="clear" w:color="auto" w:fill="FFFFFF"/>
          <w:lang w:val="en-US" w:eastAsia="zh-CN"/>
        </w:rPr>
        <w:t>石耶镇综合行政执法大队</w:t>
      </w:r>
      <w:r>
        <w:rPr>
          <w:rFonts w:hint="default" w:ascii="Times New Roman" w:hAnsi="Times New Roman" w:eastAsia="方正仿宋_GBK" w:cs="Times New Roman"/>
          <w:color w:val="auto"/>
          <w:sz w:val="32"/>
          <w:szCs w:val="32"/>
          <w:shd w:val="clear" w:color="auto" w:fill="FFFFFF"/>
          <w:lang w:val="en-US" w:eastAsia="zh-CN"/>
        </w:rPr>
        <w:t>与部门合并编报决算，按照市财政局要求，2023年度独立编报决算，故与上年对比增长</w:t>
      </w:r>
      <w:r>
        <w:rPr>
          <w:rFonts w:hint="eastAsia" w:ascii="Times New Roman" w:hAnsi="Times New Roman" w:eastAsia="方正仿宋_GBK" w:cs="Times New Roman"/>
          <w:color w:val="auto"/>
          <w:sz w:val="32"/>
          <w:szCs w:val="32"/>
          <w:shd w:val="clear" w:color="auto" w:fill="FFFFFF"/>
          <w:lang w:val="en-US" w:eastAsia="zh-CN"/>
        </w:rPr>
        <w:t>100.00%</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其中：财政拨款收入55.80万元，占</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；事业收入0</w:t>
      </w:r>
      <w:r>
        <w:rPr>
          <w:rFonts w:hint="eastAsia" w:ascii="Times New Roman" w:hAnsi="Times New Roman" w:eastAsia="方正仿宋_GBK" w:cs="Times New Roman"/>
          <w:color w:val="auto"/>
          <w:sz w:val="32"/>
          <w:szCs w:val="32"/>
          <w:shd w:val="clear" w:color="auto" w:fill="FFFFFF"/>
          <w:lang w:val="en-US" w:eastAsia="zh-CN"/>
        </w:rPr>
        <w:t>.00</w:t>
      </w:r>
      <w:r>
        <w:rPr>
          <w:rFonts w:hint="default" w:ascii="Times New Roman" w:hAnsi="Times New Roman" w:eastAsia="方正仿宋_GBK" w:cs="Times New Roman"/>
          <w:color w:val="auto"/>
          <w:sz w:val="32"/>
          <w:szCs w:val="32"/>
          <w:shd w:val="clear" w:color="auto" w:fill="FFFFFF"/>
        </w:rPr>
        <w:t>万元，占0</w:t>
      </w:r>
      <w:r>
        <w:rPr>
          <w:rFonts w:hint="eastAsia" w:ascii="Times New Roman" w:hAnsi="Times New Roman" w:eastAsia="方正仿宋_GBK" w:cs="Times New Roman"/>
          <w:color w:val="auto"/>
          <w:sz w:val="32"/>
          <w:szCs w:val="32"/>
          <w:shd w:val="clear" w:color="auto" w:fill="FFFFFF"/>
          <w:lang w:val="en-US" w:eastAsia="zh-CN"/>
        </w:rPr>
        <w:t>.00</w:t>
      </w:r>
      <w:r>
        <w:rPr>
          <w:rFonts w:hint="default" w:ascii="Times New Roman" w:hAnsi="Times New Roman" w:eastAsia="方正仿宋_GBK" w:cs="Times New Roman"/>
          <w:color w:val="auto"/>
          <w:sz w:val="32"/>
          <w:szCs w:val="32"/>
          <w:shd w:val="clear" w:color="auto" w:fill="FFFFFF"/>
        </w:rPr>
        <w:t>%；经营收入0</w:t>
      </w:r>
      <w:r>
        <w:rPr>
          <w:rFonts w:hint="eastAsia" w:ascii="Times New Roman" w:hAnsi="Times New Roman" w:eastAsia="方正仿宋_GBK" w:cs="Times New Roman"/>
          <w:color w:val="auto"/>
          <w:sz w:val="32"/>
          <w:szCs w:val="32"/>
          <w:shd w:val="clear" w:color="auto" w:fill="FFFFFF"/>
          <w:lang w:val="en-US" w:eastAsia="zh-CN"/>
        </w:rPr>
        <w:t>.00</w:t>
      </w:r>
      <w:r>
        <w:rPr>
          <w:rFonts w:hint="default" w:ascii="Times New Roman" w:hAnsi="Times New Roman" w:eastAsia="方正仿宋_GBK" w:cs="Times New Roman"/>
          <w:color w:val="auto"/>
          <w:sz w:val="32"/>
          <w:szCs w:val="32"/>
          <w:shd w:val="clear" w:color="auto" w:fill="FFFFFF"/>
        </w:rPr>
        <w:t>万元，占0</w:t>
      </w:r>
      <w:r>
        <w:rPr>
          <w:rFonts w:hint="eastAsia" w:ascii="Times New Roman" w:hAnsi="Times New Roman" w:eastAsia="方正仿宋_GBK" w:cs="Times New Roman"/>
          <w:color w:val="auto"/>
          <w:sz w:val="32"/>
          <w:szCs w:val="32"/>
          <w:shd w:val="clear" w:color="auto" w:fill="FFFFFF"/>
          <w:lang w:val="en-US" w:eastAsia="zh-CN"/>
        </w:rPr>
        <w:t>.00</w:t>
      </w:r>
      <w:r>
        <w:rPr>
          <w:rFonts w:hint="default" w:ascii="Times New Roman" w:hAnsi="Times New Roman" w:eastAsia="方正仿宋_GBK" w:cs="Times New Roman"/>
          <w:color w:val="auto"/>
          <w:sz w:val="32"/>
          <w:szCs w:val="32"/>
          <w:shd w:val="clear" w:color="auto" w:fill="FFFFFF"/>
        </w:rPr>
        <w:t>%；其他收入0</w:t>
      </w:r>
      <w:r>
        <w:rPr>
          <w:rFonts w:hint="eastAsia" w:ascii="Times New Roman" w:hAnsi="Times New Roman" w:eastAsia="方正仿宋_GBK" w:cs="Times New Roman"/>
          <w:color w:val="auto"/>
          <w:sz w:val="32"/>
          <w:szCs w:val="32"/>
          <w:shd w:val="clear" w:color="auto" w:fill="FFFFFF"/>
          <w:lang w:val="en-US" w:eastAsia="zh-CN"/>
        </w:rPr>
        <w:t>.00</w:t>
      </w:r>
      <w:r>
        <w:rPr>
          <w:rFonts w:hint="default" w:ascii="Times New Roman" w:hAnsi="Times New Roman" w:eastAsia="方正仿宋_GBK" w:cs="Times New Roman"/>
          <w:color w:val="auto"/>
          <w:sz w:val="32"/>
          <w:szCs w:val="32"/>
          <w:shd w:val="clear" w:color="auto" w:fill="FFFFFF"/>
        </w:rPr>
        <w:t>万元，占0</w:t>
      </w:r>
      <w:r>
        <w:rPr>
          <w:rFonts w:hint="eastAsia" w:ascii="Times New Roman" w:hAnsi="Times New Roman" w:eastAsia="方正仿宋_GBK" w:cs="Times New Roman"/>
          <w:color w:val="auto"/>
          <w:sz w:val="32"/>
          <w:szCs w:val="32"/>
          <w:shd w:val="clear" w:color="auto" w:fill="FFFFFF"/>
          <w:lang w:val="en-US" w:eastAsia="zh-CN"/>
        </w:rPr>
        <w:t>.00</w:t>
      </w:r>
      <w:r>
        <w:rPr>
          <w:rFonts w:hint="default" w:ascii="Times New Roman" w:hAnsi="Times New Roman" w:eastAsia="方正仿宋_GBK" w:cs="Times New Roman"/>
          <w:color w:val="auto"/>
          <w:sz w:val="32"/>
          <w:szCs w:val="32"/>
          <w:shd w:val="clear" w:color="auto" w:fill="FFFFFF"/>
        </w:rPr>
        <w:t>%。此外，使用非财政拨款结余和专用结余0</w:t>
      </w:r>
      <w:r>
        <w:rPr>
          <w:rFonts w:hint="eastAsia" w:ascii="Times New Roman" w:hAnsi="Times New Roman" w:eastAsia="方正仿宋_GBK" w:cs="Times New Roman"/>
          <w:color w:val="auto"/>
          <w:sz w:val="32"/>
          <w:szCs w:val="32"/>
          <w:shd w:val="clear" w:color="auto" w:fill="FFFFFF"/>
          <w:lang w:val="en-US" w:eastAsia="zh-CN"/>
        </w:rPr>
        <w:t>.00</w:t>
      </w:r>
      <w:r>
        <w:rPr>
          <w:rFonts w:hint="default" w:ascii="Times New Roman" w:hAnsi="Times New Roman" w:eastAsia="方正仿宋_GBK" w:cs="Times New Roman"/>
          <w:color w:val="auto"/>
          <w:sz w:val="32"/>
          <w:szCs w:val="32"/>
          <w:shd w:val="clear" w:color="auto" w:fill="FFFFFF"/>
        </w:rPr>
        <w:t>万元，年初结转和结余0</w:t>
      </w:r>
      <w:r>
        <w:rPr>
          <w:rFonts w:hint="eastAsia" w:ascii="Times New Roman" w:hAnsi="Times New Roman" w:eastAsia="方正仿宋_GBK" w:cs="Times New Roman"/>
          <w:color w:val="auto"/>
          <w:sz w:val="32"/>
          <w:szCs w:val="32"/>
          <w:shd w:val="clear" w:color="auto" w:fill="FFFFFF"/>
          <w:lang w:val="en-US" w:eastAsia="zh-CN"/>
        </w:rPr>
        <w:t>.00</w:t>
      </w:r>
      <w:r>
        <w:rPr>
          <w:rFonts w:hint="default" w:ascii="Times New Roman" w:hAnsi="Times New Roman" w:eastAsia="方正仿宋_GBK" w:cs="Times New Roman"/>
          <w:color w:val="auto"/>
          <w:sz w:val="32"/>
          <w:szCs w:val="32"/>
          <w:shd w:val="clear" w:color="auto" w:fill="FFFFFF"/>
        </w:rPr>
        <w:t>万元。</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3.支出情况。</w:t>
      </w:r>
      <w:r>
        <w:rPr>
          <w:rFonts w:hint="default" w:ascii="Times New Roman" w:hAnsi="Times New Roman" w:eastAsia="方正仿宋_GBK" w:cs="Times New Roman"/>
          <w:color w:val="auto"/>
          <w:sz w:val="32"/>
          <w:szCs w:val="32"/>
          <w:shd w:val="clear" w:color="auto" w:fill="FFFFFF"/>
        </w:rPr>
        <w:t>2023年度支出合计</w:t>
      </w:r>
      <w:r>
        <w:rPr>
          <w:rFonts w:hint="default" w:ascii="Times New Roman" w:hAnsi="Times New Roman" w:eastAsia="方正仿宋_GBK" w:cs="Times New Roman"/>
          <w:color w:val="auto"/>
          <w:sz w:val="32"/>
          <w:szCs w:val="32"/>
        </w:rPr>
        <w:t>55.80</w:t>
      </w:r>
      <w:r>
        <w:rPr>
          <w:rFonts w:hint="default" w:ascii="Times New Roman" w:hAnsi="Times New Roman" w:eastAsia="方正仿宋_GBK" w:cs="Times New Roman"/>
          <w:color w:val="auto"/>
          <w:sz w:val="32"/>
          <w:szCs w:val="32"/>
          <w:shd w:val="clear" w:color="auto" w:fill="FFFFFF"/>
        </w:rPr>
        <w:t>万元，较上年决算数增加55.80万元，增长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2022年度</w:t>
      </w:r>
      <w:r>
        <w:rPr>
          <w:rFonts w:hint="eastAsia" w:ascii="Times New Roman" w:hAnsi="Times New Roman" w:eastAsia="方正仿宋_GBK" w:cs="Times New Roman"/>
          <w:color w:val="auto"/>
          <w:sz w:val="32"/>
          <w:szCs w:val="32"/>
          <w:shd w:val="clear" w:color="auto" w:fill="FFFFFF"/>
          <w:lang w:val="en-US" w:eastAsia="zh-CN"/>
        </w:rPr>
        <w:t>石耶镇综合行政执法大队</w:t>
      </w:r>
      <w:r>
        <w:rPr>
          <w:rFonts w:hint="default" w:ascii="Times New Roman" w:hAnsi="Times New Roman" w:eastAsia="方正仿宋_GBK" w:cs="Times New Roman"/>
          <w:color w:val="auto"/>
          <w:sz w:val="32"/>
          <w:szCs w:val="32"/>
          <w:shd w:val="clear" w:color="auto" w:fill="FFFFFF"/>
          <w:lang w:val="en-US" w:eastAsia="zh-CN"/>
        </w:rPr>
        <w:t>与部门合并编报决算，按照市财政局要求，2023年度独立编报决算，故与上年对比增长</w:t>
      </w:r>
      <w:r>
        <w:rPr>
          <w:rFonts w:hint="eastAsia" w:ascii="Times New Roman" w:hAnsi="Times New Roman" w:eastAsia="方正仿宋_GBK" w:cs="Times New Roman"/>
          <w:color w:val="auto"/>
          <w:sz w:val="32"/>
          <w:szCs w:val="32"/>
          <w:shd w:val="clear" w:color="auto" w:fill="FFFFFF"/>
          <w:lang w:val="en-US" w:eastAsia="zh-CN"/>
        </w:rPr>
        <w:t>100.00%</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其中：基本支出55.80万元，占</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；项目支出0</w:t>
      </w:r>
      <w:r>
        <w:rPr>
          <w:rFonts w:hint="eastAsia" w:ascii="Times New Roman" w:hAnsi="Times New Roman" w:eastAsia="方正仿宋_GBK" w:cs="Times New Roman"/>
          <w:color w:val="auto"/>
          <w:sz w:val="32"/>
          <w:szCs w:val="32"/>
          <w:shd w:val="clear" w:color="auto" w:fill="FFFFFF"/>
          <w:lang w:val="en-US" w:eastAsia="zh-CN"/>
        </w:rPr>
        <w:t>.00</w:t>
      </w:r>
      <w:r>
        <w:rPr>
          <w:rFonts w:hint="default" w:ascii="Times New Roman" w:hAnsi="Times New Roman" w:eastAsia="方正仿宋_GBK" w:cs="Times New Roman"/>
          <w:color w:val="auto"/>
          <w:sz w:val="32"/>
          <w:szCs w:val="32"/>
          <w:shd w:val="clear" w:color="auto" w:fill="FFFFFF"/>
        </w:rPr>
        <w:t>万元，占0</w:t>
      </w:r>
      <w:r>
        <w:rPr>
          <w:rFonts w:hint="eastAsia" w:ascii="Times New Roman" w:hAnsi="Times New Roman" w:eastAsia="方正仿宋_GBK" w:cs="Times New Roman"/>
          <w:color w:val="auto"/>
          <w:sz w:val="32"/>
          <w:szCs w:val="32"/>
          <w:shd w:val="clear" w:color="auto" w:fill="FFFFFF"/>
          <w:lang w:val="en-US" w:eastAsia="zh-CN"/>
        </w:rPr>
        <w:t>.00</w:t>
      </w:r>
      <w:r>
        <w:rPr>
          <w:rFonts w:hint="default" w:ascii="Times New Roman" w:hAnsi="Times New Roman" w:eastAsia="方正仿宋_GBK" w:cs="Times New Roman"/>
          <w:color w:val="auto"/>
          <w:sz w:val="32"/>
          <w:szCs w:val="32"/>
          <w:shd w:val="clear" w:color="auto" w:fill="FFFFFF"/>
        </w:rPr>
        <w:t>%；经营支出0</w:t>
      </w:r>
      <w:r>
        <w:rPr>
          <w:rFonts w:hint="eastAsia" w:ascii="Times New Roman" w:hAnsi="Times New Roman" w:eastAsia="方正仿宋_GBK" w:cs="Times New Roman"/>
          <w:color w:val="auto"/>
          <w:sz w:val="32"/>
          <w:szCs w:val="32"/>
          <w:shd w:val="clear" w:color="auto" w:fill="FFFFFF"/>
          <w:lang w:val="en-US" w:eastAsia="zh-CN"/>
        </w:rPr>
        <w:t>.00</w:t>
      </w:r>
      <w:r>
        <w:rPr>
          <w:rFonts w:hint="default" w:ascii="Times New Roman" w:hAnsi="Times New Roman" w:eastAsia="方正仿宋_GBK" w:cs="Times New Roman"/>
          <w:color w:val="auto"/>
          <w:sz w:val="32"/>
          <w:szCs w:val="32"/>
          <w:shd w:val="clear" w:color="auto" w:fill="FFFFFF"/>
        </w:rPr>
        <w:t>万元，占0</w:t>
      </w:r>
      <w:r>
        <w:rPr>
          <w:rFonts w:hint="eastAsia" w:ascii="Times New Roman" w:hAnsi="Times New Roman" w:eastAsia="方正仿宋_GBK" w:cs="Times New Roman"/>
          <w:color w:val="auto"/>
          <w:sz w:val="32"/>
          <w:szCs w:val="32"/>
          <w:shd w:val="clear" w:color="auto" w:fill="FFFFFF"/>
          <w:lang w:val="en-US" w:eastAsia="zh-CN"/>
        </w:rPr>
        <w:t>.00</w:t>
      </w:r>
      <w:r>
        <w:rPr>
          <w:rFonts w:hint="default" w:ascii="Times New Roman" w:hAnsi="Times New Roman" w:eastAsia="方正仿宋_GBK" w:cs="Times New Roman"/>
          <w:color w:val="auto"/>
          <w:sz w:val="32"/>
          <w:szCs w:val="32"/>
          <w:shd w:val="clear" w:color="auto" w:fill="FFFFFF"/>
        </w:rPr>
        <w:t>%。此外，结余分配0</w:t>
      </w:r>
      <w:r>
        <w:rPr>
          <w:rFonts w:hint="eastAsia" w:ascii="Times New Roman" w:hAnsi="Times New Roman" w:eastAsia="方正仿宋_GBK" w:cs="Times New Roman"/>
          <w:color w:val="auto"/>
          <w:sz w:val="32"/>
          <w:szCs w:val="32"/>
          <w:shd w:val="clear" w:color="auto" w:fill="FFFFFF"/>
          <w:lang w:val="en-US" w:eastAsia="zh-CN"/>
        </w:rPr>
        <w:t>.00</w:t>
      </w:r>
      <w:r>
        <w:rPr>
          <w:rFonts w:hint="default" w:ascii="Times New Roman" w:hAnsi="Times New Roman" w:eastAsia="方正仿宋_GBK" w:cs="Times New Roman"/>
          <w:color w:val="auto"/>
          <w:sz w:val="32"/>
          <w:szCs w:val="32"/>
          <w:shd w:val="clear" w:color="auto" w:fill="FFFFFF"/>
        </w:rPr>
        <w:t>万元。</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4.结转结余情况。</w:t>
      </w:r>
      <w:r>
        <w:rPr>
          <w:rFonts w:hint="default" w:ascii="Times New Roman" w:hAnsi="Times New Roman" w:eastAsia="方正仿宋_GBK" w:cs="Times New Roman"/>
          <w:color w:val="auto"/>
          <w:sz w:val="32"/>
          <w:szCs w:val="32"/>
          <w:shd w:val="clear" w:color="auto" w:fill="FFFFFF"/>
        </w:rPr>
        <w:t>2023年度年末结转和结余</w:t>
      </w:r>
      <w:r>
        <w:rPr>
          <w:rFonts w:hint="default"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val="en-US" w:eastAsia="zh-CN"/>
        </w:rPr>
        <w:t>.00</w:t>
      </w:r>
      <w:r>
        <w:rPr>
          <w:rFonts w:hint="default" w:ascii="Times New Roman" w:hAnsi="Times New Roman" w:eastAsia="方正仿宋_GBK" w:cs="Times New Roman"/>
          <w:color w:val="auto"/>
          <w:sz w:val="32"/>
          <w:szCs w:val="32"/>
          <w:shd w:val="clear" w:color="auto" w:fill="FFFFFF"/>
        </w:rPr>
        <w:t>万元，较上年决算数无增减，主要原因是</w:t>
      </w:r>
      <w:r>
        <w:rPr>
          <w:rFonts w:hint="default" w:ascii="Times New Roman" w:hAnsi="Times New Roman" w:eastAsia="方正仿宋_GBK" w:cs="Times New Roman"/>
          <w:color w:val="auto"/>
          <w:sz w:val="32"/>
          <w:szCs w:val="32"/>
          <w:highlight w:val="none"/>
          <w:shd w:val="clear" w:color="auto" w:fill="FFFFFF"/>
          <w:lang w:eastAsia="zh-CN"/>
        </w:rPr>
        <w:t>本年度收支平衡，无资金结转结余。</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（二）财政拨款收入支出决算总体情况说明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2023年度财政拨款收、支总计55.80万元。与2022年相比，财政拨款收、支总计各增加55.80万元，增长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2022年度</w:t>
      </w:r>
      <w:r>
        <w:rPr>
          <w:rFonts w:hint="eastAsia" w:ascii="Times New Roman" w:hAnsi="Times New Roman" w:eastAsia="方正仿宋_GBK" w:cs="Times New Roman"/>
          <w:color w:val="auto"/>
          <w:sz w:val="32"/>
          <w:szCs w:val="32"/>
          <w:shd w:val="clear" w:color="auto" w:fill="FFFFFF"/>
          <w:lang w:val="en-US" w:eastAsia="zh-CN"/>
        </w:rPr>
        <w:t>石耶镇综合行政执法大队</w:t>
      </w:r>
      <w:r>
        <w:rPr>
          <w:rFonts w:hint="default" w:ascii="Times New Roman" w:hAnsi="Times New Roman" w:eastAsia="方正仿宋_GBK" w:cs="Times New Roman"/>
          <w:color w:val="auto"/>
          <w:sz w:val="32"/>
          <w:szCs w:val="32"/>
          <w:shd w:val="clear" w:color="auto" w:fill="FFFFFF"/>
          <w:lang w:val="en-US" w:eastAsia="zh-CN"/>
        </w:rPr>
        <w:t>与部门合并编报决算，按照市财政局要求，2023年度独立编报决算，故与上年对比增长</w:t>
      </w:r>
      <w:r>
        <w:rPr>
          <w:rFonts w:hint="eastAsia" w:ascii="Times New Roman" w:hAnsi="Times New Roman" w:eastAsia="方正仿宋_GBK" w:cs="Times New Roman"/>
          <w:color w:val="auto"/>
          <w:sz w:val="32"/>
          <w:szCs w:val="32"/>
          <w:shd w:val="clear" w:color="auto" w:fill="FFFFFF"/>
          <w:lang w:val="en-US" w:eastAsia="zh-CN"/>
        </w:rPr>
        <w:t>100.00%</w:t>
      </w:r>
      <w:r>
        <w:rPr>
          <w:rFonts w:hint="default" w:ascii="Times New Roman" w:hAnsi="Times New Roman" w:eastAsia="方正仿宋_GBK" w:cs="Times New Roman"/>
          <w:color w:val="auto"/>
          <w:sz w:val="32"/>
          <w:szCs w:val="32"/>
          <w:shd w:val="clear" w:color="auto" w:fill="FFFFFF"/>
          <w:lang w:val="en-US" w:eastAsia="zh-CN"/>
        </w:rPr>
        <w:t>。</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（三）一般公共预算财政拨款收入支出决算情况说明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2023年度一般公共预算财政拨款收入</w:t>
      </w:r>
      <w:r>
        <w:rPr>
          <w:rFonts w:hint="default" w:ascii="Times New Roman" w:hAnsi="Times New Roman" w:eastAsia="方正仿宋_GBK" w:cs="Times New Roman"/>
          <w:color w:val="auto"/>
          <w:sz w:val="32"/>
          <w:szCs w:val="32"/>
        </w:rPr>
        <w:t>55.80</w:t>
      </w:r>
      <w:r>
        <w:rPr>
          <w:rFonts w:hint="default" w:ascii="Times New Roman" w:hAnsi="Times New Roman" w:eastAsia="方正仿宋_GBK" w:cs="Times New Roman"/>
          <w:color w:val="auto"/>
          <w:sz w:val="32"/>
          <w:szCs w:val="32"/>
          <w:shd w:val="clear" w:color="auto" w:fill="FFFFFF"/>
        </w:rPr>
        <w:t>万元，较上年决算数增加55.80万元，增长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2022年度</w:t>
      </w:r>
      <w:r>
        <w:rPr>
          <w:rFonts w:hint="eastAsia" w:ascii="Times New Roman" w:hAnsi="Times New Roman" w:eastAsia="方正仿宋_GBK" w:cs="Times New Roman"/>
          <w:color w:val="auto"/>
          <w:sz w:val="32"/>
          <w:szCs w:val="32"/>
          <w:shd w:val="clear" w:color="auto" w:fill="FFFFFF"/>
          <w:lang w:val="en-US" w:eastAsia="zh-CN"/>
        </w:rPr>
        <w:t>石耶镇综合行政执法大队</w:t>
      </w:r>
      <w:r>
        <w:rPr>
          <w:rFonts w:hint="default" w:ascii="Times New Roman" w:hAnsi="Times New Roman" w:eastAsia="方正仿宋_GBK" w:cs="Times New Roman"/>
          <w:color w:val="auto"/>
          <w:sz w:val="32"/>
          <w:szCs w:val="32"/>
          <w:shd w:val="clear" w:color="auto" w:fill="FFFFFF"/>
          <w:lang w:val="en-US" w:eastAsia="zh-CN"/>
        </w:rPr>
        <w:t>与部门合并编报决算，按照市财政局要求，2023年度独立编报决算，故与上年对比增长</w:t>
      </w:r>
      <w:r>
        <w:rPr>
          <w:rFonts w:hint="eastAsia" w:ascii="Times New Roman" w:hAnsi="Times New Roman" w:eastAsia="方正仿宋_GBK" w:cs="Times New Roman"/>
          <w:color w:val="auto"/>
          <w:sz w:val="32"/>
          <w:szCs w:val="32"/>
          <w:shd w:val="clear" w:color="auto" w:fill="FFFFFF"/>
          <w:lang w:val="en-US" w:eastAsia="zh-CN"/>
        </w:rPr>
        <w:t>100.00%</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较年初预算数减少7.07万元，下降11.25%。主要原因是</w:t>
      </w:r>
      <w:r>
        <w:rPr>
          <w:rFonts w:hint="eastAsia" w:ascii="Times New Roman" w:hAnsi="Times New Roman" w:eastAsia="方正仿宋_GBK" w:cs="Times New Roman"/>
          <w:color w:val="auto"/>
          <w:sz w:val="32"/>
          <w:szCs w:val="32"/>
          <w:shd w:val="clear" w:color="auto" w:fill="FFFFFF"/>
          <w:lang w:eastAsia="zh-CN"/>
        </w:rPr>
        <w:t>人员经费财政拨款实际收入减少</w:t>
      </w:r>
      <w:r>
        <w:rPr>
          <w:rFonts w:hint="default" w:ascii="Times New Roman" w:hAnsi="Times New Roman" w:eastAsia="方正仿宋_GBK" w:cs="Times New Roman"/>
          <w:color w:val="auto"/>
          <w:sz w:val="32"/>
          <w:szCs w:val="32"/>
          <w:shd w:val="clear" w:color="auto" w:fill="FFFFFF"/>
        </w:rPr>
        <w:t>。</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2023年度一般公共预算财政拨款支出</w:t>
      </w:r>
      <w:r>
        <w:rPr>
          <w:rFonts w:hint="default" w:ascii="Times New Roman" w:hAnsi="Times New Roman" w:eastAsia="方正仿宋_GBK" w:cs="Times New Roman"/>
          <w:color w:val="auto"/>
          <w:sz w:val="32"/>
          <w:szCs w:val="32"/>
        </w:rPr>
        <w:t>55.80</w:t>
      </w:r>
      <w:r>
        <w:rPr>
          <w:rFonts w:hint="default" w:ascii="Times New Roman" w:hAnsi="Times New Roman" w:eastAsia="方正仿宋_GBK" w:cs="Times New Roman"/>
          <w:color w:val="auto"/>
          <w:sz w:val="32"/>
          <w:szCs w:val="32"/>
          <w:shd w:val="clear" w:color="auto" w:fill="FFFFFF"/>
        </w:rPr>
        <w:t>万元，较上年决算数增加55.80万元，增长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2022年度</w:t>
      </w:r>
      <w:r>
        <w:rPr>
          <w:rFonts w:hint="eastAsia" w:ascii="Times New Roman" w:hAnsi="Times New Roman" w:eastAsia="方正仿宋_GBK" w:cs="Times New Roman"/>
          <w:color w:val="auto"/>
          <w:sz w:val="32"/>
          <w:szCs w:val="32"/>
          <w:shd w:val="clear" w:color="auto" w:fill="FFFFFF"/>
          <w:lang w:val="en-US" w:eastAsia="zh-CN"/>
        </w:rPr>
        <w:t>石耶镇综合行政执法大队</w:t>
      </w:r>
      <w:r>
        <w:rPr>
          <w:rFonts w:hint="default" w:ascii="Times New Roman" w:hAnsi="Times New Roman" w:eastAsia="方正仿宋_GBK" w:cs="Times New Roman"/>
          <w:color w:val="auto"/>
          <w:sz w:val="32"/>
          <w:szCs w:val="32"/>
          <w:shd w:val="clear" w:color="auto" w:fill="FFFFFF"/>
          <w:lang w:val="en-US" w:eastAsia="zh-CN"/>
        </w:rPr>
        <w:t>与部门合并编报决算，按照市财政局要求，2023年度独立编报决算，故与上年对比增长</w:t>
      </w:r>
      <w:r>
        <w:rPr>
          <w:rFonts w:hint="eastAsia" w:ascii="Times New Roman" w:hAnsi="Times New Roman" w:eastAsia="方正仿宋_GBK" w:cs="Times New Roman"/>
          <w:color w:val="auto"/>
          <w:sz w:val="32"/>
          <w:szCs w:val="32"/>
          <w:shd w:val="clear" w:color="auto" w:fill="FFFFFF"/>
          <w:lang w:val="en-US" w:eastAsia="zh-CN"/>
        </w:rPr>
        <w:t>100.00%</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较年初预算数减少7.57万元，下降11.95%。主要原因是社会保障和就业支出</w:t>
      </w:r>
      <w:r>
        <w:rPr>
          <w:rFonts w:hint="eastAsia" w:ascii="Times New Roman" w:hAnsi="Times New Roman" w:eastAsia="方正仿宋_GBK" w:cs="Times New Roman"/>
          <w:color w:val="auto"/>
          <w:sz w:val="32"/>
          <w:szCs w:val="32"/>
          <w:shd w:val="clear" w:color="auto" w:fill="FFFFFF"/>
          <w:lang w:eastAsia="zh-CN"/>
        </w:rPr>
        <w:t>、城乡社区支出、住房保障支出等财政拨款实际支出减少</w:t>
      </w:r>
      <w:r>
        <w:rPr>
          <w:rFonts w:hint="default" w:ascii="Times New Roman" w:hAnsi="Times New Roman" w:eastAsia="方正仿宋_GBK" w:cs="Times New Roman"/>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highlight w:val="none"/>
          <w:shd w:val="clear" w:color="auto" w:fill="FFFFFF"/>
          <w:lang w:eastAsia="zh-CN"/>
        </w:rPr>
        <w:t>本年</w:t>
      </w:r>
      <w:r>
        <w:rPr>
          <w:rFonts w:hint="eastAsia" w:ascii="Times New Roman" w:hAnsi="Times New Roman" w:eastAsia="方正仿宋_GBK" w:cs="Times New Roman"/>
          <w:color w:val="auto"/>
          <w:sz w:val="32"/>
          <w:szCs w:val="32"/>
          <w:highlight w:val="none"/>
          <w:shd w:val="clear" w:color="auto" w:fill="FFFFFF"/>
          <w:lang w:eastAsia="zh-CN"/>
        </w:rPr>
        <w:t>度</w:t>
      </w:r>
      <w:r>
        <w:rPr>
          <w:rFonts w:hint="default" w:ascii="Times New Roman" w:hAnsi="Times New Roman" w:eastAsia="方正仿宋_GBK" w:cs="Times New Roman"/>
          <w:color w:val="auto"/>
          <w:sz w:val="32"/>
          <w:szCs w:val="32"/>
          <w:highlight w:val="none"/>
          <w:shd w:val="clear" w:color="auto" w:fill="FFFFFF"/>
        </w:rPr>
        <w:t>一般公共预算财政拨款</w:t>
      </w:r>
      <w:r>
        <w:rPr>
          <w:rFonts w:hint="default" w:ascii="Times New Roman" w:hAnsi="Times New Roman" w:eastAsia="方正仿宋_GBK" w:cs="Times New Roman"/>
          <w:color w:val="auto"/>
          <w:sz w:val="32"/>
          <w:szCs w:val="32"/>
          <w:highlight w:val="none"/>
          <w:shd w:val="clear" w:color="auto" w:fill="FFFFFF"/>
          <w:lang w:eastAsia="zh-CN"/>
        </w:rPr>
        <w:t>收支平衡，无结转结余</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highlight w:val="cyan"/>
          <w:shd w:val="clear" w:color="auto" w:fill="FFFFFF"/>
        </w:rPr>
      </w:pPr>
      <w:r>
        <w:rPr>
          <w:rStyle w:val="10"/>
          <w:rFonts w:hint="default" w:ascii="Times New Roman" w:hAnsi="Times New Roman" w:eastAsia="方正仿宋_GBK" w:cs="Times New Roman"/>
          <w:color w:val="auto"/>
          <w:sz w:val="32"/>
          <w:szCs w:val="32"/>
          <w:shd w:val="clear" w:color="auto" w:fill="FFFFFF"/>
        </w:rPr>
        <w:t xml:space="preserve"> 4.比较情况。</w:t>
      </w:r>
      <w:r>
        <w:rPr>
          <w:rFonts w:hint="eastAsia" w:ascii="Times New Roman" w:hAnsi="Times New Roman" w:eastAsia="方正仿宋_GBK" w:cs="Times New Roman"/>
          <w:color w:val="auto"/>
          <w:sz w:val="32"/>
          <w:szCs w:val="32"/>
          <w:shd w:val="clear" w:color="auto" w:fill="FFFFFF"/>
          <w:lang w:eastAsia="zh-CN"/>
        </w:rPr>
        <w:t>石耶镇综合行政执法大队</w:t>
      </w:r>
      <w:r>
        <w:rPr>
          <w:rFonts w:hint="default" w:ascii="Times New Roman" w:hAnsi="Times New Roman" w:eastAsia="方正仿宋_GBK" w:cs="Times New Roman"/>
          <w:color w:val="auto"/>
          <w:sz w:val="32"/>
          <w:szCs w:val="32"/>
          <w:shd w:val="clear" w:color="auto" w:fill="FFFFFF"/>
        </w:rPr>
        <w:t>2023年度一般公共预算财政拨款支出主要用于以下几个方面：</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9.02</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16.16</w:t>
      </w:r>
      <w:r>
        <w:rPr>
          <w:rFonts w:hint="default" w:ascii="Times New Roman" w:hAnsi="Times New Roman" w:eastAsia="方正仿宋_GBK" w:cs="Times New Roman"/>
          <w:color w:val="auto"/>
          <w:sz w:val="32"/>
          <w:szCs w:val="32"/>
          <w:shd w:val="clear" w:color="auto" w:fill="FFFFFF"/>
        </w:rPr>
        <w:t>%，较年初预算数减少1.47万元，下降14.01%，主要原因是</w:t>
      </w:r>
      <w:r>
        <w:rPr>
          <w:rFonts w:hint="eastAsia"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离退休</w:t>
      </w:r>
      <w:r>
        <w:rPr>
          <w:rFonts w:hint="eastAsia" w:ascii="Times New Roman" w:hAnsi="Times New Roman" w:eastAsia="方正仿宋_GBK" w:cs="Times New Roman"/>
          <w:color w:val="auto"/>
          <w:sz w:val="32"/>
          <w:szCs w:val="32"/>
          <w:shd w:val="clear" w:color="auto" w:fill="FFFFFF"/>
          <w:lang w:eastAsia="zh-CN"/>
        </w:rPr>
        <w:t>人员支出、职工养老保险、职业年金配套支出财政拨款实际收入和实际支出未达年初预算数</w:t>
      </w:r>
      <w:r>
        <w:rPr>
          <w:rFonts w:hint="default" w:ascii="Times New Roman" w:hAnsi="Times New Roman" w:eastAsia="方正仿宋_GBK" w:cs="Times New Roman"/>
          <w:color w:val="auto"/>
          <w:sz w:val="32"/>
          <w:szCs w:val="32"/>
          <w:shd w:val="clear" w:color="auto" w:fill="FFFFFF"/>
        </w:rPr>
        <w:t>。</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2.38</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4.26</w:t>
      </w:r>
      <w:r>
        <w:rPr>
          <w:rFonts w:hint="default" w:ascii="Times New Roman" w:hAnsi="Times New Roman" w:eastAsia="方正仿宋_GBK" w:cs="Times New Roman"/>
          <w:color w:val="auto"/>
          <w:sz w:val="32"/>
          <w:szCs w:val="32"/>
          <w:shd w:val="clear" w:color="auto" w:fill="FFFFFF"/>
        </w:rPr>
        <w:t>%，较年初预算数无增减，主要原因是</w:t>
      </w:r>
      <w:r>
        <w:rPr>
          <w:rFonts w:hint="eastAsia" w:ascii="Times New Roman" w:hAnsi="Times New Roman" w:eastAsia="方正仿宋_GBK" w:cs="Times New Roman"/>
          <w:color w:val="auto"/>
          <w:sz w:val="32"/>
          <w:szCs w:val="32"/>
          <w:shd w:val="clear" w:color="auto" w:fill="FFFFFF"/>
          <w:lang w:eastAsia="zh-CN"/>
        </w:rPr>
        <w:t>职工医疗保险配套财政拨款实际收入和实际支出未达年初预算数</w:t>
      </w:r>
      <w:r>
        <w:rPr>
          <w:rFonts w:hint="default" w:ascii="Times New Roman" w:hAnsi="Times New Roman" w:eastAsia="方正仿宋_GBK" w:cs="Times New Roman"/>
          <w:color w:val="auto"/>
          <w:sz w:val="32"/>
          <w:szCs w:val="32"/>
          <w:shd w:val="clear" w:color="auto" w:fill="FFFFFF"/>
        </w:rPr>
        <w:t>。</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）城乡社区支出</w:t>
      </w:r>
      <w:r>
        <w:rPr>
          <w:rFonts w:hint="default" w:ascii="Times New Roman" w:hAnsi="Times New Roman" w:eastAsia="方正仿宋_GBK" w:cs="Times New Roman"/>
          <w:color w:val="auto"/>
          <w:sz w:val="32"/>
          <w:szCs w:val="32"/>
        </w:rPr>
        <w:t>41.04</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73.55</w:t>
      </w:r>
      <w:r>
        <w:rPr>
          <w:rFonts w:hint="default" w:ascii="Times New Roman" w:hAnsi="Times New Roman" w:eastAsia="方正仿宋_GBK" w:cs="Times New Roman"/>
          <w:color w:val="auto"/>
          <w:sz w:val="32"/>
          <w:szCs w:val="32"/>
          <w:shd w:val="clear" w:color="auto" w:fill="FFFFFF"/>
        </w:rPr>
        <w:t>%，较年初预算数减少4.91万元，下降10.69%，主要原因是</w:t>
      </w:r>
      <w:r>
        <w:rPr>
          <w:rFonts w:hint="eastAsia" w:ascii="Times New Roman" w:hAnsi="Times New Roman" w:eastAsia="方正仿宋_GBK" w:cs="Times New Roman"/>
          <w:color w:val="auto"/>
          <w:sz w:val="32"/>
          <w:szCs w:val="32"/>
          <w:shd w:val="clear" w:color="auto" w:fill="FFFFFF"/>
          <w:lang w:eastAsia="zh-CN"/>
        </w:rPr>
        <w:t>职工工资、通讯费、体检费、教育经费、基本公用经费等财政拨款实际收入和实际支出未达年初预算数</w:t>
      </w:r>
      <w:r>
        <w:rPr>
          <w:rFonts w:hint="default" w:ascii="Times New Roman" w:hAnsi="Times New Roman" w:eastAsia="方正仿宋_GBK" w:cs="Times New Roman"/>
          <w:color w:val="auto"/>
          <w:sz w:val="32"/>
          <w:szCs w:val="32"/>
          <w:shd w:val="clear" w:color="auto" w:fill="FFFFFF"/>
        </w:rPr>
        <w:t>。</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住房保障支出3.36</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6.03</w:t>
      </w:r>
      <w:r>
        <w:rPr>
          <w:rFonts w:hint="default" w:ascii="Times New Roman" w:hAnsi="Times New Roman" w:eastAsia="方正仿宋_GBK" w:cs="Times New Roman"/>
          <w:color w:val="auto"/>
          <w:sz w:val="32"/>
          <w:szCs w:val="32"/>
          <w:shd w:val="clear" w:color="auto" w:fill="FFFFFF"/>
        </w:rPr>
        <w:t>%，较年初预算数减少1.19万元，下降26.15%，主要原因是</w:t>
      </w:r>
      <w:r>
        <w:rPr>
          <w:rFonts w:hint="eastAsia" w:ascii="Times New Roman" w:hAnsi="Times New Roman" w:eastAsia="方正仿宋_GBK" w:cs="Times New Roman"/>
          <w:color w:val="auto"/>
          <w:sz w:val="32"/>
          <w:szCs w:val="32"/>
          <w:shd w:val="clear" w:color="auto" w:fill="FFFFFF"/>
          <w:lang w:eastAsia="zh-CN"/>
        </w:rPr>
        <w:t>职工住房公积金财政拨款实际收入和实际支出未达年初预算数</w:t>
      </w:r>
      <w:r>
        <w:rPr>
          <w:rFonts w:hint="default" w:ascii="Times New Roman" w:hAnsi="Times New Roman" w:eastAsia="方正仿宋_GBK" w:cs="Times New Roman"/>
          <w:color w:val="auto"/>
          <w:sz w:val="32"/>
          <w:szCs w:val="32"/>
          <w:shd w:val="clear" w:color="auto" w:fill="FFFFFF"/>
        </w:rPr>
        <w:t>。</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（四）一般公共预算财政拨款基本支出决算情况说明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2023年度一般公共财政拨款基本支出</w:t>
      </w:r>
      <w:r>
        <w:rPr>
          <w:rFonts w:hint="default" w:ascii="Times New Roman" w:hAnsi="Times New Roman" w:eastAsia="方正仿宋_GBK" w:cs="Times New Roman"/>
          <w:color w:val="auto"/>
          <w:sz w:val="32"/>
          <w:szCs w:val="32"/>
        </w:rPr>
        <w:t>55.80</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50.66</w:t>
      </w:r>
      <w:r>
        <w:rPr>
          <w:rFonts w:hint="default" w:ascii="Times New Roman" w:hAnsi="Times New Roman" w:eastAsia="方正仿宋_GBK" w:cs="Times New Roman"/>
          <w:color w:val="auto"/>
          <w:sz w:val="32"/>
          <w:szCs w:val="32"/>
          <w:shd w:val="clear" w:color="auto" w:fill="FFFFFF"/>
        </w:rPr>
        <w:t>万元，较上年决算数增加50.66万元，增长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2022年度</w:t>
      </w:r>
      <w:r>
        <w:rPr>
          <w:rFonts w:hint="eastAsia" w:ascii="Times New Roman" w:hAnsi="Times New Roman" w:eastAsia="方正仿宋_GBK" w:cs="Times New Roman"/>
          <w:color w:val="auto"/>
          <w:sz w:val="32"/>
          <w:szCs w:val="32"/>
          <w:shd w:val="clear" w:color="auto" w:fill="FFFFFF"/>
          <w:lang w:val="en-US" w:eastAsia="zh-CN"/>
        </w:rPr>
        <w:t>石耶镇综合行政执法大队</w:t>
      </w:r>
      <w:r>
        <w:rPr>
          <w:rFonts w:hint="default" w:ascii="Times New Roman" w:hAnsi="Times New Roman" w:eastAsia="方正仿宋_GBK" w:cs="Times New Roman"/>
          <w:color w:val="auto"/>
          <w:sz w:val="32"/>
          <w:szCs w:val="32"/>
          <w:shd w:val="clear" w:color="auto" w:fill="FFFFFF"/>
          <w:lang w:val="en-US" w:eastAsia="zh-CN"/>
        </w:rPr>
        <w:t>与部门合并编报决算，按照市财政局要求，2023年度独立编报决算，故与上年对比增长</w:t>
      </w:r>
      <w:r>
        <w:rPr>
          <w:rFonts w:hint="eastAsia" w:ascii="Times New Roman" w:hAnsi="Times New Roman" w:eastAsia="方正仿宋_GBK" w:cs="Times New Roman"/>
          <w:color w:val="auto"/>
          <w:sz w:val="32"/>
          <w:szCs w:val="32"/>
          <w:shd w:val="clear" w:color="auto" w:fill="FFFFFF"/>
          <w:lang w:val="en-US" w:eastAsia="zh-CN"/>
        </w:rPr>
        <w:t>100.00%</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人员经费用途主要包括</w:t>
      </w:r>
      <w:r>
        <w:rPr>
          <w:rFonts w:hint="eastAsia" w:ascii="Times New Roman" w:hAnsi="Times New Roman" w:eastAsia="方正仿宋_GBK" w:cs="Times New Roman"/>
          <w:color w:val="auto"/>
          <w:sz w:val="32"/>
          <w:szCs w:val="32"/>
          <w:shd w:val="clear" w:color="auto" w:fill="FFFFFF"/>
          <w:lang w:eastAsia="zh-CN"/>
        </w:rPr>
        <w:t>离退休人员健康保障、在职职工每月配套支出等</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5.14</w:t>
      </w:r>
      <w:r>
        <w:rPr>
          <w:rFonts w:hint="default" w:ascii="Times New Roman" w:hAnsi="Times New Roman" w:eastAsia="方正仿宋_GBK" w:cs="Times New Roman"/>
          <w:color w:val="auto"/>
          <w:sz w:val="32"/>
          <w:szCs w:val="32"/>
          <w:shd w:val="clear" w:color="auto" w:fill="FFFFFF"/>
        </w:rPr>
        <w:t>万元，较上年决算数增加5.14万元，增长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lang w:val="en-US" w:eastAsia="zh-CN"/>
        </w:rPr>
        <w:t>022年度</w:t>
      </w:r>
      <w:r>
        <w:rPr>
          <w:rFonts w:hint="eastAsia" w:ascii="Times New Roman" w:hAnsi="Times New Roman" w:eastAsia="方正仿宋_GBK" w:cs="Times New Roman"/>
          <w:color w:val="auto"/>
          <w:sz w:val="32"/>
          <w:szCs w:val="32"/>
          <w:shd w:val="clear" w:color="auto" w:fill="FFFFFF"/>
          <w:lang w:val="en-US" w:eastAsia="zh-CN"/>
        </w:rPr>
        <w:t>石耶镇综合行政执法大队</w:t>
      </w:r>
      <w:r>
        <w:rPr>
          <w:rFonts w:hint="default" w:ascii="Times New Roman" w:hAnsi="Times New Roman" w:eastAsia="方正仿宋_GBK" w:cs="Times New Roman"/>
          <w:color w:val="auto"/>
          <w:sz w:val="32"/>
          <w:szCs w:val="32"/>
          <w:shd w:val="clear" w:color="auto" w:fill="FFFFFF"/>
          <w:lang w:val="en-US" w:eastAsia="zh-CN"/>
        </w:rPr>
        <w:t>与部门合并编报决算，按照市财政局要求，2023年度独立编报决算，故与上年对比增长</w:t>
      </w:r>
      <w:r>
        <w:rPr>
          <w:rFonts w:hint="eastAsia" w:ascii="Times New Roman" w:hAnsi="Times New Roman" w:eastAsia="方正仿宋_GBK" w:cs="Times New Roman"/>
          <w:color w:val="auto"/>
          <w:sz w:val="32"/>
          <w:szCs w:val="32"/>
          <w:shd w:val="clear" w:color="auto" w:fill="FFFFFF"/>
          <w:lang w:val="en-US" w:eastAsia="zh-CN"/>
        </w:rPr>
        <w:t>100.00%</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公用经费用途主要包括</w:t>
      </w:r>
      <w:r>
        <w:rPr>
          <w:rFonts w:hint="eastAsia" w:ascii="Times New Roman" w:hAnsi="Times New Roman" w:eastAsia="方正仿宋_GBK" w:cs="Times New Roman"/>
          <w:color w:val="auto"/>
          <w:sz w:val="32"/>
          <w:szCs w:val="32"/>
          <w:shd w:val="clear" w:color="auto" w:fill="FFFFFF"/>
          <w:lang w:eastAsia="zh-CN"/>
        </w:rPr>
        <w:t>职工差旅费报销、办公用品开支等</w:t>
      </w:r>
      <w:r>
        <w:rPr>
          <w:rFonts w:hint="default" w:ascii="Times New Roman" w:hAnsi="Times New Roman" w:eastAsia="方正仿宋_GBK" w:cs="Times New Roman"/>
          <w:color w:val="auto"/>
          <w:sz w:val="32"/>
          <w:szCs w:val="32"/>
          <w:shd w:val="clear" w:color="auto" w:fill="FFFFFF"/>
        </w:rPr>
        <w:t>。</w:t>
      </w:r>
    </w:p>
    <w:p>
      <w:pPr>
        <w:pStyle w:val="13"/>
        <w:keepNext w:val="0"/>
        <w:keepLines w:val="0"/>
        <w:pageBreakBefore w:val="0"/>
        <w:numPr>
          <w:ilvl w:val="0"/>
          <w:numId w:val="1"/>
        </w:numPr>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政府性基金预算收支决算情况说明</w:t>
      </w:r>
    </w:p>
    <w:p>
      <w:pPr>
        <w:pStyle w:val="13"/>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shd w:val="clear" w:color="auto" w:fill="FFFFFF"/>
          <w:lang w:val="en-US" w:eastAsia="zh-CN" w:bidi="ar-SA"/>
        </w:rPr>
      </w:pPr>
      <w:r>
        <w:rPr>
          <w:rFonts w:hint="eastAsia" w:ascii="Times New Roman" w:hAnsi="Times New Roman" w:eastAsia="方正仿宋_GBK" w:cs="Times New Roman"/>
          <w:color w:val="auto"/>
          <w:sz w:val="32"/>
          <w:szCs w:val="32"/>
          <w:shd w:val="clear" w:color="auto" w:fill="FFFFFF"/>
          <w:lang w:val="en-US" w:eastAsia="zh-CN" w:bidi="ar-SA"/>
        </w:rPr>
        <w:t>我单位2023年度无政府性基金预算财政拨款收支。</w:t>
      </w:r>
    </w:p>
    <w:p>
      <w:pPr>
        <w:pStyle w:val="13"/>
        <w:keepNext w:val="0"/>
        <w:keepLines w:val="0"/>
        <w:pageBreakBefore w:val="0"/>
        <w:numPr>
          <w:ilvl w:val="0"/>
          <w:numId w:val="1"/>
        </w:numPr>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国有资本经营预算财政拨款支出决算情况说明</w:t>
      </w:r>
    </w:p>
    <w:p>
      <w:pPr>
        <w:pStyle w:val="13"/>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shd w:val="clear" w:color="auto" w:fill="FFFFFF"/>
          <w:lang w:val="en-US" w:eastAsia="zh-CN" w:bidi="ar-SA"/>
        </w:rPr>
      </w:pPr>
      <w:r>
        <w:rPr>
          <w:rFonts w:hint="eastAsia" w:ascii="Times New Roman" w:hAnsi="Times New Roman" w:eastAsia="方正仿宋_GBK" w:cs="Times New Roman"/>
          <w:color w:val="auto"/>
          <w:sz w:val="32"/>
          <w:szCs w:val="32"/>
          <w:shd w:val="clear" w:color="auto" w:fill="FFFFFF"/>
          <w:lang w:val="en-US" w:eastAsia="zh-CN" w:bidi="ar-SA"/>
        </w:rPr>
        <w:t>我单位2023年度无国有资本经营预算财政拨款支出。</w:t>
      </w:r>
    </w:p>
    <w:p>
      <w:pPr>
        <w:pStyle w:val="8"/>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eastAsia"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lang w:eastAsia="zh-CN"/>
        </w:rPr>
        <w:t>“</w:t>
      </w:r>
      <w:r>
        <w:rPr>
          <w:rStyle w:val="10"/>
          <w:rFonts w:hint="eastAsia" w:ascii="方正黑体_GBK" w:hAnsi="方正黑体_GBK" w:eastAsia="方正黑体_GBK" w:cs="方正黑体_GBK"/>
          <w:b w:val="0"/>
          <w:bCs/>
          <w:color w:val="auto"/>
          <w:sz w:val="32"/>
          <w:szCs w:val="32"/>
          <w:shd w:val="clear" w:color="auto" w:fill="FFFFFF"/>
        </w:rPr>
        <w:t>三公</w:t>
      </w:r>
      <w:r>
        <w:rPr>
          <w:rStyle w:val="10"/>
          <w:rFonts w:hint="eastAsia" w:ascii="方正黑体_GBK" w:hAnsi="方正黑体_GBK" w:eastAsia="方正黑体_GBK" w:cs="方正黑体_GBK"/>
          <w:b w:val="0"/>
          <w:bCs/>
          <w:color w:val="auto"/>
          <w:sz w:val="32"/>
          <w:szCs w:val="32"/>
          <w:shd w:val="clear" w:color="auto" w:fill="FFFFFF"/>
          <w:lang w:eastAsia="zh-CN"/>
        </w:rPr>
        <w:t>”</w:t>
      </w:r>
      <w:r>
        <w:rPr>
          <w:rStyle w:val="10"/>
          <w:rFonts w:hint="eastAsia" w:ascii="方正黑体_GBK" w:hAnsi="方正黑体_GBK" w:eastAsia="方正黑体_GBK" w:cs="方正黑体_GBK"/>
          <w:b w:val="0"/>
          <w:bCs/>
          <w:color w:val="auto"/>
          <w:sz w:val="32"/>
          <w:szCs w:val="32"/>
          <w:shd w:val="clear" w:color="auto" w:fill="FFFFFF"/>
        </w:rPr>
        <w:t>经费情况说明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方正楷体_GBK" w:hAnsi="方正楷体_GBK" w:eastAsia="方正楷体_GBK" w:cs="方正楷体_GBK"/>
          <w:color w:val="auto"/>
          <w:sz w:val="32"/>
          <w:szCs w:val="32"/>
          <w:highlight w:val="none"/>
          <w:shd w:val="clear" w:color="auto" w:fill="FFFFFF"/>
          <w:lang w:eastAsia="zh-CN"/>
        </w:rPr>
      </w:pPr>
      <w:r>
        <w:rPr>
          <w:rFonts w:hint="eastAsia" w:ascii="方正楷体_GBK" w:hAnsi="方正楷体_GBK" w:eastAsia="方正楷体_GBK" w:cs="方正楷体_GBK"/>
          <w:color w:val="auto"/>
          <w:sz w:val="32"/>
          <w:szCs w:val="32"/>
          <w:highlight w:val="none"/>
          <w:shd w:val="clear" w:color="auto" w:fill="FFFFFF"/>
          <w:lang w:eastAsia="zh-CN"/>
        </w:rPr>
        <w:t>（一）“三公”经费支出总体情况说明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highlight w:val="none"/>
          <w:shd w:val="clear" w:color="auto" w:fill="FFFFFF"/>
          <w:lang w:eastAsia="zh-CN"/>
        </w:rPr>
      </w:pPr>
      <w:r>
        <w:rPr>
          <w:rFonts w:hint="eastAsia" w:ascii="Times New Roman" w:hAnsi="Times New Roman" w:eastAsia="方正仿宋_GBK" w:cs="Times New Roman"/>
          <w:color w:val="auto"/>
          <w:sz w:val="32"/>
          <w:szCs w:val="32"/>
          <w:highlight w:val="none"/>
          <w:shd w:val="clear" w:color="auto" w:fill="FFFFFF"/>
          <w:lang w:eastAsia="zh-CN"/>
        </w:rPr>
        <w:t>2023年度“三公”经费支出共计0.00万元，较年初预算数无增减，主要原因是无相关支出。较上年支出数无增减，主要原因是无相关支出。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方正楷体_GBK" w:hAnsi="方正楷体_GBK" w:eastAsia="方正楷体_GBK" w:cs="方正楷体_GBK"/>
          <w:color w:val="auto"/>
          <w:sz w:val="32"/>
          <w:szCs w:val="32"/>
          <w:highlight w:val="none"/>
          <w:shd w:val="clear" w:color="auto" w:fill="FFFFFF"/>
          <w:lang w:eastAsia="zh-CN"/>
        </w:rPr>
      </w:pPr>
      <w:r>
        <w:rPr>
          <w:rFonts w:hint="eastAsia" w:ascii="方正楷体_GBK" w:hAnsi="方正楷体_GBK" w:eastAsia="方正楷体_GBK" w:cs="方正楷体_GBK"/>
          <w:color w:val="auto"/>
          <w:sz w:val="32"/>
          <w:szCs w:val="32"/>
          <w:highlight w:val="none"/>
          <w:shd w:val="clear" w:color="auto" w:fill="FFFFFF"/>
          <w:lang w:eastAsia="zh-CN"/>
        </w:rPr>
        <w:t>（二）“三公”经费分项支出情况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highlight w:val="none"/>
          <w:shd w:val="clear" w:color="auto" w:fill="FFFFFF"/>
          <w:lang w:eastAsia="zh-CN"/>
        </w:rPr>
      </w:pPr>
      <w:r>
        <w:rPr>
          <w:rFonts w:hint="eastAsia" w:ascii="Times New Roman" w:hAnsi="Times New Roman" w:eastAsia="方正仿宋_GBK" w:cs="Times New Roman"/>
          <w:color w:val="auto"/>
          <w:sz w:val="32"/>
          <w:szCs w:val="32"/>
          <w:highlight w:val="none"/>
          <w:shd w:val="clear" w:color="auto" w:fill="FFFFFF"/>
          <w:lang w:eastAsia="zh-CN"/>
        </w:rPr>
        <w:t>2023年度本单位因公出国（境）费用0.00万元，主要是用于单位工作人员因公务出国（境）期间产生的差旅费、伙食补助费等。费用支出较年初预算数无增减，主要原因是无相关支出。较上年支出数无增减，主要原因是无相关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highlight w:val="none"/>
          <w:shd w:val="clear" w:color="auto" w:fill="FFFFFF"/>
          <w:lang w:eastAsia="zh-CN"/>
        </w:rPr>
      </w:pPr>
      <w:r>
        <w:rPr>
          <w:rFonts w:hint="eastAsia" w:ascii="Times New Roman" w:hAnsi="Times New Roman" w:eastAsia="方正仿宋_GBK" w:cs="Times New Roman"/>
          <w:color w:val="auto"/>
          <w:sz w:val="32"/>
          <w:szCs w:val="32"/>
          <w:highlight w:val="none"/>
          <w:shd w:val="clear" w:color="auto" w:fill="FFFFFF"/>
          <w:lang w:eastAsia="zh-CN"/>
        </w:rPr>
        <w:t> 公务车购置费0.00万元，主要用于单位用车的购置费及租用费、燃料费、维修费等。费用支出较年初预算数无增减，主要原因是无相关支出。较上年支出数无增减，主要原因是无相关支出。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highlight w:val="none"/>
          <w:shd w:val="clear" w:color="auto" w:fill="FFFFFF"/>
          <w:lang w:eastAsia="zh-CN"/>
        </w:rPr>
      </w:pPr>
      <w:r>
        <w:rPr>
          <w:rFonts w:hint="eastAsia" w:ascii="Times New Roman" w:hAnsi="Times New Roman" w:eastAsia="方正仿宋_GBK" w:cs="Times New Roman"/>
          <w:color w:val="auto"/>
          <w:sz w:val="32"/>
          <w:szCs w:val="32"/>
          <w:highlight w:val="none"/>
          <w:shd w:val="clear" w:color="auto" w:fill="FFFFFF"/>
          <w:lang w:eastAsia="zh-CN"/>
        </w:rPr>
        <w:t> 公务车运行维护费0.00万元，主要用于单位公务用车洗车、加油、维修、保险费等。费用支出较年初预算数无增减，主要原因是无相关支出。较上年支出数无增减，主要原因是无相关支出。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highlight w:val="none"/>
          <w:shd w:val="clear" w:color="auto" w:fill="FFFFFF"/>
          <w:lang w:eastAsia="zh-CN"/>
        </w:rPr>
      </w:pPr>
      <w:r>
        <w:rPr>
          <w:rFonts w:hint="eastAsia" w:ascii="Times New Roman" w:hAnsi="Times New Roman" w:eastAsia="方正仿宋_GBK" w:cs="Times New Roman"/>
          <w:color w:val="auto"/>
          <w:sz w:val="32"/>
          <w:szCs w:val="32"/>
          <w:highlight w:val="none"/>
          <w:shd w:val="clear" w:color="auto" w:fill="FFFFFF"/>
          <w:lang w:eastAsia="zh-CN"/>
        </w:rPr>
        <w:t> 公务接待费0.00万元，主要用于接待单位为执行公务和开展业务需要而进行的合理接待支出。费用支出较年初预算数无增减，主要原因是无相关支出。较上年支出数无增减，主要原因是无相关支出。</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Fonts w:hint="eastAsia" w:ascii="方正楷体_GBK" w:hAnsi="方正楷体_GBK" w:eastAsia="方正楷体_GBK" w:cs="方正楷体_GBK"/>
          <w:color w:val="auto"/>
          <w:sz w:val="32"/>
          <w:szCs w:val="32"/>
          <w:highlight w:val="none"/>
          <w:shd w:val="clear" w:color="auto" w:fill="FFFFFF"/>
          <w:lang w:eastAsia="zh-CN"/>
        </w:rPr>
      </w:pPr>
      <w:r>
        <w:rPr>
          <w:rFonts w:hint="eastAsia" w:ascii="方正楷体_GBK" w:hAnsi="方正楷体_GBK" w:eastAsia="方正楷体_GBK" w:cs="方正楷体_GBK"/>
          <w:color w:val="auto"/>
          <w:sz w:val="32"/>
          <w:szCs w:val="32"/>
          <w:highlight w:val="none"/>
          <w:shd w:val="clear" w:color="auto" w:fill="FFFFFF"/>
          <w:lang w:eastAsia="zh-CN"/>
        </w:rPr>
        <w:t>（三）“三公”经费实物量情况</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Fonts w:hint="eastAsia" w:ascii="Times New Roman" w:hAnsi="Times New Roman" w:eastAsia="方正仿宋_GBK" w:cs="Times New Roman"/>
          <w:color w:val="auto"/>
          <w:sz w:val="32"/>
          <w:szCs w:val="32"/>
          <w:highlight w:val="none"/>
          <w:shd w:val="clear" w:color="auto" w:fill="FFFFFF"/>
          <w:lang w:eastAsia="zh-CN"/>
        </w:rPr>
      </w:pPr>
      <w:r>
        <w:rPr>
          <w:rFonts w:hint="eastAsia" w:ascii="Times New Roman" w:hAnsi="Times New Roman" w:eastAsia="方正仿宋_GBK" w:cs="Times New Roman"/>
          <w:color w:val="auto"/>
          <w:sz w:val="32"/>
          <w:szCs w:val="32"/>
          <w:highlight w:val="none"/>
          <w:shd w:val="clear" w:color="auto" w:fill="FFFFFF"/>
          <w:lang w:eastAsia="zh-CN"/>
        </w:rPr>
        <w:t>  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eastAsia"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rPr>
        <w:t>四、其他需要说明的事项</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（一）财政拨款会议费和培训费情况说明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本年度会议费支出0.00万元，较上年决算数无增减，主要原因是未产生相关支出。本年度培训费支出</w:t>
      </w:r>
      <w:r>
        <w:rPr>
          <w:rFonts w:hint="default" w:ascii="Times New Roman" w:hAnsi="Times New Roman" w:eastAsia="方正仿宋_GBK" w:cs="Times New Roman"/>
          <w:color w:val="auto"/>
          <w:sz w:val="32"/>
          <w:szCs w:val="32"/>
        </w:rPr>
        <w:t>0.25</w:t>
      </w:r>
      <w:r>
        <w:rPr>
          <w:rFonts w:hint="default" w:ascii="Times New Roman" w:hAnsi="Times New Roman" w:eastAsia="方正仿宋_GBK" w:cs="Times New Roman"/>
          <w:color w:val="auto"/>
          <w:sz w:val="32"/>
          <w:szCs w:val="32"/>
          <w:shd w:val="clear" w:color="auto" w:fill="FFFFFF"/>
        </w:rPr>
        <w:t>万元，较上年决算数增加0.25万元，增长</w:t>
      </w:r>
      <w:r>
        <w:rPr>
          <w:rFonts w:hint="eastAsia" w:ascii="Times New Roman" w:hAnsi="Times New Roman" w:eastAsia="方正仿宋_GBK" w:cs="Times New Roman"/>
          <w:color w:val="auto"/>
          <w:sz w:val="32"/>
          <w:szCs w:val="32"/>
          <w:shd w:val="clear" w:color="auto" w:fill="FFFFFF"/>
          <w:lang w:eastAsia="zh-CN"/>
        </w:rPr>
        <w:t>100.00%</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lang w:val="en-US" w:eastAsia="zh-CN"/>
        </w:rPr>
        <w:t>022年度</w:t>
      </w:r>
      <w:r>
        <w:rPr>
          <w:rFonts w:hint="eastAsia" w:ascii="Times New Roman" w:hAnsi="Times New Roman" w:eastAsia="方正仿宋_GBK" w:cs="Times New Roman"/>
          <w:color w:val="auto"/>
          <w:sz w:val="32"/>
          <w:szCs w:val="32"/>
          <w:shd w:val="clear" w:color="auto" w:fill="FFFFFF"/>
          <w:lang w:val="en-US" w:eastAsia="zh-CN"/>
        </w:rPr>
        <w:t>石耶镇综合行政执法大队</w:t>
      </w:r>
      <w:r>
        <w:rPr>
          <w:rFonts w:hint="default" w:ascii="Times New Roman" w:hAnsi="Times New Roman" w:eastAsia="方正仿宋_GBK" w:cs="Times New Roman"/>
          <w:color w:val="auto"/>
          <w:sz w:val="32"/>
          <w:szCs w:val="32"/>
          <w:shd w:val="clear" w:color="auto" w:fill="FFFFFF"/>
          <w:lang w:val="en-US" w:eastAsia="zh-CN"/>
        </w:rPr>
        <w:t>与部门合并编报决算，按照市财政局要求，2023年度独立编报决算，故与上年对比增长</w:t>
      </w:r>
      <w:r>
        <w:rPr>
          <w:rFonts w:hint="eastAsia" w:ascii="Times New Roman" w:hAnsi="Times New Roman" w:eastAsia="方正仿宋_GBK" w:cs="Times New Roman"/>
          <w:color w:val="auto"/>
          <w:sz w:val="32"/>
          <w:szCs w:val="32"/>
          <w:shd w:val="clear" w:color="auto" w:fill="FFFFFF"/>
          <w:lang w:val="en-US" w:eastAsia="zh-CN"/>
        </w:rPr>
        <w:t>100.00%</w:t>
      </w:r>
      <w:r>
        <w:rPr>
          <w:rFonts w:hint="default" w:ascii="Times New Roman" w:hAnsi="Times New Roman" w:eastAsia="方正仿宋_GBK" w:cs="Times New Roman"/>
          <w:color w:val="auto"/>
          <w:sz w:val="32"/>
          <w:szCs w:val="32"/>
          <w:shd w:val="clear" w:color="auto" w:fill="FFFFFF"/>
          <w:lang w:val="en-US" w:eastAsia="zh-CN"/>
        </w:rPr>
        <w:t>。</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（二）机关运行经费情况说明</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2023年度本单位机关运行经费支出0.00万元，机关运行经费主要用于开支机关所产生的水费、电费、生活费等。机关运行经费较上年支出数无增减，主要原因是按照部门决算列报口径，我单位不在机关运行经费统计范围之内。</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（三）国有资产占用情况说明</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（四）政府采购支出情况说明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w:t>
      </w:r>
      <w:r>
        <w:rPr>
          <w:rFonts w:hint="eastAsia" w:ascii="Times New Roman" w:hAnsi="Times New Roman" w:eastAsia="方正仿宋_GBK" w:cs="Times New Roman"/>
          <w:color w:val="auto"/>
          <w:sz w:val="32"/>
          <w:szCs w:val="32"/>
          <w:shd w:val="clear" w:color="auto" w:fill="FFFFFF"/>
          <w:lang w:eastAsia="zh-CN"/>
        </w:rPr>
        <w:t>我单位</w:t>
      </w:r>
      <w:r>
        <w:rPr>
          <w:rFonts w:hint="default" w:ascii="Times New Roman" w:hAnsi="Times New Roman" w:eastAsia="方正仿宋_GBK" w:cs="Times New Roman"/>
          <w:color w:val="auto"/>
          <w:sz w:val="32"/>
          <w:szCs w:val="32"/>
          <w:shd w:val="clear" w:color="auto" w:fill="FFFFFF"/>
        </w:rPr>
        <w:t>未发生政府采购事项，无相关经费支出。</w:t>
      </w:r>
    </w:p>
    <w:p>
      <w:pPr>
        <w:pStyle w:val="8"/>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eastAsia"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rPr>
        <w:t>预算绩效管理情况说明</w:t>
      </w:r>
    </w:p>
    <w:p>
      <w:pPr>
        <w:pStyle w:val="13"/>
        <w:keepNext w:val="0"/>
        <w:keepLines w:val="0"/>
        <w:pageBreakBefore w:val="0"/>
        <w:widowControl/>
        <w:numPr>
          <w:ilvl w:val="0"/>
          <w:numId w:val="4"/>
        </w:numPr>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单位自评情况</w:t>
      </w:r>
    </w:p>
    <w:p>
      <w:pPr>
        <w:pStyle w:val="13"/>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Times New Roman" w:hAnsi="Times New Roman" w:eastAsia="方正仿宋" w:cs="Times New Roman"/>
          <w:i w:val="0"/>
          <w:caps w:val="0"/>
          <w:color w:val="333333"/>
          <w:spacing w:val="0"/>
          <w:sz w:val="32"/>
          <w:szCs w:val="32"/>
          <w:shd w:val="clear" w:fill="FFFFFF"/>
          <w:lang w:val="en-US" w:eastAsia="zh-CN" w:bidi="ar-SA"/>
        </w:rPr>
      </w:pPr>
      <w:r>
        <w:rPr>
          <w:rFonts w:hint="eastAsia" w:ascii="Times New Roman" w:hAnsi="Times New Roman" w:eastAsia="方正仿宋" w:cs="Times New Roman"/>
          <w:i w:val="0"/>
          <w:caps w:val="0"/>
          <w:color w:val="333333"/>
          <w:spacing w:val="0"/>
          <w:sz w:val="32"/>
          <w:szCs w:val="32"/>
          <w:shd w:val="clear" w:fill="FFFFFF"/>
          <w:lang w:val="en-US" w:eastAsia="zh-CN" w:bidi="ar-SA"/>
        </w:rPr>
        <w:t>我单位无项目支出，未开展项目绩效评价。</w:t>
      </w:r>
    </w:p>
    <w:p>
      <w:pPr>
        <w:pStyle w:val="13"/>
        <w:keepNext w:val="0"/>
        <w:keepLines w:val="0"/>
        <w:pageBreakBefore w:val="0"/>
        <w:numPr>
          <w:ilvl w:val="0"/>
          <w:numId w:val="5"/>
        </w:numPr>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单位绩效评价情况</w:t>
      </w:r>
    </w:p>
    <w:p>
      <w:pPr>
        <w:pStyle w:val="13"/>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bidi="ar-SA"/>
        </w:rPr>
      </w:pPr>
      <w:r>
        <w:rPr>
          <w:rFonts w:hint="eastAsia" w:ascii="Times New Roman" w:hAnsi="Times New Roman" w:eastAsia="方正仿宋" w:cs="Times New Roman"/>
          <w:i w:val="0"/>
          <w:caps w:val="0"/>
          <w:color w:val="333333"/>
          <w:spacing w:val="0"/>
          <w:sz w:val="32"/>
          <w:szCs w:val="32"/>
          <w:shd w:val="clear" w:fill="FFFFFF"/>
          <w:lang w:val="en-US" w:eastAsia="zh-CN" w:bidi="ar-SA"/>
        </w:rPr>
        <w:t>我单位</w:t>
      </w:r>
      <w:r>
        <w:rPr>
          <w:rFonts w:hint="default" w:ascii="Times New Roman" w:hAnsi="Times New Roman" w:eastAsia="方正仿宋" w:cs="Times New Roman"/>
          <w:i w:val="0"/>
          <w:caps w:val="0"/>
          <w:color w:val="333333"/>
          <w:spacing w:val="0"/>
          <w:sz w:val="32"/>
          <w:szCs w:val="32"/>
          <w:shd w:val="clear" w:fill="FFFFFF"/>
          <w:lang w:val="en-US" w:eastAsia="zh-CN" w:bidi="ar-SA"/>
        </w:rPr>
        <w:t>未组织开展绩效评价。</w:t>
      </w:r>
    </w:p>
    <w:p>
      <w:pPr>
        <w:pStyle w:val="13"/>
        <w:keepNext w:val="0"/>
        <w:keepLines w:val="0"/>
        <w:pageBreakBefore w:val="0"/>
        <w:numPr>
          <w:ilvl w:val="0"/>
          <w:numId w:val="5"/>
        </w:numPr>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财政绩效评价情况</w:t>
      </w:r>
    </w:p>
    <w:p>
      <w:pPr>
        <w:pStyle w:val="13"/>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bidi="ar-SA"/>
        </w:rPr>
      </w:pPr>
      <w:r>
        <w:rPr>
          <w:rFonts w:hint="eastAsia" w:ascii="Times New Roman" w:hAnsi="Times New Roman" w:eastAsia="方正仿宋" w:cs="Times New Roman"/>
          <w:i w:val="0"/>
          <w:caps w:val="0"/>
          <w:color w:val="333333"/>
          <w:spacing w:val="0"/>
          <w:sz w:val="32"/>
          <w:szCs w:val="32"/>
          <w:shd w:val="clear" w:fill="FFFFFF"/>
          <w:lang w:val="en-US" w:eastAsia="zh-CN" w:bidi="ar-SA"/>
        </w:rPr>
        <w:t>县</w:t>
      </w:r>
      <w:r>
        <w:rPr>
          <w:rFonts w:hint="default" w:ascii="Times New Roman" w:hAnsi="Times New Roman" w:eastAsia="方正仿宋" w:cs="Times New Roman"/>
          <w:i w:val="0"/>
          <w:caps w:val="0"/>
          <w:color w:val="333333"/>
          <w:spacing w:val="0"/>
          <w:sz w:val="32"/>
          <w:szCs w:val="32"/>
          <w:shd w:val="clear" w:fill="FFFFFF"/>
          <w:lang w:val="en-US" w:eastAsia="zh-CN" w:bidi="ar-SA"/>
        </w:rPr>
        <w:t>财政局未委托第三方对</w:t>
      </w:r>
      <w:r>
        <w:rPr>
          <w:rFonts w:hint="eastAsia" w:ascii="Times New Roman" w:hAnsi="Times New Roman" w:eastAsia="方正仿宋" w:cs="Times New Roman"/>
          <w:i w:val="0"/>
          <w:caps w:val="0"/>
          <w:color w:val="333333"/>
          <w:spacing w:val="0"/>
          <w:sz w:val="32"/>
          <w:szCs w:val="32"/>
          <w:shd w:val="clear" w:fill="FFFFFF"/>
          <w:lang w:val="en-US" w:eastAsia="zh-CN" w:bidi="ar-SA"/>
        </w:rPr>
        <w:t>我单位</w:t>
      </w:r>
      <w:r>
        <w:rPr>
          <w:rFonts w:hint="default" w:ascii="Times New Roman" w:hAnsi="Times New Roman" w:eastAsia="方正仿宋" w:cs="Times New Roman"/>
          <w:i w:val="0"/>
          <w:caps w:val="0"/>
          <w:color w:val="333333"/>
          <w:spacing w:val="0"/>
          <w:sz w:val="32"/>
          <w:szCs w:val="32"/>
          <w:shd w:val="clear" w:fill="FFFFFF"/>
          <w:lang w:val="en-US" w:eastAsia="zh-CN" w:bidi="ar-SA"/>
        </w:rPr>
        <w:t>开展绩效评价。</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六、专业名词解释</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b w:val="0"/>
          <w:bCs w:val="0"/>
          <w:color w:val="auto"/>
          <w:sz w:val="32"/>
          <w:szCs w:val="32"/>
          <w:shd w:val="clear" w:color="auto" w:fill="FFFFFF"/>
        </w:rPr>
        <w:t>（一）财政拨款收入：</w:t>
      </w:r>
      <w:r>
        <w:rPr>
          <w:rFonts w:hint="default" w:ascii="Times New Roman" w:hAnsi="Times New Roman" w:eastAsia="方正仿宋_GBK" w:cs="Times New Roman"/>
          <w:color w:val="auto"/>
          <w:sz w:val="32"/>
          <w:szCs w:val="32"/>
          <w:shd w:val="clear" w:color="auto" w:fill="FFFFFF"/>
        </w:rPr>
        <w:t>指本年度从本级财政部门取得的财政拨款，包括一般公共预算财政拨款和政府性基金预算财政拨款。</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 （二）事业收入：</w:t>
      </w:r>
      <w:r>
        <w:rPr>
          <w:rFonts w:hint="default" w:ascii="Times New Roman" w:hAnsi="Times New Roman" w:eastAsia="方正仿宋_GBK" w:cs="Times New Roman"/>
          <w:color w:val="auto"/>
          <w:sz w:val="32"/>
          <w:szCs w:val="32"/>
          <w:shd w:val="clear" w:color="auto" w:fill="FFFFFF"/>
        </w:rPr>
        <w:t>指事业单位开展专业业务活动及其辅助活动取得的现金流入；事业单位收到的财政专户实际核拨的教育收费等资金在此反映。</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 （三）经营收入：</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指事业单位在专业业务活动及其辅助活动之外开展非独立核算经营活动取得的现金流入。</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 （四）其他收入：</w:t>
      </w:r>
      <w:r>
        <w:rPr>
          <w:rFonts w:hint="default" w:ascii="Times New Roman" w:hAnsi="Times New Roman" w:eastAsia="方正仿宋_GBK" w:cs="Times New Roman"/>
          <w:color w:val="auto"/>
          <w:sz w:val="32"/>
          <w:szCs w:val="32"/>
          <w:shd w:val="clear" w:color="auto" w:fill="FFFFFF"/>
        </w:rPr>
        <w:t>指单位取得的除</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财政拨款收入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事业收入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经营收入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（五）使用非财政拨款结余：</w:t>
      </w:r>
      <w:r>
        <w:rPr>
          <w:rFonts w:hint="default" w:ascii="Times New Roman" w:hAnsi="Times New Roman" w:eastAsia="方正仿宋_GBK" w:cs="Times New Roman"/>
          <w:color w:val="auto"/>
          <w:sz w:val="32"/>
          <w:szCs w:val="32"/>
          <w:shd w:val="clear" w:color="auto" w:fill="FFFFFF"/>
        </w:rPr>
        <w:t>指单位在当年的</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财政拨款收入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事业收入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经营收入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其他收入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等不足以安排当年支出的情况下，使用以前年度积累的非财政拨款结余弥补本年度收支缺口的资金。</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 （六）年初结转和结余：</w:t>
      </w:r>
      <w:r>
        <w:rPr>
          <w:rFonts w:hint="default" w:ascii="Times New Roman" w:hAnsi="Times New Roman" w:eastAsia="方正仿宋_GBK" w:cs="Times New Roman"/>
          <w:color w:val="auto"/>
          <w:sz w:val="32"/>
          <w:szCs w:val="32"/>
          <w:shd w:val="clear" w:color="auto" w:fill="FFFFFF"/>
        </w:rPr>
        <w:t>指单位上年结转本年使用的基本支出结转、项目支出结转和结余、经营结余。</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 （七）结余分配：</w:t>
      </w:r>
      <w:r>
        <w:rPr>
          <w:rFonts w:hint="default" w:ascii="Times New Roman" w:hAnsi="Times New Roman" w:eastAsia="方正仿宋_GBK" w:cs="Times New Roman"/>
          <w:color w:val="auto"/>
          <w:sz w:val="32"/>
          <w:szCs w:val="32"/>
          <w:shd w:val="clear" w:color="auto" w:fill="FFFFFF"/>
        </w:rPr>
        <w:t>指单位按照国家有关规定，缴纳所得税、提取专用基金、转入非财政拨款结余等当年结余的分配情况。</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 （八）年末结转和结余：</w:t>
      </w:r>
      <w:r>
        <w:rPr>
          <w:rFonts w:hint="default" w:ascii="Times New Roman" w:hAnsi="Times New Roman" w:eastAsia="方正仿宋_GBK" w:cs="Times New Roman"/>
          <w:color w:val="auto"/>
          <w:sz w:val="32"/>
          <w:szCs w:val="32"/>
          <w:shd w:val="clear" w:color="auto" w:fill="FFFFFF"/>
        </w:rPr>
        <w:t>指单位结转下年的基本支出结转、项目支出结转和结余、经营结余。</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 （九）基本支出：</w:t>
      </w:r>
      <w:r>
        <w:rPr>
          <w:rFonts w:hint="default" w:ascii="Times New Roman" w:hAnsi="Times New Roman" w:eastAsia="方正仿宋_GBK" w:cs="Times New Roman"/>
          <w:color w:val="auto"/>
          <w:sz w:val="32"/>
          <w:szCs w:val="32"/>
          <w:shd w:val="clear" w:color="auto" w:fill="FFFFFF"/>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工资福利支出</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和</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对个人和家庭的补助</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；公用经费指政府收支分类经济科目中除</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工资福利支出</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和</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对个人和家庭的补助</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外的其他支出。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 （十）项目支出：</w:t>
      </w:r>
      <w:r>
        <w:rPr>
          <w:rFonts w:hint="default" w:ascii="Times New Roman" w:hAnsi="Times New Roman" w:eastAsia="方正仿宋_GBK" w:cs="Times New Roman"/>
          <w:color w:val="auto"/>
          <w:sz w:val="32"/>
          <w:szCs w:val="32"/>
          <w:shd w:val="clear" w:color="auto" w:fill="FFFFFF"/>
        </w:rPr>
        <w:t>指在基本支出之外为完成特定行政任务和事业发展目标所发生的支出。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 （十一）经营支出：</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指事业单位在专业业务活动及其辅助活动之外开展非独立核算经营活动发生的支出。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 （十二）</w:t>
      </w:r>
      <w:r>
        <w:rPr>
          <w:rFonts w:hint="eastAsia" w:ascii="方正楷体_GBK" w:hAnsi="方正楷体_GBK" w:eastAsia="方正楷体_GBK" w:cs="方正楷体_GBK"/>
          <w:b w:val="0"/>
          <w:bCs w:val="0"/>
          <w:color w:val="auto"/>
          <w:sz w:val="32"/>
          <w:szCs w:val="32"/>
          <w:shd w:val="clear" w:color="auto" w:fill="FFFFFF"/>
          <w:lang w:eastAsia="zh-CN"/>
        </w:rPr>
        <w:t>“</w:t>
      </w:r>
      <w:r>
        <w:rPr>
          <w:rFonts w:hint="default" w:ascii="方正楷体_GBK" w:hAnsi="方正楷体_GBK" w:eastAsia="方正楷体_GBK" w:cs="方正楷体_GBK"/>
          <w:b w:val="0"/>
          <w:bCs w:val="0"/>
          <w:color w:val="auto"/>
          <w:sz w:val="32"/>
          <w:szCs w:val="32"/>
          <w:shd w:val="clear" w:color="auto" w:fill="FFFFFF"/>
        </w:rPr>
        <w:t>三公</w:t>
      </w:r>
      <w:r>
        <w:rPr>
          <w:rFonts w:hint="eastAsia" w:ascii="方正楷体_GBK" w:hAnsi="方正楷体_GBK" w:eastAsia="方正楷体_GBK" w:cs="方正楷体_GBK"/>
          <w:b w:val="0"/>
          <w:bCs w:val="0"/>
          <w:color w:val="auto"/>
          <w:sz w:val="32"/>
          <w:szCs w:val="32"/>
          <w:shd w:val="clear" w:color="auto" w:fill="FFFFFF"/>
          <w:lang w:eastAsia="zh-CN"/>
        </w:rPr>
        <w:t>”</w:t>
      </w:r>
      <w:r>
        <w:rPr>
          <w:rFonts w:hint="default" w:ascii="方正楷体_GBK" w:hAnsi="方正楷体_GBK" w:eastAsia="方正楷体_GBK" w:cs="方正楷体_GBK"/>
          <w:b w:val="0"/>
          <w:bCs w:val="0"/>
          <w:color w:val="auto"/>
          <w:sz w:val="32"/>
          <w:szCs w:val="32"/>
          <w:shd w:val="clear" w:color="auto" w:fill="FFFFFF"/>
        </w:rPr>
        <w:t>经费：</w:t>
      </w:r>
      <w:r>
        <w:rPr>
          <w:rFonts w:hint="default" w:ascii="Times New Roman" w:hAnsi="Times New Roman" w:eastAsia="方正仿宋_GBK" w:cs="Times New Roman"/>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 （十三）机关运行经费：</w:t>
      </w:r>
      <w:r>
        <w:rPr>
          <w:rFonts w:hint="default" w:ascii="Times New Roman" w:hAnsi="Times New Roman" w:eastAsia="方正仿宋_GBK" w:cs="Times New Roman"/>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 （十四）工资福利支出（支出经济分类科目类级）：</w:t>
      </w:r>
      <w:r>
        <w:rPr>
          <w:rFonts w:hint="default" w:ascii="Times New Roman" w:hAnsi="Times New Roman" w:eastAsia="方正仿宋_GBK" w:cs="Times New Roman"/>
          <w:color w:val="auto"/>
          <w:sz w:val="32"/>
          <w:szCs w:val="32"/>
          <w:shd w:val="clear" w:color="auto" w:fill="FFFFFF"/>
        </w:rPr>
        <w:t>反映单位开支的在职职工和编制外长期聘用人员的各类劳动报酬，以及为上述人员缴纳的各项社会保险费等。</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 （十五）商品和服务支出（支出经济分类科目类级）：</w:t>
      </w:r>
      <w:r>
        <w:rPr>
          <w:rFonts w:hint="default" w:ascii="Times New Roman" w:hAnsi="Times New Roman" w:eastAsia="方正仿宋_GBK" w:cs="Times New Roman"/>
          <w:color w:val="auto"/>
          <w:sz w:val="32"/>
          <w:szCs w:val="32"/>
          <w:shd w:val="clear" w:color="auto" w:fill="FFFFFF"/>
        </w:rPr>
        <w:t>反映单位购买商品和服务的支出（不包括用于购置固定资产的支出、战略性和应急储备支出）。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 （十六）对个人和家庭的补助（支出经济分类科目类级）：</w:t>
      </w:r>
      <w:r>
        <w:rPr>
          <w:rFonts w:hint="default" w:ascii="Times New Roman" w:hAnsi="Times New Roman" w:eastAsia="方正仿宋_GBK" w:cs="Times New Roman"/>
          <w:color w:val="auto"/>
          <w:sz w:val="32"/>
          <w:szCs w:val="32"/>
          <w:shd w:val="clear" w:color="auto" w:fill="FFFFFF"/>
        </w:rPr>
        <w:t>反映用于对个人和家庭的补助支出。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shd w:val="clear" w:color="auto" w:fill="FFFFFF"/>
        </w:rPr>
        <w:t> （十七）其他资本性支出（支出经济分类科目类级）：</w:t>
      </w:r>
      <w:r>
        <w:rPr>
          <w:rFonts w:hint="default" w:ascii="Times New Roman" w:hAnsi="Times New Roman" w:eastAsia="方正仿宋_GBK" w:cs="Times New Roman"/>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0" w:firstLineChars="200"/>
        <w:textAlignment w:val="auto"/>
        <w:rPr>
          <w:rStyle w:val="10"/>
          <w:rFonts w:hint="eastAsia"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rPr>
        <w:t>  七、决算公开联系方式及信息反馈渠道</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sectPr>
          <w:headerReference r:id="rId3" w:type="default"/>
          <w:footerReference r:id="rId4" w:type="default"/>
          <w:pgSz w:w="11907" w:h="16839"/>
          <w:pgMar w:top="1440" w:right="1800" w:bottom="1440" w:left="1800" w:header="0" w:footer="283" w:gutter="0"/>
          <w:pgNumType w:fmt="numberInDash"/>
          <w:cols w:space="720" w:num="1"/>
          <w:docGrid w:type="lines" w:linePitch="326" w:charSpace="0"/>
        </w:sectPr>
      </w:pPr>
      <w:r>
        <w:rPr>
          <w:rFonts w:hint="eastAsia" w:ascii="Times New Roman" w:hAnsi="Times New Roman" w:eastAsia="方正仿宋_GBK" w:cs="Times New Roman"/>
          <w:color w:val="auto"/>
          <w:sz w:val="32"/>
          <w:szCs w:val="32"/>
          <w:shd w:val="clear" w:color="auto" w:fill="FFFFFF"/>
          <w:lang w:eastAsia="zh-CN"/>
        </w:rPr>
        <w:t>石耶镇综合行政执法大队</w:t>
      </w:r>
      <w:r>
        <w:rPr>
          <w:rFonts w:hint="default" w:ascii="Times New Roman" w:hAnsi="Times New Roman" w:eastAsia="方正仿宋_GBK" w:cs="Times New Roman"/>
          <w:color w:val="auto"/>
          <w:sz w:val="32"/>
          <w:szCs w:val="32"/>
          <w:shd w:val="clear" w:color="auto" w:fill="FFFFFF"/>
        </w:rPr>
        <w:t>决算公开信息反馈和联系方式：</w:t>
      </w:r>
      <w:r>
        <w:rPr>
          <w:rFonts w:hint="eastAsia" w:ascii="Times New Roman" w:hAnsi="Times New Roman" w:eastAsia="方正仿宋_GBK" w:cs="Times New Roman"/>
          <w:color w:val="auto"/>
          <w:sz w:val="32"/>
          <w:szCs w:val="32"/>
          <w:shd w:val="clear" w:color="auto" w:fill="FFFFFF"/>
          <w:lang w:eastAsia="zh-CN"/>
        </w:rPr>
        <w:t>肖军胜</w:t>
      </w:r>
      <w:r>
        <w:rPr>
          <w:rFonts w:hint="eastAsia" w:ascii="Times New Roman" w:hAnsi="Times New Roman" w:eastAsia="方正仿宋_GBK" w:cs="Times New Roman"/>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023-</w:t>
      </w:r>
      <w:r>
        <w:rPr>
          <w:rFonts w:hint="eastAsia" w:ascii="Times New Roman" w:hAnsi="Times New Roman" w:eastAsia="方正仿宋_GBK" w:cs="Times New Roman"/>
          <w:color w:val="auto"/>
          <w:sz w:val="32"/>
          <w:szCs w:val="32"/>
          <w:shd w:val="clear" w:color="auto" w:fill="FFFFFF"/>
          <w:lang w:val="en-US" w:eastAsia="zh-CN"/>
        </w:rPr>
        <w:t>76624008</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p>
    <w:tbl>
      <w:tblPr>
        <w:tblStyle w:val="11"/>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600" w:lineRule="exact"/>
              <w:ind w:right="0" w:rightChars="0"/>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重庆市秀山土家族苗族自治县石耶镇综合行政执法大队</w:t>
            </w: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55.80</w:t>
            </w: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9.02</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2.38</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41.04</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3.36</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55.80</w:t>
            </w: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55.80</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55.80</w:t>
            </w: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55.80</w:t>
            </w: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pStyle w:val="2"/>
        <w:keepNext w:val="0"/>
        <w:keepLines w:val="0"/>
        <w:pageBreakBefore w:val="0"/>
        <w:widowControl/>
        <w:kinsoku/>
        <w:overflowPunct/>
        <w:topLinePunct w:val="0"/>
        <w:autoSpaceDE/>
        <w:autoSpaceDN/>
        <w:bidi w:val="0"/>
        <w:adjustRightInd/>
        <w:snapToGrid/>
        <w:spacing w:line="200" w:lineRule="atLeast"/>
        <w:outlineLvl w:val="9"/>
        <w:rPr>
          <w:rFonts w:hint="default" w:ascii="Times New Roman" w:hAnsi="Times New Roman" w:cs="Times New Roman"/>
          <w:color w:val="auto"/>
          <w:sz w:val="20"/>
          <w:szCs w:val="20"/>
        </w:rPr>
      </w:pPr>
    </w:p>
    <w:p>
      <w:pPr>
        <w:pStyle w:val="3"/>
        <w:keepNext w:val="0"/>
        <w:keepLines w:val="0"/>
        <w:pageBreakBefore w:val="0"/>
        <w:widowControl/>
        <w:kinsoku/>
        <w:overflowPunct/>
        <w:topLinePunct w:val="0"/>
        <w:autoSpaceDE/>
        <w:autoSpaceDN/>
        <w:bidi w:val="0"/>
        <w:adjustRightInd/>
        <w:snapToGrid/>
        <w:spacing w:line="200" w:lineRule="atLeast"/>
        <w:outlineLvl w:val="9"/>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200" w:lineRule="atLeast"/>
        <w:outlineLvl w:val="9"/>
        <w:rPr>
          <w:rFonts w:hint="default" w:ascii="Times New Roman" w:hAnsi="Times New Roman" w:cs="Times New Roman"/>
          <w:color w:val="auto"/>
          <w:sz w:val="20"/>
          <w:szCs w:val="20"/>
        </w:rPr>
      </w:pPr>
    </w:p>
    <w:p>
      <w:pPr>
        <w:pStyle w:val="2"/>
        <w:keepNext w:val="0"/>
        <w:keepLines w:val="0"/>
        <w:pageBreakBefore w:val="0"/>
        <w:widowControl/>
        <w:kinsoku/>
        <w:overflowPunct/>
        <w:topLinePunct w:val="0"/>
        <w:autoSpaceDE/>
        <w:autoSpaceDN/>
        <w:bidi w:val="0"/>
        <w:adjustRightInd/>
        <w:snapToGrid/>
        <w:spacing w:line="200" w:lineRule="atLeast"/>
        <w:outlineLvl w:val="9"/>
        <w:rPr>
          <w:rFonts w:hint="default" w:ascii="Times New Roman" w:hAnsi="Times New Roman" w:cs="Times New Roman"/>
          <w:color w:val="auto"/>
          <w:sz w:val="20"/>
          <w:szCs w:val="20"/>
        </w:rPr>
      </w:pPr>
    </w:p>
    <w:p>
      <w:pPr>
        <w:pStyle w:val="3"/>
        <w:keepNext w:val="0"/>
        <w:keepLines w:val="0"/>
        <w:pageBreakBefore w:val="0"/>
        <w:widowControl/>
        <w:kinsoku/>
        <w:overflowPunct/>
        <w:topLinePunct w:val="0"/>
        <w:autoSpaceDE/>
        <w:autoSpaceDN/>
        <w:bidi w:val="0"/>
        <w:adjustRightInd/>
        <w:snapToGrid/>
        <w:spacing w:line="200" w:lineRule="atLeast"/>
        <w:outlineLvl w:val="9"/>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200" w:lineRule="atLeast"/>
        <w:outlineLvl w:val="9"/>
        <w:rPr>
          <w:rFonts w:hint="default" w:ascii="Times New Roman" w:hAnsi="Times New Roman" w:cs="Times New Roman"/>
          <w:color w:val="auto"/>
          <w:sz w:val="20"/>
          <w:szCs w:val="20"/>
        </w:rPr>
      </w:pPr>
    </w:p>
    <w:p>
      <w:pPr>
        <w:pStyle w:val="2"/>
        <w:keepNext w:val="0"/>
        <w:keepLines w:val="0"/>
        <w:pageBreakBefore w:val="0"/>
        <w:widowControl/>
        <w:kinsoku/>
        <w:overflowPunct/>
        <w:topLinePunct w:val="0"/>
        <w:autoSpaceDE/>
        <w:autoSpaceDN/>
        <w:bidi w:val="0"/>
        <w:adjustRightInd/>
        <w:snapToGrid/>
        <w:spacing w:line="200" w:lineRule="atLeast"/>
        <w:outlineLvl w:val="9"/>
        <w:rPr>
          <w:rFonts w:hint="default" w:ascii="Times New Roman" w:hAnsi="Times New Roman" w:cs="Times New Roman"/>
          <w:color w:val="auto"/>
          <w:sz w:val="20"/>
          <w:szCs w:val="20"/>
        </w:rPr>
      </w:pPr>
    </w:p>
    <w:p>
      <w:pPr>
        <w:pStyle w:val="3"/>
        <w:keepNext w:val="0"/>
        <w:keepLines w:val="0"/>
        <w:pageBreakBefore w:val="0"/>
        <w:widowControl/>
        <w:kinsoku/>
        <w:overflowPunct/>
        <w:topLinePunct w:val="0"/>
        <w:autoSpaceDE/>
        <w:autoSpaceDN/>
        <w:bidi w:val="0"/>
        <w:adjustRightInd/>
        <w:snapToGrid/>
        <w:spacing w:line="200" w:lineRule="atLeast"/>
        <w:outlineLvl w:val="9"/>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200" w:lineRule="atLeast"/>
        <w:outlineLvl w:val="9"/>
        <w:rPr>
          <w:rFonts w:hint="default" w:ascii="Times New Roman" w:hAnsi="Times New Roman" w:cs="Times New Roman"/>
          <w:color w:val="auto"/>
          <w:sz w:val="20"/>
          <w:szCs w:val="20"/>
        </w:rPr>
      </w:pPr>
    </w:p>
    <w:p>
      <w:pPr>
        <w:pStyle w:val="2"/>
        <w:keepNext w:val="0"/>
        <w:keepLines w:val="0"/>
        <w:pageBreakBefore w:val="0"/>
        <w:widowControl/>
        <w:kinsoku/>
        <w:overflowPunct/>
        <w:topLinePunct w:val="0"/>
        <w:autoSpaceDE/>
        <w:autoSpaceDN/>
        <w:bidi w:val="0"/>
        <w:adjustRightInd/>
        <w:snapToGrid/>
        <w:spacing w:line="200" w:lineRule="atLeast"/>
        <w:outlineLvl w:val="9"/>
        <w:rPr>
          <w:rFonts w:hint="default" w:ascii="Times New Roman" w:hAnsi="Times New Roman" w:cs="Times New Roman"/>
          <w:color w:val="auto"/>
          <w:sz w:val="20"/>
          <w:szCs w:val="20"/>
        </w:rPr>
      </w:pPr>
    </w:p>
    <w:p>
      <w:pPr>
        <w:pStyle w:val="3"/>
        <w:keepNext w:val="0"/>
        <w:keepLines w:val="0"/>
        <w:pageBreakBefore w:val="0"/>
        <w:widowControl/>
        <w:kinsoku/>
        <w:overflowPunct/>
        <w:topLinePunct w:val="0"/>
        <w:autoSpaceDE/>
        <w:autoSpaceDN/>
        <w:bidi w:val="0"/>
        <w:adjustRightInd/>
        <w:snapToGrid/>
        <w:spacing w:line="200" w:lineRule="atLeast"/>
        <w:outlineLvl w:val="9"/>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200" w:lineRule="atLeast"/>
        <w:outlineLvl w:val="9"/>
        <w:rPr>
          <w:rFonts w:hint="default" w:ascii="Times New Roman" w:hAnsi="Times New Roman" w:cs="Times New Roman"/>
          <w:color w:val="auto"/>
          <w:sz w:val="20"/>
          <w:szCs w:val="20"/>
        </w:rPr>
      </w:pPr>
    </w:p>
    <w:p>
      <w:pPr>
        <w:pStyle w:val="2"/>
        <w:keepNext w:val="0"/>
        <w:keepLines w:val="0"/>
        <w:pageBreakBefore w:val="0"/>
        <w:widowControl/>
        <w:kinsoku/>
        <w:overflowPunct/>
        <w:topLinePunct w:val="0"/>
        <w:autoSpaceDE/>
        <w:autoSpaceDN/>
        <w:bidi w:val="0"/>
        <w:adjustRightInd/>
        <w:snapToGrid/>
        <w:spacing w:line="200" w:lineRule="atLeast"/>
        <w:outlineLvl w:val="9"/>
        <w:rPr>
          <w:rFonts w:hint="default" w:ascii="Times New Roman" w:hAnsi="Times New Roman" w:cs="Times New Roman"/>
          <w:color w:val="auto"/>
          <w:sz w:val="20"/>
          <w:szCs w:val="20"/>
        </w:rPr>
      </w:pPr>
    </w:p>
    <w:p>
      <w:pPr>
        <w:pStyle w:val="3"/>
        <w:keepNext w:val="0"/>
        <w:keepLines w:val="0"/>
        <w:pageBreakBefore w:val="0"/>
        <w:widowControl/>
        <w:kinsoku/>
        <w:overflowPunct/>
        <w:topLinePunct w:val="0"/>
        <w:autoSpaceDE/>
        <w:autoSpaceDN/>
        <w:bidi w:val="0"/>
        <w:adjustRightInd/>
        <w:snapToGrid/>
        <w:spacing w:line="200" w:lineRule="atLeast"/>
        <w:outlineLvl w:val="9"/>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200" w:lineRule="atLeast"/>
        <w:outlineLvl w:val="9"/>
        <w:rPr>
          <w:rFonts w:hint="default" w:ascii="Times New Roman" w:hAnsi="Times New Roman" w:cs="Times New Roman"/>
          <w:color w:val="auto"/>
          <w:sz w:val="20"/>
          <w:szCs w:val="20"/>
        </w:rPr>
      </w:pPr>
    </w:p>
    <w:p>
      <w:pPr>
        <w:pStyle w:val="2"/>
        <w:keepNext w:val="0"/>
        <w:keepLines w:val="0"/>
        <w:pageBreakBefore w:val="0"/>
        <w:widowControl/>
        <w:kinsoku/>
        <w:overflowPunct/>
        <w:topLinePunct w:val="0"/>
        <w:autoSpaceDE/>
        <w:autoSpaceDN/>
        <w:bidi w:val="0"/>
        <w:adjustRightInd/>
        <w:snapToGrid/>
        <w:spacing w:line="200" w:lineRule="atLeast"/>
        <w:outlineLvl w:val="9"/>
        <w:rPr>
          <w:rFonts w:hint="default" w:ascii="Times New Roman" w:hAnsi="Times New Roman" w:cs="Times New Roman"/>
          <w:color w:val="auto"/>
          <w:sz w:val="20"/>
          <w:szCs w:val="20"/>
        </w:rPr>
      </w:pPr>
    </w:p>
    <w:p>
      <w:pPr>
        <w:pStyle w:val="3"/>
        <w:keepNext w:val="0"/>
        <w:keepLines w:val="0"/>
        <w:pageBreakBefore w:val="0"/>
        <w:widowControl/>
        <w:kinsoku/>
        <w:overflowPunct/>
        <w:topLinePunct w:val="0"/>
        <w:autoSpaceDE/>
        <w:autoSpaceDN/>
        <w:bidi w:val="0"/>
        <w:adjustRightInd/>
        <w:snapToGrid/>
        <w:spacing w:line="200" w:lineRule="atLeast"/>
        <w:outlineLvl w:val="9"/>
        <w:rPr>
          <w:rFonts w:hint="default"/>
        </w:rPr>
      </w:pPr>
    </w:p>
    <w:tbl>
      <w:tblPr>
        <w:tblStyle w:val="11"/>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重庆市秀山土家族苗族自治县石耶镇综合行政执法大队</w:t>
            </w: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w:t>
            </w:r>
            <w:r>
              <w:rPr>
                <w:rFonts w:hint="eastAsia" w:ascii="Times New Roman" w:hAnsi="Times New Roman" w:cs="Times New Roman"/>
                <w:b/>
                <w:color w:val="auto"/>
                <w:sz w:val="20"/>
                <w:szCs w:val="20"/>
                <w:lang w:eastAsia="zh-CN"/>
              </w:rPr>
              <w:t>“</w:t>
            </w:r>
            <w:r>
              <w:rPr>
                <w:rFonts w:hint="default" w:ascii="Times New Roman" w:hAnsi="Times New Roman" w:cs="Times New Roman"/>
                <w:b/>
                <w:color w:val="auto"/>
                <w:sz w:val="20"/>
                <w:szCs w:val="20"/>
              </w:rPr>
              <w:t>项</w:t>
            </w:r>
            <w:r>
              <w:rPr>
                <w:rFonts w:hint="eastAsia" w:ascii="Times New Roman" w:hAnsi="Times New Roman" w:cs="Times New Roman"/>
                <w:b/>
                <w:color w:val="auto"/>
                <w:sz w:val="20"/>
                <w:szCs w:val="20"/>
                <w:lang w:eastAsia="zh-CN"/>
              </w:rPr>
              <w:t>”</w:t>
            </w:r>
            <w:r>
              <w:rPr>
                <w:rFonts w:hint="default" w:ascii="Times New Roman" w:hAnsi="Times New Roman" w:cs="Times New Roman"/>
                <w:b/>
                <w:color w:val="auto"/>
                <w:sz w:val="20"/>
                <w:szCs w:val="20"/>
              </w:rPr>
              <w:t>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55.80</w:t>
            </w:r>
            <w:r>
              <w:rPr>
                <w:rFonts w:hint="default" w:ascii="Times New Roman" w:hAnsi="Times New Roman" w:cs="Times New Roman"/>
                <w:b/>
                <w:color w:val="auto"/>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55.80</w:t>
            </w:r>
            <w:r>
              <w:rPr>
                <w:rFonts w:hint="default" w:ascii="Times New Roman" w:hAnsi="Times New Roman" w:cs="Times New Roman"/>
                <w:b/>
                <w:color w:val="auto"/>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9.02</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9.02</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9.02</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9.02</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2.58</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2.58</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4.90</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4.90</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1.54</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1.54</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2.38</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2.38</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2.38</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2.38</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2.38</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2.38</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41.04</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41.04</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41.04</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41.04</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2120199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41.04</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41.04</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3.36</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3.36</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3.36</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3.36</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3.36</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3.36</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left="600" w:right="0" w:rightChars="0" w:hanging="600" w:hangingChars="300"/>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备注：1.本表反映单位本年度取得的各项收入情况。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br w:type="page"/>
      </w:r>
    </w:p>
    <w:tbl>
      <w:tblPr>
        <w:tblStyle w:val="11"/>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 xml:space="preserve">重庆市秀山土家族苗族自治县石耶镇综合行政执法大队 </w:t>
            </w: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w:t>
            </w:r>
            <w:r>
              <w:rPr>
                <w:rFonts w:hint="eastAsia" w:ascii="Times New Roman" w:hAnsi="Times New Roman" w:cs="Times New Roman"/>
                <w:b/>
                <w:color w:val="auto"/>
                <w:sz w:val="20"/>
                <w:szCs w:val="20"/>
                <w:lang w:eastAsia="zh-CN"/>
              </w:rPr>
              <w:t>“</w:t>
            </w:r>
            <w:r>
              <w:rPr>
                <w:rFonts w:hint="default" w:ascii="Times New Roman" w:hAnsi="Times New Roman" w:cs="Times New Roman"/>
                <w:b/>
                <w:color w:val="auto"/>
                <w:sz w:val="20"/>
                <w:szCs w:val="20"/>
              </w:rPr>
              <w:t>项</w:t>
            </w:r>
            <w:r>
              <w:rPr>
                <w:rFonts w:hint="eastAsia" w:ascii="Times New Roman" w:hAnsi="Times New Roman" w:cs="Times New Roman"/>
                <w:b/>
                <w:color w:val="auto"/>
                <w:sz w:val="20"/>
                <w:szCs w:val="20"/>
                <w:lang w:eastAsia="zh-CN"/>
              </w:rPr>
              <w:t>”</w:t>
            </w:r>
            <w:r>
              <w:rPr>
                <w:rFonts w:hint="default" w:ascii="Times New Roman" w:hAnsi="Times New Roman" w:cs="Times New Roman"/>
                <w:b/>
                <w:color w:val="auto"/>
                <w:sz w:val="20"/>
                <w:szCs w:val="20"/>
              </w:rPr>
              <w:t>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55.80</w:t>
            </w:r>
            <w:r>
              <w:rPr>
                <w:rFonts w:hint="default" w:ascii="Times New Roman" w:hAnsi="Times New Roman" w:cs="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55.80</w:t>
            </w:r>
            <w:r>
              <w:rPr>
                <w:rFonts w:hint="default" w:ascii="Times New Roman" w:hAnsi="Times New Roman" w:cs="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9.02</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9.02</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9.02</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9.02</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2.58</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2.58</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4.90</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4.90</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1.54</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1.54</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2.38</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2.38</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2.38</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2.38</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2.38</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2.38</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41.04</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41.04</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41.04</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41.04</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2120199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41.04</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41.04</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3.36</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3.36</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3.36</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3.36</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3.36</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3.36</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备注：1.本表反映单位本年度各项支出情况。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rPr>
      </w:pPr>
    </w:p>
    <w:tbl>
      <w:tblPr>
        <w:tblStyle w:val="11"/>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重庆市秀山土家族苗族自治县石耶镇综合行政执法大队</w:t>
            </w:r>
          </w:p>
        </w:tc>
        <w:tc>
          <w:tcPr>
            <w:tcW w:w="319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55.80</w:t>
            </w: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9.02</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9.02</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2.38</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2.38</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41.04</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41.04</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3.36</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3.36</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55.80</w:t>
            </w: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55.80</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55.80</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55.80</w:t>
            </w: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55.80</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55.80</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11"/>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重庆市秀山土家族苗族自治县石耶镇综合行政执法大队</w:t>
            </w: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w:t>
            </w:r>
            <w:r>
              <w:rPr>
                <w:rFonts w:hint="eastAsia" w:ascii="Times New Roman" w:hAnsi="Times New Roman" w:cs="Times New Roman"/>
                <w:b/>
                <w:color w:val="auto"/>
                <w:sz w:val="20"/>
                <w:szCs w:val="20"/>
                <w:lang w:eastAsia="zh-CN"/>
              </w:rPr>
              <w:t>“</w:t>
            </w:r>
            <w:r>
              <w:rPr>
                <w:rFonts w:hint="default" w:ascii="Times New Roman" w:hAnsi="Times New Roman" w:cs="Times New Roman"/>
                <w:b/>
                <w:color w:val="auto"/>
                <w:sz w:val="20"/>
                <w:szCs w:val="20"/>
              </w:rPr>
              <w:t>项</w:t>
            </w:r>
            <w:r>
              <w:rPr>
                <w:rFonts w:hint="eastAsia" w:ascii="Times New Roman" w:hAnsi="Times New Roman" w:cs="Times New Roman"/>
                <w:b/>
                <w:color w:val="auto"/>
                <w:sz w:val="20"/>
                <w:szCs w:val="20"/>
                <w:lang w:eastAsia="zh-CN"/>
              </w:rPr>
              <w:t>”</w:t>
            </w:r>
            <w:r>
              <w:rPr>
                <w:rFonts w:hint="default" w:ascii="Times New Roman" w:hAnsi="Times New Roman" w:cs="Times New Roman"/>
                <w:b/>
                <w:color w:val="auto"/>
                <w:sz w:val="20"/>
                <w:szCs w:val="20"/>
              </w:rPr>
              <w:t>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55.80</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55.80</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9.02</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9.02</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9.02</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9.02</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2.58</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2.58</w:t>
            </w: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4.90</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4.90</w:t>
            </w: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1.54</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1.54</w:t>
            </w: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2.38</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2.38</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2.38</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2.38</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2.38</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2.38</w:t>
            </w: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41.04</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41.04</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城乡社区管理事务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41.04</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41.04</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2120199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41.04</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41.04</w:t>
            </w: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3.36</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3.36</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3.36</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3.36</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3.36</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3.36</w:t>
            </w: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备注：1.本表反映单位本年度一般公共预算财政拨款支出情况。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630" w:firstLineChars="300"/>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11"/>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重庆市秀山土家族苗族自治县石耶镇综合行政执法大队</w:t>
            </w:r>
          </w:p>
        </w:tc>
        <w:tc>
          <w:tcPr>
            <w:tcW w:w="13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w:t>
            </w:r>
            <w:r>
              <w:rPr>
                <w:rFonts w:hint="eastAsia" w:ascii="Times New Roman" w:hAnsi="Times New Roman" w:cs="Times New Roman"/>
                <w:b/>
                <w:color w:val="auto"/>
                <w:sz w:val="18"/>
                <w:szCs w:val="18"/>
                <w:lang w:eastAsia="zh-CN"/>
              </w:rPr>
              <w:t>“</w:t>
            </w:r>
            <w:r>
              <w:rPr>
                <w:rFonts w:hint="default" w:ascii="Times New Roman" w:hAnsi="Times New Roman" w:cs="Times New Roman"/>
                <w:b/>
                <w:color w:val="auto"/>
                <w:sz w:val="18"/>
                <w:szCs w:val="18"/>
              </w:rPr>
              <w:t>款</w:t>
            </w:r>
            <w:r>
              <w:rPr>
                <w:rFonts w:hint="eastAsia" w:ascii="Times New Roman" w:hAnsi="Times New Roman" w:cs="Times New Roman"/>
                <w:b/>
                <w:color w:val="auto"/>
                <w:sz w:val="18"/>
                <w:szCs w:val="18"/>
                <w:lang w:eastAsia="zh-CN"/>
              </w:rPr>
              <w:t>”</w:t>
            </w:r>
            <w:r>
              <w:rPr>
                <w:rFonts w:hint="default" w:ascii="Times New Roman" w:hAnsi="Times New Roman" w:cs="Times New Roman"/>
                <w:b/>
                <w:color w:val="auto"/>
                <w:sz w:val="18"/>
                <w:szCs w:val="18"/>
              </w:rPr>
              <w:t>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w:t>
            </w:r>
            <w:r>
              <w:rPr>
                <w:rFonts w:hint="eastAsia" w:ascii="Times New Roman" w:hAnsi="Times New Roman" w:cs="Times New Roman"/>
                <w:b/>
                <w:color w:val="auto"/>
                <w:sz w:val="18"/>
                <w:szCs w:val="18"/>
                <w:lang w:eastAsia="zh-CN"/>
              </w:rPr>
              <w:t>“</w:t>
            </w:r>
            <w:r>
              <w:rPr>
                <w:rFonts w:hint="default" w:ascii="Times New Roman" w:hAnsi="Times New Roman" w:cs="Times New Roman"/>
                <w:b/>
                <w:color w:val="auto"/>
                <w:sz w:val="18"/>
                <w:szCs w:val="18"/>
              </w:rPr>
              <w:t>款</w:t>
            </w:r>
            <w:r>
              <w:rPr>
                <w:rFonts w:hint="eastAsia" w:ascii="Times New Roman" w:hAnsi="Times New Roman" w:cs="Times New Roman"/>
                <w:b/>
                <w:color w:val="auto"/>
                <w:sz w:val="18"/>
                <w:szCs w:val="18"/>
                <w:lang w:eastAsia="zh-CN"/>
              </w:rPr>
              <w:t>”</w:t>
            </w:r>
            <w:r>
              <w:rPr>
                <w:rFonts w:hint="default" w:ascii="Times New Roman" w:hAnsi="Times New Roman" w:cs="Times New Roman"/>
                <w:b/>
                <w:color w:val="auto"/>
                <w:sz w:val="18"/>
                <w:szCs w:val="18"/>
              </w:rPr>
              <w:t>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w:t>
            </w:r>
            <w:r>
              <w:rPr>
                <w:rFonts w:hint="eastAsia" w:ascii="Times New Roman" w:hAnsi="Times New Roman" w:cs="Times New Roman"/>
                <w:b/>
                <w:color w:val="auto"/>
                <w:sz w:val="18"/>
                <w:szCs w:val="18"/>
                <w:lang w:eastAsia="zh-CN"/>
              </w:rPr>
              <w:t>“</w:t>
            </w:r>
            <w:r>
              <w:rPr>
                <w:rFonts w:hint="default" w:ascii="Times New Roman" w:hAnsi="Times New Roman" w:cs="Times New Roman"/>
                <w:b/>
                <w:color w:val="auto"/>
                <w:sz w:val="18"/>
                <w:szCs w:val="18"/>
              </w:rPr>
              <w:t>款</w:t>
            </w:r>
            <w:r>
              <w:rPr>
                <w:rFonts w:hint="eastAsia" w:ascii="Times New Roman" w:hAnsi="Times New Roman" w:cs="Times New Roman"/>
                <w:b/>
                <w:color w:val="auto"/>
                <w:sz w:val="18"/>
                <w:szCs w:val="18"/>
                <w:lang w:eastAsia="zh-CN"/>
              </w:rPr>
              <w:t>”</w:t>
            </w:r>
            <w:r>
              <w:rPr>
                <w:rFonts w:hint="default" w:ascii="Times New Roman" w:hAnsi="Times New Roman" w:cs="Times New Roman"/>
                <w:b/>
                <w:color w:val="auto"/>
                <w:sz w:val="18"/>
                <w:szCs w:val="18"/>
              </w:rPr>
              <w:t>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48.08</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5.14</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14.03</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2.90</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3.40</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17.68</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0.13</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4.90</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0.37</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1.54</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0.94</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2.38</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0.07</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3.36</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0.72</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2.58</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0.25</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2.30</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0.03</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0.28</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0.15</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0.37</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50.66</w:t>
            </w:r>
            <w:r>
              <w:rPr>
                <w:rFonts w:hint="default" w:ascii="Times New Roman" w:hAnsi="Times New Roman" w:cs="Times New Roman"/>
                <w:color w:val="auto"/>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5.14</w:t>
            </w:r>
            <w:r>
              <w:rPr>
                <w:rFonts w:hint="default" w:ascii="Times New Roman" w:hAnsi="Times New Roman" w:cs="Times New Roman"/>
                <w:color w:val="auto"/>
                <w:sz w:val="18"/>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备注：1.本表反映单位本年度一般公共预算财政拨款基本支出明细情况。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11"/>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重庆市秀山土家族苗族自治县石耶镇综合行政执法大队</w:t>
            </w: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w:t>
            </w:r>
            <w:r>
              <w:rPr>
                <w:rFonts w:hint="eastAsia" w:ascii="Times New Roman" w:hAnsi="Times New Roman" w:cs="Times New Roman"/>
                <w:b/>
                <w:color w:val="auto"/>
                <w:sz w:val="20"/>
                <w:szCs w:val="20"/>
                <w:lang w:eastAsia="zh-CN"/>
              </w:rPr>
              <w:t>“</w:t>
            </w:r>
            <w:r>
              <w:rPr>
                <w:rFonts w:hint="default" w:ascii="Times New Roman" w:hAnsi="Times New Roman" w:cs="Times New Roman"/>
                <w:b/>
                <w:color w:val="auto"/>
                <w:sz w:val="20"/>
                <w:szCs w:val="20"/>
              </w:rPr>
              <w:t>项</w:t>
            </w:r>
            <w:r>
              <w:rPr>
                <w:rFonts w:hint="eastAsia" w:ascii="Times New Roman" w:hAnsi="Times New Roman" w:cs="Times New Roman"/>
                <w:b/>
                <w:color w:val="auto"/>
                <w:sz w:val="20"/>
                <w:szCs w:val="20"/>
                <w:lang w:eastAsia="zh-CN"/>
              </w:rPr>
              <w:t>”</w:t>
            </w:r>
            <w:r>
              <w:rPr>
                <w:rFonts w:hint="default" w:ascii="Times New Roman" w:hAnsi="Times New Roman" w:cs="Times New Roman"/>
                <w:b/>
                <w:color w:val="auto"/>
                <w:sz w:val="20"/>
                <w:szCs w:val="20"/>
              </w:rPr>
              <w:t>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备注：本表反映单位本年度政府性基金预算财政拨款收入支出及结转和结余情况。</w:t>
      </w:r>
      <w:r>
        <w:rPr>
          <w:rFonts w:hint="eastAsia" w:ascii="Times New Roman" w:hAnsi="Times New Roman" w:cs="Times New Roman"/>
          <w:color w:val="auto"/>
          <w:sz w:val="20"/>
          <w:szCs w:val="20"/>
          <w:lang w:eastAsia="zh-CN"/>
        </w:rPr>
        <w:t>石耶镇综合行政执法大队</w:t>
      </w:r>
      <w:r>
        <w:rPr>
          <w:rFonts w:hint="default" w:ascii="Times New Roman" w:hAnsi="Times New Roman" w:cs="Times New Roman"/>
          <w:color w:val="auto"/>
          <w:sz w:val="20"/>
          <w:szCs w:val="20"/>
        </w:rPr>
        <w:t>无政府性基金收支，故本表无数据。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11"/>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重庆市秀山土家族苗族自治县石耶镇综合行政执法大队</w:t>
            </w:r>
          </w:p>
        </w:tc>
        <w:tc>
          <w:tcPr>
            <w:tcW w:w="32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b/>
                <w:color w:val="auto"/>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备注：本表反映单位本年度国有资本经营预算财政拨款支出情况。</w:t>
      </w:r>
      <w:r>
        <w:rPr>
          <w:rFonts w:hint="eastAsia" w:ascii="Times New Roman" w:hAnsi="Times New Roman" w:cs="Times New Roman"/>
          <w:color w:val="auto"/>
          <w:sz w:val="20"/>
          <w:szCs w:val="20"/>
          <w:lang w:eastAsia="zh-CN"/>
        </w:rPr>
        <w:t>石耶镇综合行政执法大队</w:t>
      </w:r>
      <w:r>
        <w:rPr>
          <w:rFonts w:hint="default" w:ascii="Times New Roman" w:hAnsi="Times New Roman" w:cs="Times New Roman"/>
          <w:color w:val="auto"/>
          <w:sz w:val="20"/>
          <w:szCs w:val="20"/>
        </w:rPr>
        <w:t>无国有资本经营收支，故本表无数据。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bookmarkStart w:id="0" w:name="_GoBack"/>
      <w:bookmarkEnd w:id="0"/>
    </w:p>
    <w:tbl>
      <w:tblPr>
        <w:tblStyle w:val="11"/>
        <w:tblW w:w="15360" w:type="dxa"/>
        <w:tblInd w:w="0" w:type="dxa"/>
        <w:tblLayout w:type="fixed"/>
        <w:tblCellMar>
          <w:top w:w="0" w:type="dxa"/>
          <w:left w:w="0" w:type="dxa"/>
          <w:bottom w:w="0" w:type="dxa"/>
          <w:right w:w="0" w:type="dxa"/>
        </w:tblCellMar>
      </w:tblPr>
      <w:tblGrid>
        <w:gridCol w:w="4162"/>
        <w:gridCol w:w="2234"/>
        <w:gridCol w:w="2181"/>
        <w:gridCol w:w="4654"/>
        <w:gridCol w:w="2129"/>
      </w:tblGrid>
      <w:tr>
        <w:tblPrEx>
          <w:tblLayout w:type="fixed"/>
          <w:tblCellMar>
            <w:top w:w="0" w:type="dxa"/>
            <w:left w:w="0" w:type="dxa"/>
            <w:bottom w:w="0" w:type="dxa"/>
            <w:right w:w="0" w:type="dxa"/>
          </w:tblCellMar>
        </w:tblPrEx>
        <w:trPr>
          <w:trHeight w:val="572" w:hRule="atLeast"/>
        </w:trPr>
        <w:tc>
          <w:tcPr>
            <w:tcW w:w="1536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bottom"/>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机构运行信息表</w:t>
            </w:r>
          </w:p>
        </w:tc>
      </w:tr>
      <w:tr>
        <w:tblPrEx>
          <w:tblLayout w:type="fixed"/>
          <w:tblCellMar>
            <w:top w:w="0" w:type="dxa"/>
            <w:left w:w="0" w:type="dxa"/>
            <w:bottom w:w="0" w:type="dxa"/>
            <w:right w:w="0" w:type="dxa"/>
          </w:tblCellMar>
        </w:tblPrEx>
        <w:trPr>
          <w:trHeight w:val="293" w:hRule="atLeast"/>
        </w:trPr>
        <w:tc>
          <w:tcPr>
            <w:tcW w:w="416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2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color w:val="auto"/>
                <w:sz w:val="20"/>
                <w:szCs w:val="20"/>
              </w:rPr>
            </w:pPr>
          </w:p>
        </w:tc>
        <w:tc>
          <w:tcPr>
            <w:tcW w:w="218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65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1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公开09表</w:t>
            </w:r>
          </w:p>
        </w:tc>
      </w:tr>
      <w:tr>
        <w:tblPrEx>
          <w:tblLayout w:type="fixed"/>
          <w:tblCellMar>
            <w:top w:w="0" w:type="dxa"/>
            <w:left w:w="0" w:type="dxa"/>
            <w:bottom w:w="0" w:type="dxa"/>
            <w:right w:w="0" w:type="dxa"/>
          </w:tblCellMar>
        </w:tblPrEx>
        <w:trPr>
          <w:trHeight w:val="572" w:hRule="atLeast"/>
        </w:trPr>
        <w:tc>
          <w:tcPr>
            <w:tcW w:w="4162"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重庆市秀山土家族苗族自治县石耶镇综合行政执法大队</w:t>
            </w:r>
          </w:p>
        </w:tc>
        <w:tc>
          <w:tcPr>
            <w:tcW w:w="2234"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outlineLvl w:val="9"/>
              <w:rPr>
                <w:rFonts w:hint="default" w:ascii="Times New Roman" w:hAnsi="Times New Roman" w:cs="Times New Roman"/>
                <w:color w:val="auto"/>
                <w:sz w:val="20"/>
                <w:szCs w:val="20"/>
              </w:rPr>
            </w:pPr>
          </w:p>
        </w:tc>
        <w:tc>
          <w:tcPr>
            <w:tcW w:w="2181"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c>
          <w:tcPr>
            <w:tcW w:w="4654"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129"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01" w:hRule="atLeast"/>
        </w:trPr>
        <w:tc>
          <w:tcPr>
            <w:tcW w:w="416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  目</w:t>
            </w:r>
          </w:p>
        </w:tc>
        <w:tc>
          <w:tcPr>
            <w:tcW w:w="223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预算数</w:t>
            </w:r>
          </w:p>
        </w:tc>
        <w:tc>
          <w:tcPr>
            <w:tcW w:w="21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c>
          <w:tcPr>
            <w:tcW w:w="46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  目</w:t>
            </w:r>
          </w:p>
        </w:tc>
        <w:tc>
          <w:tcPr>
            <w:tcW w:w="212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r>
      <w:tr>
        <w:tblPrEx>
          <w:tblLayout w:type="fixed"/>
          <w:tblCellMar>
            <w:top w:w="0" w:type="dxa"/>
            <w:left w:w="0" w:type="dxa"/>
            <w:bottom w:w="0" w:type="dxa"/>
            <w:right w:w="0" w:type="dxa"/>
          </w:tblCellMar>
        </w:tblPrEx>
        <w:trPr>
          <w:trHeight w:val="301" w:hRule="atLeast"/>
        </w:trPr>
        <w:tc>
          <w:tcPr>
            <w:tcW w:w="416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w:t>
            </w:r>
            <w:r>
              <w:rPr>
                <w:rFonts w:hint="eastAsia" w:ascii="Times New Roman" w:hAnsi="Times New Roman" w:cs="Times New Roman"/>
                <w:color w:val="auto"/>
                <w:sz w:val="20"/>
                <w:szCs w:val="20"/>
                <w:lang w:eastAsia="zh-CN"/>
              </w:rPr>
              <w:t>“</w:t>
            </w:r>
            <w:r>
              <w:rPr>
                <w:rFonts w:hint="default" w:ascii="Times New Roman" w:hAnsi="Times New Roman" w:cs="Times New Roman"/>
                <w:color w:val="auto"/>
                <w:sz w:val="20"/>
                <w:szCs w:val="20"/>
              </w:rPr>
              <w:t>三公</w:t>
            </w:r>
            <w:r>
              <w:rPr>
                <w:rFonts w:hint="eastAsia" w:ascii="Times New Roman" w:hAnsi="Times New Roman" w:cs="Times New Roman"/>
                <w:color w:val="auto"/>
                <w:sz w:val="20"/>
                <w:szCs w:val="20"/>
                <w:lang w:eastAsia="zh-CN"/>
              </w:rPr>
              <w:t>”</w:t>
            </w:r>
            <w:r>
              <w:rPr>
                <w:rFonts w:hint="default" w:ascii="Times New Roman" w:hAnsi="Times New Roman" w:cs="Times New Roman"/>
                <w:color w:val="auto"/>
                <w:sz w:val="20"/>
                <w:szCs w:val="20"/>
              </w:rPr>
              <w:t>经费支出</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46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四、机关运行经费</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19" w:hRule="atLeast"/>
        </w:trPr>
        <w:tc>
          <w:tcPr>
            <w:tcW w:w="416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（一）支出合计</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（一）行政单位</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19" w:hRule="atLeast"/>
        </w:trPr>
        <w:tc>
          <w:tcPr>
            <w:tcW w:w="416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1．因公出国（境）费</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（二）参照公务员法管理事业单位</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19" w:hRule="atLeast"/>
        </w:trPr>
        <w:tc>
          <w:tcPr>
            <w:tcW w:w="416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2．公务用车购置及运行维护费</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五、资产信息</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r>
      <w:tr>
        <w:tblPrEx>
          <w:tblLayout w:type="fixed"/>
          <w:tblCellMar>
            <w:top w:w="0" w:type="dxa"/>
            <w:left w:w="0" w:type="dxa"/>
            <w:bottom w:w="0" w:type="dxa"/>
            <w:right w:w="0" w:type="dxa"/>
          </w:tblCellMar>
        </w:tblPrEx>
        <w:trPr>
          <w:trHeight w:val="319" w:hRule="atLeast"/>
        </w:trPr>
        <w:tc>
          <w:tcPr>
            <w:tcW w:w="416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（1）公务用车购置费</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（一）车辆数合计（辆）</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19" w:hRule="atLeast"/>
        </w:trPr>
        <w:tc>
          <w:tcPr>
            <w:tcW w:w="416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（2）公务用车运行维护费</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1．副部（省）级及以上领导用车</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19" w:hRule="atLeast"/>
        </w:trPr>
        <w:tc>
          <w:tcPr>
            <w:tcW w:w="416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3．公务接待费</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2．主要领导干部用车</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19" w:hRule="atLeast"/>
        </w:trPr>
        <w:tc>
          <w:tcPr>
            <w:tcW w:w="416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（1）国内接待费</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3．机要通信用车</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19" w:hRule="atLeast"/>
        </w:trPr>
        <w:tc>
          <w:tcPr>
            <w:tcW w:w="416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其中：外事接待费</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4．应急保障用车</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19" w:hRule="atLeast"/>
        </w:trPr>
        <w:tc>
          <w:tcPr>
            <w:tcW w:w="416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（2）国（境）外接待费</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5．执法执勤用车</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19" w:hRule="atLeast"/>
        </w:trPr>
        <w:tc>
          <w:tcPr>
            <w:tcW w:w="416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（二）相关统计数</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465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6．特种专业技术用车</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19" w:hRule="atLeast"/>
        </w:trPr>
        <w:tc>
          <w:tcPr>
            <w:tcW w:w="416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1．因公出国（境）团组数（个）</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7．离退休干部用车</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19" w:hRule="atLeast"/>
        </w:trPr>
        <w:tc>
          <w:tcPr>
            <w:tcW w:w="416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2．因公出国（境）人次数（人）</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8．其他用车</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19" w:hRule="atLeast"/>
        </w:trPr>
        <w:tc>
          <w:tcPr>
            <w:tcW w:w="416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3．公务用车购置数（辆）</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（二）单价100万元（含）以上设备（不含车辆）</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19" w:hRule="atLeast"/>
        </w:trPr>
        <w:tc>
          <w:tcPr>
            <w:tcW w:w="416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4．公务用车保有量（辆）</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六、政府采购支出信息</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r>
      <w:tr>
        <w:tblPrEx>
          <w:tblLayout w:type="fixed"/>
          <w:tblCellMar>
            <w:top w:w="0" w:type="dxa"/>
            <w:left w:w="0" w:type="dxa"/>
            <w:bottom w:w="0" w:type="dxa"/>
            <w:right w:w="0" w:type="dxa"/>
          </w:tblCellMar>
        </w:tblPrEx>
        <w:trPr>
          <w:trHeight w:val="319" w:hRule="atLeast"/>
        </w:trPr>
        <w:tc>
          <w:tcPr>
            <w:tcW w:w="416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5．国内公务接待批次（个）</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（一）政府采购支出合计</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19" w:hRule="atLeast"/>
        </w:trPr>
        <w:tc>
          <w:tcPr>
            <w:tcW w:w="416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其中：外事接待批次（个）</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1．政府采购货物支出</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19" w:hRule="atLeast"/>
        </w:trPr>
        <w:tc>
          <w:tcPr>
            <w:tcW w:w="416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6．国内公务接待人次（人）</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2．政府采购工程支出</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19" w:hRule="atLeast"/>
        </w:trPr>
        <w:tc>
          <w:tcPr>
            <w:tcW w:w="416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其中：外事接待人次（人）</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3．政府采购服务支出</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19" w:hRule="atLeast"/>
        </w:trPr>
        <w:tc>
          <w:tcPr>
            <w:tcW w:w="416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7．国（境）外公务接待批次（个）</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（二）政府采购授予中小企业合同金额</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19" w:hRule="atLeast"/>
        </w:trPr>
        <w:tc>
          <w:tcPr>
            <w:tcW w:w="416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8．国（境）外公务接待人次（人）</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其中：授予小微企业合同金额</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1" w:hRule="atLeast"/>
        </w:trPr>
        <w:tc>
          <w:tcPr>
            <w:tcW w:w="416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二、会议费</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r>
      <w:tr>
        <w:tblPrEx>
          <w:tblLayout w:type="fixed"/>
          <w:tblCellMar>
            <w:top w:w="0" w:type="dxa"/>
            <w:left w:w="0" w:type="dxa"/>
            <w:bottom w:w="0" w:type="dxa"/>
            <w:right w:w="0" w:type="dxa"/>
          </w:tblCellMar>
        </w:tblPrEx>
        <w:trPr>
          <w:trHeight w:val="310" w:hRule="atLeast"/>
        </w:trPr>
        <w:tc>
          <w:tcPr>
            <w:tcW w:w="416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三、培训费</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0.25</w:t>
            </w:r>
            <w:r>
              <w:rPr>
                <w:rFonts w:hint="default" w:ascii="Times New Roman" w:hAnsi="Times New Roman" w:cs="Times New Roman"/>
                <w:color w:val="auto"/>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0"/>
                <w:szCs w:val="20"/>
              </w:rPr>
            </w:pP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jc w:val="right"/>
              <w:outlineLvl w:val="9"/>
              <w:rPr>
                <w:rFonts w:hint="default" w:ascii="Times New Roman" w:hAnsi="Times New Roman" w:cs="Times New Roman"/>
                <w:color w:val="auto"/>
                <w:sz w:val="20"/>
                <w:szCs w:val="20"/>
              </w:rPr>
            </w:pP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outlineLvl w:val="9"/>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备注：1.本表反映单位本年度财政拨款</w:t>
      </w:r>
      <w:r>
        <w:rPr>
          <w:rFonts w:hint="eastAsia" w:ascii="Times New Roman" w:hAnsi="Times New Roman" w:cs="Times New Roman"/>
          <w:color w:val="auto"/>
          <w:sz w:val="20"/>
          <w:szCs w:val="20"/>
          <w:lang w:eastAsia="zh-CN"/>
        </w:rPr>
        <w:t>“</w:t>
      </w:r>
      <w:r>
        <w:rPr>
          <w:rFonts w:hint="default" w:ascii="Times New Roman" w:hAnsi="Times New Roman" w:cs="Times New Roman"/>
          <w:color w:val="auto"/>
          <w:sz w:val="20"/>
          <w:szCs w:val="20"/>
        </w:rPr>
        <w:t>三公</w:t>
      </w:r>
      <w:r>
        <w:rPr>
          <w:rFonts w:hint="eastAsia" w:ascii="Times New Roman" w:hAnsi="Times New Roman" w:cs="Times New Roman"/>
          <w:color w:val="auto"/>
          <w:sz w:val="20"/>
          <w:szCs w:val="20"/>
          <w:lang w:eastAsia="zh-CN"/>
        </w:rPr>
        <w:t>”</w:t>
      </w:r>
      <w:r>
        <w:rPr>
          <w:rFonts w:hint="default" w:ascii="Times New Roman" w:hAnsi="Times New Roman" w:cs="Times New Roman"/>
          <w:color w:val="auto"/>
          <w:sz w:val="20"/>
          <w:szCs w:val="20"/>
        </w:rPr>
        <w:t>经费支出预决算情况。其中，预算数为</w:t>
      </w:r>
      <w:r>
        <w:rPr>
          <w:rFonts w:hint="eastAsia" w:ascii="Times New Roman" w:hAnsi="Times New Roman" w:cs="Times New Roman"/>
          <w:color w:val="auto"/>
          <w:sz w:val="20"/>
          <w:szCs w:val="20"/>
          <w:lang w:eastAsia="zh-CN"/>
        </w:rPr>
        <w:t>“</w:t>
      </w:r>
      <w:r>
        <w:rPr>
          <w:rFonts w:hint="default" w:ascii="Times New Roman" w:hAnsi="Times New Roman" w:cs="Times New Roman"/>
          <w:color w:val="auto"/>
          <w:sz w:val="20"/>
          <w:szCs w:val="20"/>
        </w:rPr>
        <w:t>三公</w:t>
      </w:r>
      <w:r>
        <w:rPr>
          <w:rFonts w:hint="eastAsia" w:ascii="Times New Roman" w:hAnsi="Times New Roman" w:cs="Times New Roman"/>
          <w:color w:val="auto"/>
          <w:sz w:val="20"/>
          <w:szCs w:val="20"/>
          <w:lang w:eastAsia="zh-CN"/>
        </w:rPr>
        <w:t>”</w:t>
      </w:r>
      <w:r>
        <w:rPr>
          <w:rFonts w:hint="default" w:ascii="Times New Roman" w:hAnsi="Times New Roman" w:cs="Times New Roman"/>
          <w:color w:val="auto"/>
          <w:sz w:val="20"/>
          <w:szCs w:val="20"/>
        </w:rPr>
        <w:t>经费全年预算数，反映按规定程序调整后的预算数；决算数为包括本年度财政拨款和以前年度结转资金安排的实际支出。 2.本套报表金额单位转换时可能存在尾数误差。</w:t>
      </w:r>
    </w:p>
    <w:sectPr>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FA8E49"/>
    <w:multiLevelType w:val="singleLevel"/>
    <w:tmpl w:val="8AFA8E49"/>
    <w:lvl w:ilvl="0" w:tentative="0">
      <w:start w:val="1"/>
      <w:numFmt w:val="chineseCounting"/>
      <w:suff w:val="nothing"/>
      <w:lvlText w:val="（%1）"/>
      <w:lvlJc w:val="left"/>
      <w:rPr>
        <w:rFonts w:hint="eastAsia"/>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abstractNum w:abstractNumId="2">
    <w:nsid w:val="66DA8B11"/>
    <w:multiLevelType w:val="singleLevel"/>
    <w:tmpl w:val="66DA8B11"/>
    <w:lvl w:ilvl="0" w:tentative="0">
      <w:start w:val="3"/>
      <w:numFmt w:val="chineseCounting"/>
      <w:suff w:val="nothing"/>
      <w:lvlText w:val="%1、"/>
      <w:lvlJc w:val="left"/>
    </w:lvl>
  </w:abstractNum>
  <w:abstractNum w:abstractNumId="3">
    <w:nsid w:val="66DAA01E"/>
    <w:multiLevelType w:val="singleLevel"/>
    <w:tmpl w:val="66DAA01E"/>
    <w:lvl w:ilvl="0" w:tentative="0">
      <w:start w:val="2"/>
      <w:numFmt w:val="chineseCounting"/>
      <w:suff w:val="nothing"/>
      <w:lvlText w:val="（%1）"/>
      <w:lvlJc w:val="left"/>
    </w:lvl>
  </w:abstractNum>
  <w:abstractNum w:abstractNumId="4">
    <w:nsid w:val="66E148BF"/>
    <w:multiLevelType w:val="singleLevel"/>
    <w:tmpl w:val="66E148BF"/>
    <w:lvl w:ilvl="0" w:tentative="0">
      <w:start w:val="5"/>
      <w:numFmt w:val="chineseCounting"/>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4F7BF8"/>
    <w:rsid w:val="057C1E9E"/>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220502"/>
    <w:rsid w:val="0E3A5F83"/>
    <w:rsid w:val="0F4567F6"/>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545369"/>
    <w:rsid w:val="1CA55E64"/>
    <w:rsid w:val="1D014A01"/>
    <w:rsid w:val="1D022362"/>
    <w:rsid w:val="1D1B04B0"/>
    <w:rsid w:val="1DA52501"/>
    <w:rsid w:val="1DB554EB"/>
    <w:rsid w:val="1DBD6767"/>
    <w:rsid w:val="1DC52125"/>
    <w:rsid w:val="1DD26311"/>
    <w:rsid w:val="1E374ACB"/>
    <w:rsid w:val="1E4755DF"/>
    <w:rsid w:val="1ECF0A66"/>
    <w:rsid w:val="1EF67CA4"/>
    <w:rsid w:val="1F020D3A"/>
    <w:rsid w:val="1F2C5189"/>
    <w:rsid w:val="1F4B0B02"/>
    <w:rsid w:val="1FBB35CD"/>
    <w:rsid w:val="1FCD26AF"/>
    <w:rsid w:val="20642787"/>
    <w:rsid w:val="210D5003"/>
    <w:rsid w:val="21556F04"/>
    <w:rsid w:val="21BB4111"/>
    <w:rsid w:val="22403BD3"/>
    <w:rsid w:val="24B92327"/>
    <w:rsid w:val="24C14514"/>
    <w:rsid w:val="2533755C"/>
    <w:rsid w:val="25687A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46C29E4"/>
    <w:rsid w:val="352930DB"/>
    <w:rsid w:val="35573069"/>
    <w:rsid w:val="355F6038"/>
    <w:rsid w:val="358C217E"/>
    <w:rsid w:val="358F7D98"/>
    <w:rsid w:val="36C9128A"/>
    <w:rsid w:val="374F1478"/>
    <w:rsid w:val="37841E99"/>
    <w:rsid w:val="37BF1123"/>
    <w:rsid w:val="383C3F15"/>
    <w:rsid w:val="38BE4696"/>
    <w:rsid w:val="390C6743"/>
    <w:rsid w:val="3939115E"/>
    <w:rsid w:val="39B82A39"/>
    <w:rsid w:val="39C42CA8"/>
    <w:rsid w:val="39DC4FD6"/>
    <w:rsid w:val="39F03D7A"/>
    <w:rsid w:val="39F33306"/>
    <w:rsid w:val="3A2C1C67"/>
    <w:rsid w:val="3ADD7F09"/>
    <w:rsid w:val="3B1705E5"/>
    <w:rsid w:val="3B18334B"/>
    <w:rsid w:val="3B36794F"/>
    <w:rsid w:val="3B6F6EE0"/>
    <w:rsid w:val="3B8367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DC6374"/>
    <w:rsid w:val="41E0734B"/>
    <w:rsid w:val="426C1EA8"/>
    <w:rsid w:val="42736402"/>
    <w:rsid w:val="42E86A87"/>
    <w:rsid w:val="43307B09"/>
    <w:rsid w:val="439A3EB9"/>
    <w:rsid w:val="43BB152F"/>
    <w:rsid w:val="44C37687"/>
    <w:rsid w:val="44CA76D7"/>
    <w:rsid w:val="45B3305C"/>
    <w:rsid w:val="45CB699A"/>
    <w:rsid w:val="465B470D"/>
    <w:rsid w:val="469D6AD4"/>
    <w:rsid w:val="46EF7C75"/>
    <w:rsid w:val="471E6C84"/>
    <w:rsid w:val="4748792B"/>
    <w:rsid w:val="475D719D"/>
    <w:rsid w:val="47674801"/>
    <w:rsid w:val="48225EF7"/>
    <w:rsid w:val="488F422B"/>
    <w:rsid w:val="48C1039D"/>
    <w:rsid w:val="48E36915"/>
    <w:rsid w:val="48EB6572"/>
    <w:rsid w:val="495C4A24"/>
    <w:rsid w:val="497135DF"/>
    <w:rsid w:val="4A263DF2"/>
    <w:rsid w:val="4A6F6675"/>
    <w:rsid w:val="4B135857"/>
    <w:rsid w:val="4B7951CB"/>
    <w:rsid w:val="4B7C315C"/>
    <w:rsid w:val="4BBA00A5"/>
    <w:rsid w:val="4DAC4ACA"/>
    <w:rsid w:val="4DBE01D2"/>
    <w:rsid w:val="4F0C6BA3"/>
    <w:rsid w:val="4F186D58"/>
    <w:rsid w:val="5015032B"/>
    <w:rsid w:val="50F06B6E"/>
    <w:rsid w:val="51D21804"/>
    <w:rsid w:val="52234D33"/>
    <w:rsid w:val="522F6E0C"/>
    <w:rsid w:val="52463BA1"/>
    <w:rsid w:val="52F163D4"/>
    <w:rsid w:val="531A2DB4"/>
    <w:rsid w:val="534846E1"/>
    <w:rsid w:val="53C0244D"/>
    <w:rsid w:val="53C43313"/>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93A34C9"/>
    <w:rsid w:val="5A3B59D6"/>
    <w:rsid w:val="5AD134D8"/>
    <w:rsid w:val="5C1D5800"/>
    <w:rsid w:val="5C263CE4"/>
    <w:rsid w:val="5C5D2777"/>
    <w:rsid w:val="5CF66BF3"/>
    <w:rsid w:val="5CF876BB"/>
    <w:rsid w:val="5D290C69"/>
    <w:rsid w:val="5F2D4A41"/>
    <w:rsid w:val="60306395"/>
    <w:rsid w:val="607B3137"/>
    <w:rsid w:val="60C74F6C"/>
    <w:rsid w:val="61025A59"/>
    <w:rsid w:val="613D5BBC"/>
    <w:rsid w:val="61536C39"/>
    <w:rsid w:val="62944DD7"/>
    <w:rsid w:val="6319381F"/>
    <w:rsid w:val="633174BA"/>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913777"/>
    <w:rsid w:val="6C0A5AC5"/>
    <w:rsid w:val="6C560CAE"/>
    <w:rsid w:val="6C576495"/>
    <w:rsid w:val="6D903FF5"/>
    <w:rsid w:val="6DA955B8"/>
    <w:rsid w:val="6DAE7324"/>
    <w:rsid w:val="6DE346AB"/>
    <w:rsid w:val="6DE5391A"/>
    <w:rsid w:val="6EFD1324"/>
    <w:rsid w:val="6F5A53AC"/>
    <w:rsid w:val="6FAC003D"/>
    <w:rsid w:val="6FE55E12"/>
    <w:rsid w:val="6FFB2E76"/>
    <w:rsid w:val="708F6F7F"/>
    <w:rsid w:val="70D94BD3"/>
    <w:rsid w:val="71C34D91"/>
    <w:rsid w:val="72DB435C"/>
    <w:rsid w:val="72E2613A"/>
    <w:rsid w:val="72F771F4"/>
    <w:rsid w:val="73934AD2"/>
    <w:rsid w:val="74566C26"/>
    <w:rsid w:val="750837F0"/>
    <w:rsid w:val="754758CF"/>
    <w:rsid w:val="764F62AB"/>
    <w:rsid w:val="765C45EC"/>
    <w:rsid w:val="768A7619"/>
    <w:rsid w:val="76B060F7"/>
    <w:rsid w:val="772E1EBA"/>
    <w:rsid w:val="781926BC"/>
    <w:rsid w:val="78B52323"/>
    <w:rsid w:val="793F141B"/>
    <w:rsid w:val="796D60A4"/>
    <w:rsid w:val="79A031D5"/>
    <w:rsid w:val="79C304E8"/>
    <w:rsid w:val="7A1525F7"/>
    <w:rsid w:val="7B420052"/>
    <w:rsid w:val="7BD06A28"/>
    <w:rsid w:val="7C3A7C0B"/>
    <w:rsid w:val="7C5248E4"/>
    <w:rsid w:val="7C566698"/>
    <w:rsid w:val="7C5866A3"/>
    <w:rsid w:val="7D7406BB"/>
    <w:rsid w:val="7DE54324"/>
    <w:rsid w:val="7DE94331"/>
    <w:rsid w:val="7EA10EFE"/>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Date"/>
    <w:basedOn w:val="1"/>
    <w:next w:val="1"/>
    <w:qFormat/>
    <w:uiPriority w:val="0"/>
    <w:pPr>
      <w:spacing w:before="0" w:beforeAutospacing="0" w:after="0" w:afterAutospacing="0"/>
      <w:ind w:left="100" w:leftChars="2500" w:right="0"/>
      <w:jc w:val="left"/>
    </w:pPr>
    <w:rPr>
      <w:rFonts w:hint="eastAsia" w:ascii="宋体" w:hAnsi="宋体" w:eastAsia="宋体" w:cs="宋体"/>
      <w:kern w:val="0"/>
      <w:sz w:val="24"/>
      <w:szCs w:val="24"/>
      <w:lang w:val="en-US" w:eastAsia="zh-CN"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2</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2024-09-27T03:19:25Z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