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36"/>
          <w:szCs w:val="36"/>
          <w:highlight w:val="none"/>
          <w:shd w:val="clear" w:color="auto" w:fill="FFFFFF"/>
        </w:rPr>
      </w:pPr>
      <w:r>
        <w:rPr>
          <w:rFonts w:hint="default" w:ascii="Times New Roman" w:hAnsi="Times New Roman" w:eastAsia="方正小标宋_GBK" w:cs="Times New Roman"/>
          <w:color w:val="auto"/>
          <w:sz w:val="36"/>
          <w:szCs w:val="36"/>
          <w:highlight w:val="none"/>
        </w:rPr>
        <w:t>重庆市秀山土家族苗族自治县石耶镇农业服务中心（特色产业发展中心）</w:t>
      </w:r>
      <w:r>
        <w:rPr>
          <w:rFonts w:hint="default" w:ascii="Times New Roman" w:hAnsi="Times New Roman" w:eastAsia="方正小标宋_GBK" w:cs="Times New Roman"/>
          <w:color w:val="auto"/>
          <w:sz w:val="36"/>
          <w:szCs w:val="36"/>
          <w:highlight w:val="none"/>
          <w:shd w:val="clear" w:color="auto" w:fill="FFFFFF"/>
        </w:rPr>
        <w:t>2023年度决算公开说明</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36"/>
          <w:szCs w:val="36"/>
          <w:highlight w:val="none"/>
          <w:shd w:val="clear" w:color="auto" w:fill="FFFFFF"/>
        </w:rPr>
      </w:pP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Fonts w:hint="eastAsia" w:ascii="方正黑体_GBK" w:hAnsi="方正黑体_GBK" w:eastAsia="方正黑体_GBK" w:cs="方正黑体_GBK"/>
          <w:b w:val="0"/>
          <w:bCs/>
          <w:color w:val="auto"/>
          <w:sz w:val="32"/>
          <w:szCs w:val="32"/>
          <w:highlight w:val="none"/>
        </w:rPr>
      </w:pPr>
      <w:r>
        <w:rPr>
          <w:rStyle w:val="10"/>
          <w:rFonts w:hint="eastAsia" w:ascii="方正黑体_GBK" w:hAnsi="方正黑体_GBK" w:eastAsia="方正黑体_GBK" w:cs="方正黑体_GBK"/>
          <w:b w:val="0"/>
          <w:bCs/>
          <w:color w:val="auto"/>
          <w:sz w:val="32"/>
          <w:szCs w:val="32"/>
          <w:highlight w:val="none"/>
          <w:shd w:val="clear" w:color="auto" w:fill="FFFFFF"/>
        </w:rPr>
        <w:t>一、单位基本情况</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color w:val="auto"/>
          <w:sz w:val="32"/>
          <w:szCs w:val="32"/>
          <w:highlight w:val="none"/>
        </w:rPr>
      </w:pPr>
      <w:r>
        <w:rPr>
          <w:rStyle w:val="10"/>
          <w:rFonts w:hint="eastAsia" w:ascii="方正楷体_GBK" w:hAnsi="方正楷体_GBK" w:eastAsia="方正楷体_GBK" w:cs="方正楷体_GBK"/>
          <w:b w:val="0"/>
          <w:bCs/>
          <w:color w:val="auto"/>
          <w:sz w:val="32"/>
          <w:szCs w:val="32"/>
          <w:highlight w:val="none"/>
          <w:shd w:val="clear" w:color="auto" w:fill="FFFFFF"/>
        </w:rPr>
        <w:t>（一）职能职责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承担农技</w:t>
      </w:r>
      <w:r>
        <w:rPr>
          <w:rFonts w:hint="eastAsia"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rPr>
        <w:t>农机、畜牧、水利水产等方面的技术推广、信息服务、水土保持、灾害防治、土地规模经营管理、农产品质量安全监管，农业综合服务等工作。</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color w:val="auto"/>
          <w:sz w:val="32"/>
          <w:szCs w:val="32"/>
          <w:highlight w:val="none"/>
        </w:rPr>
      </w:pPr>
      <w:r>
        <w:rPr>
          <w:rStyle w:val="10"/>
          <w:rFonts w:hint="eastAsia" w:ascii="方正楷体_GBK" w:hAnsi="方正楷体_GBK" w:eastAsia="方正楷体_GBK" w:cs="方正楷体_GBK"/>
          <w:b w:val="0"/>
          <w:bCs/>
          <w:color w:val="auto"/>
          <w:sz w:val="32"/>
          <w:szCs w:val="32"/>
          <w:highlight w:val="none"/>
          <w:shd w:val="clear" w:color="auto" w:fill="FFFFFF"/>
        </w:rPr>
        <w:t>（二）机构设置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从机构设置看，石耶镇农业服务中心（特色产业发展中心），属于石耶镇人民政府二级财务独立核算机构</w:t>
      </w:r>
      <w:r>
        <w:rPr>
          <w:rFonts w:hint="default" w:ascii="Times New Roman" w:hAnsi="Times New Roman" w:eastAsia="方正仿宋_GBK" w:cs="Times New Roman"/>
          <w:color w:val="auto"/>
          <w:sz w:val="32"/>
          <w:szCs w:val="32"/>
          <w:highlight w:val="none"/>
          <w:shd w:val="clear" w:color="auto" w:fill="FFFFFF"/>
          <w:lang w:eastAsia="zh-CN"/>
        </w:rPr>
        <w:t>，无下级预算单位</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二、单位决算情况说明</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color w:val="auto"/>
          <w:sz w:val="32"/>
          <w:szCs w:val="32"/>
          <w:highlight w:val="none"/>
          <w:shd w:val="clear" w:color="auto" w:fill="FFFFFF"/>
        </w:rPr>
      </w:pPr>
      <w:r>
        <w:rPr>
          <w:rFonts w:hint="eastAsia" w:ascii="方正楷体_GBK" w:hAnsi="方正楷体_GBK" w:eastAsia="方正楷体_GBK" w:cs="方正楷体_GBK"/>
          <w:b w:val="0"/>
          <w:bCs/>
          <w:color w:val="auto"/>
          <w:sz w:val="32"/>
          <w:szCs w:val="32"/>
          <w:highlight w:val="none"/>
          <w:shd w:val="clear" w:color="auto" w:fill="FFFFFF"/>
        </w:rPr>
        <w:t>（一）收入支出决算总体情况说明</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1.总体情况。</w:t>
      </w:r>
      <w:r>
        <w:rPr>
          <w:rFonts w:hint="default" w:ascii="Times New Roman" w:hAnsi="Times New Roman" w:eastAsia="方正仿宋_GBK" w:cs="Times New Roman"/>
          <w:color w:val="auto"/>
          <w:sz w:val="32"/>
          <w:szCs w:val="32"/>
          <w:highlight w:val="none"/>
          <w:shd w:val="clear" w:color="auto" w:fill="FFFFFF"/>
        </w:rPr>
        <w:t>2023年度收入总计441.43万元，支出总计</w:t>
      </w:r>
      <w:r>
        <w:rPr>
          <w:rFonts w:hint="default" w:ascii="Times New Roman" w:hAnsi="Times New Roman" w:eastAsia="方正仿宋_GBK" w:cs="Times New Roman"/>
          <w:color w:val="auto"/>
          <w:sz w:val="32"/>
          <w:szCs w:val="32"/>
          <w:highlight w:val="none"/>
        </w:rPr>
        <w:t>441.43</w:t>
      </w:r>
      <w:r>
        <w:rPr>
          <w:rFonts w:hint="default" w:ascii="Times New Roman" w:hAnsi="Times New Roman" w:eastAsia="方正仿宋_GBK" w:cs="Times New Roman"/>
          <w:color w:val="auto"/>
          <w:sz w:val="32"/>
          <w:szCs w:val="32"/>
          <w:highlight w:val="none"/>
          <w:shd w:val="clear" w:color="auto" w:fill="FFFFFF"/>
        </w:rPr>
        <w:t>万元。收支较上年决算数增加441.43万元，增长100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eastAsia" w:ascii="Times New Roman" w:hAnsi="Times New Roman" w:eastAsia="方正仿宋_GBK" w:cs="Times New Roman"/>
          <w:color w:val="auto"/>
          <w:sz w:val="32"/>
          <w:szCs w:val="32"/>
          <w:highlight w:val="none"/>
          <w:shd w:val="clear" w:color="auto" w:fill="FFFFFF"/>
          <w:lang w:eastAsia="zh-CN"/>
        </w:rPr>
        <w:t>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石耶镇农业服务中心（特色产业发展中心）</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2.收入情况。</w:t>
      </w:r>
      <w:r>
        <w:rPr>
          <w:rFonts w:hint="default" w:ascii="Times New Roman" w:hAnsi="Times New Roman" w:eastAsia="方正仿宋_GBK" w:cs="Times New Roman"/>
          <w:color w:val="auto"/>
          <w:sz w:val="32"/>
          <w:szCs w:val="32"/>
          <w:highlight w:val="none"/>
          <w:shd w:val="clear" w:color="auto" w:fill="FFFFFF"/>
        </w:rPr>
        <w:t>2023年度收入合计441.43万元，较上年决算数增加441.43万元，增长100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eastAsia" w:ascii="Times New Roman" w:hAnsi="Times New Roman" w:eastAsia="方正仿宋_GBK" w:cs="Times New Roman"/>
          <w:color w:val="auto"/>
          <w:sz w:val="32"/>
          <w:szCs w:val="32"/>
          <w:highlight w:val="none"/>
          <w:shd w:val="clear" w:color="auto" w:fill="FFFFFF"/>
          <w:lang w:eastAsia="zh-CN"/>
        </w:rPr>
        <w:t>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石耶镇农业服务中心（特色产业发展中心）</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。其中：财政拨款收入441.43万元，占</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；事业收入0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万元，占0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%；经营收入0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万元，占0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%；其他收入0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万元，占0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%。此外，使用非财政拨款结余和专用结余0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万元，年初结转和结余0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3.支出情况。</w:t>
      </w:r>
      <w:r>
        <w:rPr>
          <w:rFonts w:hint="default" w:ascii="Times New Roman" w:hAnsi="Times New Roman" w:eastAsia="方正仿宋_GBK" w:cs="Times New Roman"/>
          <w:color w:val="auto"/>
          <w:sz w:val="32"/>
          <w:szCs w:val="32"/>
          <w:highlight w:val="none"/>
          <w:shd w:val="clear" w:color="auto" w:fill="FFFFFF"/>
        </w:rPr>
        <w:t>2023年度支出合计</w:t>
      </w:r>
      <w:r>
        <w:rPr>
          <w:rFonts w:hint="default" w:ascii="Times New Roman" w:hAnsi="Times New Roman" w:eastAsia="方正仿宋_GBK" w:cs="Times New Roman"/>
          <w:color w:val="auto"/>
          <w:sz w:val="32"/>
          <w:szCs w:val="32"/>
          <w:highlight w:val="none"/>
        </w:rPr>
        <w:t>391.86</w:t>
      </w:r>
      <w:r>
        <w:rPr>
          <w:rFonts w:hint="default" w:ascii="Times New Roman" w:hAnsi="Times New Roman" w:eastAsia="方正仿宋_GBK" w:cs="Times New Roman"/>
          <w:color w:val="auto"/>
          <w:sz w:val="32"/>
          <w:szCs w:val="32"/>
          <w:highlight w:val="none"/>
          <w:shd w:val="clear" w:color="auto" w:fill="FFFFFF"/>
        </w:rPr>
        <w:t>万元，较上年决算数增加391.86万元，增长100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eastAsia" w:ascii="Times New Roman" w:hAnsi="Times New Roman" w:eastAsia="方正仿宋_GBK" w:cs="Times New Roman"/>
          <w:color w:val="auto"/>
          <w:sz w:val="32"/>
          <w:szCs w:val="32"/>
          <w:highlight w:val="none"/>
          <w:shd w:val="clear" w:color="auto" w:fill="FFFFFF"/>
          <w:lang w:eastAsia="zh-CN"/>
        </w:rPr>
        <w:t>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石耶镇农业服务中心（特色产业发展中心）</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%。其中：基本支出350.47万元，占89.44%；项目支出41.39万元，占10.56%；经营支出0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万元，占0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%。此外，结余分配0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4.结转结余情况。</w:t>
      </w:r>
      <w:r>
        <w:rPr>
          <w:rFonts w:hint="default" w:ascii="Times New Roman" w:hAnsi="Times New Roman" w:eastAsia="方正仿宋_GBK" w:cs="Times New Roman"/>
          <w:color w:val="auto"/>
          <w:sz w:val="32"/>
          <w:szCs w:val="32"/>
          <w:highlight w:val="none"/>
          <w:shd w:val="clear" w:color="auto" w:fill="FFFFFF"/>
        </w:rPr>
        <w:t>2023年度年末结转和结余</w:t>
      </w:r>
      <w:r>
        <w:rPr>
          <w:rFonts w:hint="default" w:ascii="Times New Roman" w:hAnsi="Times New Roman" w:eastAsia="方正仿宋_GBK" w:cs="Times New Roman"/>
          <w:color w:val="auto"/>
          <w:sz w:val="32"/>
          <w:szCs w:val="32"/>
          <w:highlight w:val="none"/>
        </w:rPr>
        <w:t>49.57</w:t>
      </w:r>
      <w:r>
        <w:rPr>
          <w:rFonts w:hint="default" w:ascii="Times New Roman" w:hAnsi="Times New Roman" w:eastAsia="方正仿宋_GBK" w:cs="Times New Roman"/>
          <w:color w:val="auto"/>
          <w:sz w:val="32"/>
          <w:szCs w:val="32"/>
          <w:highlight w:val="none"/>
          <w:shd w:val="clear" w:color="auto" w:fill="FFFFFF"/>
        </w:rPr>
        <w:t>万元，较上年决算数增加49.57万元，增长100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eastAsia" w:ascii="Times New Roman" w:hAnsi="Times New Roman" w:eastAsia="方正仿宋_GBK" w:cs="Times New Roman"/>
          <w:color w:val="auto"/>
          <w:sz w:val="32"/>
          <w:szCs w:val="32"/>
          <w:highlight w:val="none"/>
          <w:shd w:val="clear" w:color="auto" w:fill="FFFFFF"/>
          <w:lang w:eastAsia="zh-CN"/>
        </w:rPr>
        <w:t>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石耶镇农业服务中心（特色产业发展中心）</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（二）财政拨款收入支出决算总体情况说明</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2023年度财政拨款收、支总计441.43万元。与2022年相比，财政拨款收、支总计各增加441.43万元，增长100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eastAsia" w:ascii="Times New Roman" w:hAnsi="Times New Roman" w:eastAsia="方正仿宋_GBK" w:cs="Times New Roman"/>
          <w:color w:val="auto"/>
          <w:sz w:val="32"/>
          <w:szCs w:val="32"/>
          <w:highlight w:val="none"/>
          <w:shd w:val="clear" w:color="auto" w:fill="FFFFFF"/>
          <w:lang w:eastAsia="zh-CN"/>
        </w:rPr>
        <w:t>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石耶镇农业服务中心（特色产业发展中心）</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（三）一般公共预算财政拨款收入支出决算情况说明</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1.收入情况。</w:t>
      </w:r>
      <w:r>
        <w:rPr>
          <w:rFonts w:hint="default" w:ascii="Times New Roman" w:hAnsi="Times New Roman" w:eastAsia="方正仿宋_GBK" w:cs="Times New Roman"/>
          <w:color w:val="auto"/>
          <w:sz w:val="32"/>
          <w:szCs w:val="32"/>
          <w:highlight w:val="none"/>
          <w:shd w:val="clear" w:color="auto" w:fill="FFFFFF"/>
        </w:rPr>
        <w:t>2023年度一般公共预算财政拨款收入</w:t>
      </w:r>
      <w:r>
        <w:rPr>
          <w:rFonts w:hint="default" w:ascii="Times New Roman" w:hAnsi="Times New Roman" w:eastAsia="方正仿宋_GBK" w:cs="Times New Roman"/>
          <w:color w:val="auto"/>
          <w:sz w:val="32"/>
          <w:szCs w:val="32"/>
          <w:highlight w:val="none"/>
        </w:rPr>
        <w:t>441.43</w:t>
      </w:r>
      <w:r>
        <w:rPr>
          <w:rFonts w:hint="default" w:ascii="Times New Roman" w:hAnsi="Times New Roman" w:eastAsia="方正仿宋_GBK" w:cs="Times New Roman"/>
          <w:color w:val="auto"/>
          <w:sz w:val="32"/>
          <w:szCs w:val="32"/>
          <w:highlight w:val="none"/>
          <w:shd w:val="clear" w:color="auto" w:fill="FFFFFF"/>
        </w:rPr>
        <w:t>万元，较上年决算数增加441.43万元，增长100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eastAsia" w:ascii="Times New Roman" w:hAnsi="Times New Roman" w:eastAsia="方正仿宋_GBK" w:cs="Times New Roman"/>
          <w:color w:val="auto"/>
          <w:sz w:val="32"/>
          <w:szCs w:val="32"/>
          <w:highlight w:val="none"/>
          <w:shd w:val="clear" w:color="auto" w:fill="FFFFFF"/>
          <w:lang w:eastAsia="zh-CN"/>
        </w:rPr>
        <w:t>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石耶镇农业服务中心（特色产业发展中心）</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%。较年初预算数增加22.17万元，增长5.29%。主要原因是一般公共预算财政拨款收入</w:t>
      </w:r>
      <w:r>
        <w:rPr>
          <w:rFonts w:hint="eastAsia" w:ascii="Times New Roman" w:hAnsi="Times New Roman" w:eastAsia="方正仿宋_GBK" w:cs="Times New Roman"/>
          <w:color w:val="auto"/>
          <w:sz w:val="32"/>
          <w:szCs w:val="32"/>
          <w:highlight w:val="none"/>
          <w:shd w:val="clear" w:color="auto" w:fill="FFFFFF"/>
          <w:lang w:eastAsia="zh-CN"/>
        </w:rPr>
        <w:t>较年初预算数增加</w:t>
      </w:r>
      <w:r>
        <w:rPr>
          <w:rFonts w:hint="default" w:ascii="Times New Roman" w:hAnsi="Times New Roman" w:eastAsia="方正仿宋_GBK" w:cs="Times New Roman"/>
          <w:color w:val="auto"/>
          <w:sz w:val="32"/>
          <w:szCs w:val="32"/>
          <w:highlight w:val="none"/>
          <w:shd w:val="clear" w:color="auto" w:fill="FFFFFF"/>
        </w:rPr>
        <w:t>。此外，年初财政拨款结转和结余</w:t>
      </w:r>
      <w:r>
        <w:rPr>
          <w:rFonts w:hint="default" w:ascii="Times New Roman" w:hAnsi="Times New Roman" w:eastAsia="方正仿宋_GBK" w:cs="Times New Roman"/>
          <w:color w:val="auto"/>
          <w:sz w:val="32"/>
          <w:szCs w:val="32"/>
          <w:highlight w:val="none"/>
        </w:rPr>
        <w:t>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万元。</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2.支出情况。</w:t>
      </w:r>
      <w:r>
        <w:rPr>
          <w:rFonts w:hint="default" w:ascii="Times New Roman" w:hAnsi="Times New Roman" w:eastAsia="方正仿宋_GBK" w:cs="Times New Roman"/>
          <w:color w:val="auto"/>
          <w:sz w:val="32"/>
          <w:szCs w:val="32"/>
          <w:highlight w:val="none"/>
          <w:shd w:val="clear" w:color="auto" w:fill="FFFFFF"/>
        </w:rPr>
        <w:t>2023年度一般公共预算财政拨款支出</w:t>
      </w:r>
      <w:r>
        <w:rPr>
          <w:rFonts w:hint="default" w:ascii="Times New Roman" w:hAnsi="Times New Roman" w:eastAsia="方正仿宋_GBK" w:cs="Times New Roman"/>
          <w:color w:val="auto"/>
          <w:sz w:val="32"/>
          <w:szCs w:val="32"/>
          <w:highlight w:val="none"/>
        </w:rPr>
        <w:t>391.86</w:t>
      </w:r>
      <w:r>
        <w:rPr>
          <w:rFonts w:hint="default" w:ascii="Times New Roman" w:hAnsi="Times New Roman" w:eastAsia="方正仿宋_GBK" w:cs="Times New Roman"/>
          <w:color w:val="auto"/>
          <w:sz w:val="32"/>
          <w:szCs w:val="32"/>
          <w:highlight w:val="none"/>
          <w:shd w:val="clear" w:color="auto" w:fill="FFFFFF"/>
        </w:rPr>
        <w:t>万元，较上年决算数增加391.86万元，增长100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eastAsia" w:ascii="Times New Roman" w:hAnsi="Times New Roman" w:eastAsia="方正仿宋_GBK" w:cs="Times New Roman"/>
          <w:color w:val="auto"/>
          <w:sz w:val="32"/>
          <w:szCs w:val="32"/>
          <w:highlight w:val="none"/>
          <w:shd w:val="clear" w:color="auto" w:fill="FFFFFF"/>
          <w:lang w:eastAsia="zh-CN"/>
        </w:rPr>
        <w:t>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石耶镇农业服务中心（特色产业发展中心）</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%。较年初预算数减少49.57万元，下降11.23%。主要原因是</w:t>
      </w:r>
      <w:r>
        <w:rPr>
          <w:rFonts w:hint="eastAsia" w:ascii="Times New Roman" w:hAnsi="Times New Roman" w:eastAsia="方正仿宋_GBK" w:cs="Times New Roman"/>
          <w:color w:val="auto"/>
          <w:sz w:val="32"/>
          <w:szCs w:val="32"/>
          <w:highlight w:val="none"/>
          <w:shd w:val="clear" w:color="auto" w:fill="FFFFFF"/>
          <w:lang w:eastAsia="zh-CN"/>
        </w:rPr>
        <w:t>人员经费实际支出较年初预算数下降。</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3.结转结余情况。</w:t>
      </w:r>
      <w:r>
        <w:rPr>
          <w:rFonts w:hint="default" w:ascii="Times New Roman" w:hAnsi="Times New Roman" w:eastAsia="方正仿宋_GBK" w:cs="Times New Roman"/>
          <w:color w:val="auto"/>
          <w:sz w:val="32"/>
          <w:szCs w:val="32"/>
          <w:highlight w:val="none"/>
          <w:shd w:val="clear" w:color="auto" w:fill="FFFFFF"/>
        </w:rPr>
        <w:t>2023年度年末一般公共预算财政拨款结转和结余</w:t>
      </w:r>
      <w:r>
        <w:rPr>
          <w:rFonts w:hint="default" w:ascii="Times New Roman" w:hAnsi="Times New Roman" w:eastAsia="方正仿宋_GBK" w:cs="Times New Roman"/>
          <w:color w:val="auto"/>
          <w:sz w:val="32"/>
          <w:szCs w:val="32"/>
          <w:highlight w:val="none"/>
        </w:rPr>
        <w:t>49.57</w:t>
      </w:r>
      <w:r>
        <w:rPr>
          <w:rFonts w:hint="default" w:ascii="Times New Roman" w:hAnsi="Times New Roman" w:eastAsia="方正仿宋_GBK" w:cs="Times New Roman"/>
          <w:color w:val="auto"/>
          <w:sz w:val="32"/>
          <w:szCs w:val="32"/>
          <w:highlight w:val="none"/>
          <w:shd w:val="clear" w:color="auto" w:fill="FFFFFF"/>
        </w:rPr>
        <w:t>万元，较上年决算数增加49.57万元，增长100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%，主要原因是2022年度事业人员超额绩效清算</w:t>
      </w:r>
      <w:r>
        <w:rPr>
          <w:rFonts w:hint="eastAsia" w:ascii="Times New Roman" w:hAnsi="Times New Roman" w:eastAsia="方正仿宋_GBK" w:cs="Times New Roman"/>
          <w:color w:val="auto"/>
          <w:sz w:val="32"/>
          <w:szCs w:val="32"/>
          <w:highlight w:val="none"/>
          <w:shd w:val="clear" w:color="auto" w:fill="FFFFFF"/>
          <w:lang w:eastAsia="zh-CN"/>
        </w:rPr>
        <w:t>结转至</w:t>
      </w:r>
      <w:r>
        <w:rPr>
          <w:rFonts w:hint="eastAsia" w:ascii="Times New Roman" w:hAnsi="Times New Roman" w:eastAsia="方正仿宋_GBK" w:cs="Times New Roman"/>
          <w:color w:val="auto"/>
          <w:sz w:val="32"/>
          <w:szCs w:val="32"/>
          <w:highlight w:val="none"/>
          <w:shd w:val="clear" w:color="auto" w:fill="FFFFFF"/>
          <w:lang w:val="en-US" w:eastAsia="zh-CN"/>
        </w:rPr>
        <w:t>2024年支付。</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 xml:space="preserve"> 4.比较情况。</w:t>
      </w:r>
      <w:r>
        <w:rPr>
          <w:rFonts w:hint="eastAsia" w:ascii="Times New Roman" w:hAnsi="Times New Roman" w:eastAsia="方正仿宋_GBK" w:cs="Times New Roman"/>
          <w:color w:val="auto"/>
          <w:sz w:val="32"/>
          <w:szCs w:val="32"/>
          <w:highlight w:val="none"/>
          <w:shd w:val="clear" w:color="auto" w:fill="FFFFFF"/>
          <w:lang w:eastAsia="zh-CN"/>
        </w:rPr>
        <w:t>石耶镇农业服务中心（特色产业发展中心）</w:t>
      </w:r>
      <w:r>
        <w:rPr>
          <w:rFonts w:hint="default" w:ascii="Times New Roman" w:hAnsi="Times New Roman" w:eastAsia="方正仿宋_GBK" w:cs="Times New Roman"/>
          <w:color w:val="auto"/>
          <w:sz w:val="32"/>
          <w:szCs w:val="32"/>
          <w:highlight w:val="none"/>
          <w:shd w:val="clear" w:color="auto" w:fill="FFFFFF"/>
        </w:rPr>
        <w:t>2023年度一般公共预算财政拨款支出主要用于以下几个方面：</w:t>
      </w:r>
    </w:p>
    <w:p>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r>
        <w:rPr>
          <w:rFonts w:hint="eastAsia" w:ascii="Times New Roman" w:hAnsi="Times New Roman" w:eastAsia="方正仿宋_GBK" w:cs="Times New Roman"/>
          <w:color w:val="auto"/>
          <w:sz w:val="32"/>
          <w:szCs w:val="32"/>
          <w:highlight w:val="none"/>
          <w:shd w:val="clear" w:color="auto" w:fill="FFFFFF"/>
          <w:lang w:eastAsia="zh-CN"/>
        </w:rPr>
        <w:t>（</w:t>
      </w:r>
      <w:r>
        <w:rPr>
          <w:rFonts w:hint="eastAsia" w:ascii="Times New Roman" w:hAnsi="Times New Roman" w:eastAsia="方正仿宋_GBK" w:cs="Times New Roman"/>
          <w:color w:val="auto"/>
          <w:sz w:val="32"/>
          <w:szCs w:val="32"/>
          <w:highlight w:val="none"/>
          <w:shd w:val="clear" w:color="auto" w:fill="FFFFFF"/>
          <w:lang w:val="en-US" w:eastAsia="zh-CN"/>
        </w:rPr>
        <w:t>1</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社会保障与就业支出</w:t>
      </w:r>
      <w:r>
        <w:rPr>
          <w:rFonts w:hint="default" w:ascii="Times New Roman" w:hAnsi="Times New Roman" w:eastAsia="方正仿宋_GBK" w:cs="Times New Roman"/>
          <w:color w:val="auto"/>
          <w:sz w:val="32"/>
          <w:szCs w:val="32"/>
          <w:highlight w:val="none"/>
        </w:rPr>
        <w:t>46.08</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11.76</w:t>
      </w:r>
      <w:r>
        <w:rPr>
          <w:rFonts w:hint="default" w:ascii="Times New Roman" w:hAnsi="Times New Roman" w:eastAsia="方正仿宋_GBK" w:cs="Times New Roman"/>
          <w:color w:val="auto"/>
          <w:sz w:val="32"/>
          <w:szCs w:val="32"/>
          <w:highlight w:val="none"/>
          <w:shd w:val="clear" w:color="auto" w:fill="FFFFFF"/>
        </w:rPr>
        <w:t>%，较年初预算数无增减，主要原因是</w:t>
      </w:r>
      <w:r>
        <w:rPr>
          <w:rFonts w:hint="eastAsia" w:ascii="Times New Roman" w:hAnsi="Times New Roman" w:eastAsia="方正仿宋_GBK" w:cs="Times New Roman"/>
          <w:color w:val="auto"/>
          <w:sz w:val="32"/>
          <w:szCs w:val="32"/>
          <w:highlight w:val="none"/>
          <w:shd w:val="clear" w:color="auto" w:fill="FFFFFF"/>
          <w:lang w:eastAsia="zh-CN"/>
        </w:rPr>
        <w:t>该支出功能分类实际支出与年初预算数持平。</w:t>
      </w:r>
    </w:p>
    <w:p>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shd w:val="clear" w:color="auto" w:fill="FFFFFF"/>
          <w:lang w:eastAsia="zh-CN"/>
        </w:rPr>
        <w:t>（</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卫生健康支出</w:t>
      </w:r>
      <w:r>
        <w:rPr>
          <w:rFonts w:hint="default" w:ascii="Times New Roman" w:hAnsi="Times New Roman" w:eastAsia="方正仿宋_GBK" w:cs="Times New Roman"/>
          <w:color w:val="auto"/>
          <w:sz w:val="32"/>
          <w:szCs w:val="32"/>
          <w:highlight w:val="none"/>
        </w:rPr>
        <w:t>8.53</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2.18</w:t>
      </w:r>
      <w:r>
        <w:rPr>
          <w:rFonts w:hint="default" w:ascii="Times New Roman" w:hAnsi="Times New Roman" w:eastAsia="方正仿宋_GBK" w:cs="Times New Roman"/>
          <w:color w:val="auto"/>
          <w:sz w:val="32"/>
          <w:szCs w:val="32"/>
          <w:highlight w:val="none"/>
          <w:shd w:val="clear" w:color="auto" w:fill="FFFFFF"/>
        </w:rPr>
        <w:t>%，较年初预算数无增减，主要原因是</w:t>
      </w:r>
      <w:r>
        <w:rPr>
          <w:rFonts w:hint="eastAsia" w:ascii="Times New Roman" w:hAnsi="Times New Roman" w:eastAsia="方正仿宋_GBK" w:cs="Times New Roman"/>
          <w:color w:val="auto"/>
          <w:sz w:val="32"/>
          <w:szCs w:val="32"/>
          <w:highlight w:val="none"/>
          <w:shd w:val="clear" w:color="auto" w:fill="FFFFFF"/>
          <w:lang w:eastAsia="zh-CN"/>
        </w:rPr>
        <w:t>事业单位人员医疗保险配套实际支出与预算数持平</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val="en-US" w:eastAsia="zh-CN"/>
        </w:rPr>
        <w:t>3</w:t>
      </w:r>
      <w:r>
        <w:rPr>
          <w:rFonts w:hint="default" w:ascii="Times New Roman" w:hAnsi="Times New Roman" w:eastAsia="方正仿宋_GBK" w:cs="Times New Roman"/>
          <w:color w:val="auto"/>
          <w:sz w:val="32"/>
          <w:szCs w:val="32"/>
          <w:highlight w:val="none"/>
          <w:shd w:val="clear" w:color="auto" w:fill="FFFFFF"/>
        </w:rPr>
        <w:t>）农林水支出</w:t>
      </w:r>
      <w:r>
        <w:rPr>
          <w:rFonts w:hint="default" w:ascii="Times New Roman" w:hAnsi="Times New Roman" w:eastAsia="方正仿宋_GBK" w:cs="Times New Roman"/>
          <w:color w:val="auto"/>
          <w:sz w:val="32"/>
          <w:szCs w:val="32"/>
          <w:highlight w:val="none"/>
        </w:rPr>
        <w:t>321.24</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81.98</w:t>
      </w:r>
      <w:r>
        <w:rPr>
          <w:rFonts w:hint="default" w:ascii="Times New Roman" w:hAnsi="Times New Roman" w:eastAsia="方正仿宋_GBK" w:cs="Times New Roman"/>
          <w:color w:val="auto"/>
          <w:sz w:val="32"/>
          <w:szCs w:val="32"/>
          <w:highlight w:val="none"/>
          <w:shd w:val="clear" w:color="auto" w:fill="FFFFFF"/>
        </w:rPr>
        <w:t>%，较年初预算数减少49.58万元，下降13.37%，主要原因是</w:t>
      </w:r>
      <w:r>
        <w:rPr>
          <w:rFonts w:hint="eastAsia" w:ascii="Times New Roman" w:hAnsi="Times New Roman" w:eastAsia="方正仿宋_GBK" w:cs="Times New Roman"/>
          <w:color w:val="auto"/>
          <w:sz w:val="32"/>
          <w:szCs w:val="32"/>
          <w:highlight w:val="none"/>
          <w:shd w:val="clear" w:color="auto" w:fill="FFFFFF"/>
          <w:lang w:eastAsia="zh-CN"/>
        </w:rPr>
        <w:t>事业单位人员基本工资、办公开支、村组干部工资、职工福利费、道公路养护资金补助、村居环境整治经费、村级办公经费、服务群众专项经费等实际支出较年初预算数减少。</w:t>
      </w:r>
    </w:p>
    <w:p>
      <w:pPr>
        <w:keepNext w:val="0"/>
        <w:keepLines w:val="0"/>
        <w:pageBreakBefore w:val="0"/>
        <w:kinsoku/>
        <w:wordWrap/>
        <w:overflowPunct/>
        <w:topLinePunct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rPr>
        <w:t>住房保障支出16.01</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4.09</w:t>
      </w:r>
      <w:r>
        <w:rPr>
          <w:rFonts w:hint="default" w:ascii="Times New Roman" w:hAnsi="Times New Roman" w:eastAsia="方正仿宋_GBK" w:cs="Times New Roman"/>
          <w:color w:val="auto"/>
          <w:sz w:val="32"/>
          <w:szCs w:val="32"/>
          <w:highlight w:val="none"/>
          <w:shd w:val="clear" w:color="auto" w:fill="FFFFFF"/>
        </w:rPr>
        <w:t>%，较年初预算数无增减，主要原因是</w:t>
      </w:r>
      <w:r>
        <w:rPr>
          <w:rFonts w:hint="eastAsia" w:ascii="Times New Roman" w:hAnsi="Times New Roman" w:eastAsia="方正仿宋_GBK" w:cs="Times New Roman"/>
          <w:color w:val="auto"/>
          <w:sz w:val="32"/>
          <w:szCs w:val="32"/>
          <w:highlight w:val="none"/>
          <w:shd w:val="clear" w:color="auto" w:fill="FFFFFF"/>
          <w:lang w:eastAsia="zh-CN"/>
        </w:rPr>
        <w:t>事业单位人员住房公积金配套实际支出与年初预算数持平</w:t>
      </w:r>
      <w:r>
        <w:rPr>
          <w:rFonts w:hint="default" w:ascii="Times New Roman" w:hAnsi="Times New Roman" w:eastAsia="方正仿宋_GBK" w:cs="Times New Roman"/>
          <w:color w:val="auto"/>
          <w:sz w:val="32"/>
          <w:szCs w:val="32"/>
          <w:highlight w:val="none"/>
          <w:shd w:val="clear" w:color="auto" w:fill="FFFFFF"/>
        </w:rPr>
        <w:t>。</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（四）一般公共预算财政拨款基本支出决算情况说明</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2023年度一般公共财政拨款基本支出</w:t>
      </w:r>
      <w:r>
        <w:rPr>
          <w:rFonts w:hint="default" w:ascii="Times New Roman" w:hAnsi="Times New Roman" w:eastAsia="方正仿宋_GBK" w:cs="Times New Roman"/>
          <w:color w:val="auto"/>
          <w:sz w:val="32"/>
          <w:szCs w:val="32"/>
          <w:highlight w:val="none"/>
        </w:rPr>
        <w:t>350.47</w:t>
      </w:r>
      <w:r>
        <w:rPr>
          <w:rFonts w:hint="default" w:ascii="Times New Roman" w:hAnsi="Times New Roman" w:eastAsia="方正仿宋_GBK" w:cs="Times New Roman"/>
          <w:color w:val="auto"/>
          <w:sz w:val="32"/>
          <w:szCs w:val="32"/>
          <w:highlight w:val="none"/>
          <w:shd w:val="clear" w:color="auto" w:fill="FFFFFF"/>
        </w:rPr>
        <w:t>万元。其中：人员经费</w:t>
      </w:r>
      <w:r>
        <w:rPr>
          <w:rFonts w:hint="default" w:ascii="Times New Roman" w:hAnsi="Times New Roman" w:eastAsia="方正仿宋_GBK" w:cs="Times New Roman"/>
          <w:color w:val="auto"/>
          <w:sz w:val="32"/>
          <w:szCs w:val="32"/>
          <w:highlight w:val="none"/>
        </w:rPr>
        <w:t>334.25</w:t>
      </w:r>
      <w:r>
        <w:rPr>
          <w:rFonts w:hint="default" w:ascii="Times New Roman" w:hAnsi="Times New Roman" w:eastAsia="方正仿宋_GBK" w:cs="Times New Roman"/>
          <w:color w:val="auto"/>
          <w:sz w:val="32"/>
          <w:szCs w:val="32"/>
          <w:highlight w:val="none"/>
          <w:shd w:val="clear" w:color="auto" w:fill="FFFFFF"/>
        </w:rPr>
        <w:t>万元，较上年决算数增加334.25万元，增长100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eastAsia" w:ascii="Times New Roman" w:hAnsi="Times New Roman" w:eastAsia="方正仿宋_GBK" w:cs="Times New Roman"/>
          <w:color w:val="auto"/>
          <w:sz w:val="32"/>
          <w:szCs w:val="32"/>
          <w:highlight w:val="none"/>
          <w:shd w:val="clear" w:color="auto" w:fill="FFFFFF"/>
          <w:lang w:eastAsia="zh-CN"/>
        </w:rPr>
        <w:t>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石耶镇农业服务中心（特色产业发展中心）</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。人员经费用途主要包括</w:t>
      </w:r>
      <w:r>
        <w:rPr>
          <w:rFonts w:hint="eastAsia" w:ascii="Times New Roman" w:hAnsi="Times New Roman" w:eastAsia="方正仿宋_GBK" w:cs="Times New Roman"/>
          <w:color w:val="auto"/>
          <w:sz w:val="32"/>
          <w:szCs w:val="32"/>
          <w:highlight w:val="none"/>
          <w:shd w:val="clear" w:color="auto" w:fill="FFFFFF"/>
          <w:lang w:eastAsia="zh-CN"/>
        </w:rPr>
        <w:t>事业单位人员基本工资、社保配套、超额绩效、遗属补助、丧葬费和一次性抚恤金等</w:t>
      </w:r>
      <w:r>
        <w:rPr>
          <w:rFonts w:hint="default" w:ascii="Times New Roman" w:hAnsi="Times New Roman" w:eastAsia="方正仿宋_GBK" w:cs="Times New Roman"/>
          <w:color w:val="auto"/>
          <w:sz w:val="32"/>
          <w:szCs w:val="32"/>
          <w:highlight w:val="none"/>
          <w:shd w:val="clear" w:color="auto" w:fill="FFFFFF"/>
        </w:rPr>
        <w:t>。公用经费</w:t>
      </w:r>
      <w:r>
        <w:rPr>
          <w:rFonts w:hint="default" w:ascii="Times New Roman" w:hAnsi="Times New Roman" w:eastAsia="方正仿宋_GBK" w:cs="Times New Roman"/>
          <w:color w:val="auto"/>
          <w:sz w:val="32"/>
          <w:szCs w:val="32"/>
          <w:highlight w:val="none"/>
        </w:rPr>
        <w:t>16.22</w:t>
      </w:r>
      <w:r>
        <w:rPr>
          <w:rFonts w:hint="default" w:ascii="Times New Roman" w:hAnsi="Times New Roman" w:eastAsia="方正仿宋_GBK" w:cs="Times New Roman"/>
          <w:color w:val="auto"/>
          <w:sz w:val="32"/>
          <w:szCs w:val="32"/>
          <w:highlight w:val="none"/>
          <w:shd w:val="clear" w:color="auto" w:fill="FFFFFF"/>
        </w:rPr>
        <w:t>万元，较上年决算数增加16.22万元，增长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eastAsia" w:ascii="Times New Roman" w:hAnsi="Times New Roman" w:eastAsia="方正仿宋_GBK" w:cs="Times New Roman"/>
          <w:color w:val="auto"/>
          <w:sz w:val="32"/>
          <w:szCs w:val="32"/>
          <w:highlight w:val="none"/>
          <w:shd w:val="clear" w:color="auto" w:fill="FFFFFF"/>
          <w:lang w:eastAsia="zh-CN"/>
        </w:rPr>
        <w:t>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石耶镇农业服务中心（特色产业发展中心）</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。公用经费用途主要包括</w:t>
      </w:r>
      <w:r>
        <w:rPr>
          <w:rFonts w:hint="eastAsia" w:ascii="Times New Roman" w:hAnsi="Times New Roman" w:eastAsia="方正仿宋_GBK" w:cs="Times New Roman"/>
          <w:color w:val="auto"/>
          <w:sz w:val="32"/>
          <w:szCs w:val="32"/>
          <w:highlight w:val="none"/>
          <w:shd w:val="clear" w:color="auto" w:fill="FFFFFF"/>
          <w:lang w:eastAsia="zh-CN"/>
        </w:rPr>
        <w:t>日常办公开支、职工福利费、通讯费、教育经费、工会经费等</w:t>
      </w:r>
      <w:r>
        <w:rPr>
          <w:rFonts w:hint="default" w:ascii="Times New Roman" w:hAnsi="Times New Roman" w:eastAsia="方正仿宋_GBK" w:cs="Times New Roman"/>
          <w:color w:val="auto"/>
          <w:sz w:val="32"/>
          <w:szCs w:val="32"/>
          <w:highlight w:val="none"/>
          <w:shd w:val="clear" w:color="auto" w:fill="FFFFFF"/>
        </w:rPr>
        <w:t>。</w:t>
      </w:r>
    </w:p>
    <w:p>
      <w:pPr>
        <w:pStyle w:val="13"/>
        <w:keepNext w:val="0"/>
        <w:keepLines w:val="0"/>
        <w:pageBreakBefore w:val="0"/>
        <w:numPr>
          <w:ilvl w:val="0"/>
          <w:numId w:val="1"/>
        </w:numPr>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政府性基金预算收支决算情况说明</w:t>
      </w:r>
    </w:p>
    <w:p>
      <w:pPr>
        <w:pStyle w:val="13"/>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val="en-US" w:eastAsia="zh-CN" w:bidi="ar-SA"/>
        </w:rPr>
      </w:pPr>
      <w:r>
        <w:rPr>
          <w:rFonts w:hint="eastAsia" w:ascii="Times New Roman" w:hAnsi="Times New Roman" w:eastAsia="方正仿宋_GBK" w:cs="Times New Roman"/>
          <w:color w:val="auto"/>
          <w:sz w:val="32"/>
          <w:szCs w:val="32"/>
          <w:highlight w:val="none"/>
          <w:shd w:val="clear" w:color="auto" w:fill="FFFFFF"/>
          <w:lang w:val="en-US" w:eastAsia="zh-CN" w:bidi="ar-SA"/>
        </w:rPr>
        <w:t>本单位2023年度无政府性基金预算财政拨款收支。</w:t>
      </w:r>
    </w:p>
    <w:p>
      <w:pPr>
        <w:pStyle w:val="13"/>
        <w:keepNext w:val="0"/>
        <w:keepLines w:val="0"/>
        <w:pageBreakBefore w:val="0"/>
        <w:numPr>
          <w:ilvl w:val="0"/>
          <w:numId w:val="1"/>
        </w:numPr>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国有资本经营预算财政拨款支出决算情况说明</w:t>
      </w:r>
    </w:p>
    <w:p>
      <w:pPr>
        <w:pStyle w:val="13"/>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val="en-US" w:eastAsia="zh-CN" w:bidi="ar-SA"/>
        </w:rPr>
      </w:pPr>
      <w:r>
        <w:rPr>
          <w:rFonts w:hint="eastAsia" w:ascii="Times New Roman" w:hAnsi="Times New Roman" w:eastAsia="方正仿宋_GBK" w:cs="Times New Roman"/>
          <w:color w:val="auto"/>
          <w:sz w:val="32"/>
          <w:szCs w:val="32"/>
          <w:highlight w:val="none"/>
          <w:shd w:val="clear" w:color="auto" w:fill="FFFFFF"/>
          <w:lang w:val="en-US" w:eastAsia="zh-CN" w:bidi="ar-SA"/>
        </w:rPr>
        <w:t>本单位2023年度无国有资本经营预算财政拨款收支。</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lang w:eastAsia="zh-CN"/>
        </w:rPr>
        <w:t>三、“</w:t>
      </w:r>
      <w:r>
        <w:rPr>
          <w:rStyle w:val="10"/>
          <w:rFonts w:hint="eastAsia" w:ascii="方正黑体_GBK" w:hAnsi="方正黑体_GBK" w:eastAsia="方正黑体_GBK" w:cs="方正黑体_GBK"/>
          <w:b w:val="0"/>
          <w:bCs/>
          <w:color w:val="auto"/>
          <w:sz w:val="32"/>
          <w:szCs w:val="32"/>
          <w:highlight w:val="none"/>
          <w:shd w:val="clear" w:color="auto" w:fill="FFFFFF"/>
        </w:rPr>
        <w:t>三公</w:t>
      </w:r>
      <w:r>
        <w:rPr>
          <w:rStyle w:val="10"/>
          <w:rFonts w:hint="eastAsia" w:ascii="方正黑体_GBK" w:hAnsi="方正黑体_GBK" w:eastAsia="方正黑体_GBK" w:cs="方正黑体_GBK"/>
          <w:b w:val="0"/>
          <w:bCs/>
          <w:color w:val="auto"/>
          <w:sz w:val="32"/>
          <w:szCs w:val="32"/>
          <w:highlight w:val="none"/>
          <w:shd w:val="clear" w:color="auto" w:fill="FFFFFF"/>
          <w:lang w:eastAsia="zh-CN"/>
        </w:rPr>
        <w:t>”</w:t>
      </w:r>
      <w:r>
        <w:rPr>
          <w:rStyle w:val="10"/>
          <w:rFonts w:hint="eastAsia" w:ascii="方正黑体_GBK" w:hAnsi="方正黑体_GBK" w:eastAsia="方正黑体_GBK" w:cs="方正黑体_GBK"/>
          <w:b w:val="0"/>
          <w:bCs/>
          <w:color w:val="auto"/>
          <w:sz w:val="32"/>
          <w:szCs w:val="32"/>
          <w:highlight w:val="none"/>
          <w:shd w:val="clear" w:color="auto" w:fill="FFFFFF"/>
        </w:rPr>
        <w:t>经费情况说明</w:t>
      </w:r>
    </w:p>
    <w:p>
      <w:pPr>
        <w:pStyle w:val="13"/>
        <w:autoSpaceDE w:val="0"/>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w:t>
      </w:r>
      <w:r>
        <w:rPr>
          <w:rFonts w:hint="eastAsia" w:ascii="方正楷体_GBK" w:hAnsi="方正楷体_GBK" w:eastAsia="方正楷体_GBK" w:cs="方正楷体_GBK"/>
          <w:b w:val="0"/>
          <w:bCs w:val="0"/>
          <w:sz w:val="32"/>
          <w:szCs w:val="32"/>
          <w:shd w:val="clear" w:color="auto" w:fill="FFFFFF"/>
          <w:lang w:eastAsia="zh-CN"/>
        </w:rPr>
        <w:t>“</w:t>
      </w:r>
      <w:r>
        <w:rPr>
          <w:rFonts w:hint="eastAsia" w:ascii="方正楷体_GBK" w:hAnsi="方正楷体_GBK" w:eastAsia="方正楷体_GBK" w:cs="方正楷体_GBK"/>
          <w:b w:val="0"/>
          <w:bCs w:val="0"/>
          <w:sz w:val="32"/>
          <w:szCs w:val="32"/>
          <w:shd w:val="clear" w:color="auto" w:fill="FFFFFF"/>
        </w:rPr>
        <w:t>三公</w:t>
      </w:r>
      <w:r>
        <w:rPr>
          <w:rFonts w:hint="eastAsia" w:ascii="方正楷体_GBK" w:hAnsi="方正楷体_GBK" w:eastAsia="方正楷体_GBK" w:cs="方正楷体_GBK"/>
          <w:b w:val="0"/>
          <w:bCs w:val="0"/>
          <w:sz w:val="32"/>
          <w:szCs w:val="32"/>
          <w:shd w:val="clear" w:color="auto" w:fill="FFFFFF"/>
          <w:lang w:eastAsia="zh-CN"/>
        </w:rPr>
        <w:t>”</w:t>
      </w:r>
      <w:r>
        <w:rPr>
          <w:rFonts w:hint="eastAsia" w:ascii="方正楷体_GBK" w:hAnsi="方正楷体_GBK" w:eastAsia="方正楷体_GBK" w:cs="方正楷体_GBK"/>
          <w:b w:val="0"/>
          <w:bCs w:val="0"/>
          <w:sz w:val="32"/>
          <w:szCs w:val="32"/>
          <w:shd w:val="clear" w:color="auto" w:fill="FFFFFF"/>
        </w:rPr>
        <w:t>经费支出总体情况说明</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2023年度</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三公</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经费支出共计0.00万元，较年初预算数无增减，主要原因是</w:t>
      </w:r>
      <w:r>
        <w:rPr>
          <w:rFonts w:hint="eastAsia" w:ascii="Times New Roman" w:hAnsi="Times New Roman" w:eastAsia="方正仿宋_GBK" w:cs="Times New Roman"/>
          <w:color w:val="auto"/>
          <w:sz w:val="32"/>
          <w:szCs w:val="32"/>
          <w:highlight w:val="none"/>
          <w:shd w:val="clear" w:color="auto" w:fill="FFFFFF"/>
          <w:lang w:eastAsia="zh-CN"/>
        </w:rPr>
        <w:t>无相关支出</w:t>
      </w:r>
      <w:r>
        <w:rPr>
          <w:rFonts w:hint="default" w:ascii="Times New Roman" w:hAnsi="Times New Roman" w:eastAsia="方正仿宋_GBK" w:cs="Times New Roman"/>
          <w:color w:val="auto"/>
          <w:sz w:val="32"/>
          <w:szCs w:val="32"/>
          <w:highlight w:val="none"/>
          <w:shd w:val="clear" w:color="auto" w:fill="FFFFFF"/>
        </w:rPr>
        <w:t>。较上年支出数无增减，主要原因是</w:t>
      </w:r>
      <w:r>
        <w:rPr>
          <w:rFonts w:hint="eastAsia" w:ascii="Times New Roman" w:hAnsi="Times New Roman" w:eastAsia="方正仿宋_GBK" w:cs="Times New Roman"/>
          <w:color w:val="auto"/>
          <w:sz w:val="32"/>
          <w:szCs w:val="32"/>
          <w:highlight w:val="none"/>
          <w:shd w:val="clear" w:color="auto" w:fill="FFFFFF"/>
          <w:lang w:eastAsia="zh-CN"/>
        </w:rPr>
        <w:t>无相关支出</w:t>
      </w:r>
      <w:r>
        <w:rPr>
          <w:rFonts w:hint="default" w:ascii="Times New Roman" w:hAnsi="Times New Roman" w:eastAsia="方正仿宋_GBK" w:cs="Times New Roman"/>
          <w:color w:val="auto"/>
          <w:sz w:val="32"/>
          <w:szCs w:val="32"/>
          <w:highlight w:val="none"/>
          <w:shd w:val="clear" w:color="auto" w:fill="FFFFFF"/>
        </w:rPr>
        <w:t>。</w:t>
      </w:r>
    </w:p>
    <w:p>
      <w:pPr>
        <w:pStyle w:val="13"/>
        <w:autoSpaceDE w:val="0"/>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w:t>
      </w:r>
      <w:r>
        <w:rPr>
          <w:rFonts w:hint="eastAsia" w:ascii="方正楷体_GBK" w:hAnsi="方正楷体_GBK" w:eastAsia="方正楷体_GBK" w:cs="方正楷体_GBK"/>
          <w:b w:val="0"/>
          <w:bCs w:val="0"/>
          <w:sz w:val="32"/>
          <w:szCs w:val="32"/>
          <w:shd w:val="clear" w:color="auto" w:fill="FFFFFF"/>
          <w:lang w:eastAsia="zh-CN"/>
        </w:rPr>
        <w:t>“</w:t>
      </w:r>
      <w:r>
        <w:rPr>
          <w:rFonts w:hint="eastAsia" w:ascii="方正楷体_GBK" w:hAnsi="方正楷体_GBK" w:eastAsia="方正楷体_GBK" w:cs="方正楷体_GBK"/>
          <w:b w:val="0"/>
          <w:bCs w:val="0"/>
          <w:sz w:val="32"/>
          <w:szCs w:val="32"/>
          <w:shd w:val="clear" w:color="auto" w:fill="FFFFFF"/>
        </w:rPr>
        <w:t>三公</w:t>
      </w:r>
      <w:r>
        <w:rPr>
          <w:rFonts w:hint="eastAsia" w:ascii="方正楷体_GBK" w:hAnsi="方正楷体_GBK" w:eastAsia="方正楷体_GBK" w:cs="方正楷体_GBK"/>
          <w:b w:val="0"/>
          <w:bCs w:val="0"/>
          <w:sz w:val="32"/>
          <w:szCs w:val="32"/>
          <w:shd w:val="clear" w:color="auto" w:fill="FFFFFF"/>
          <w:lang w:eastAsia="zh-CN"/>
        </w:rPr>
        <w:t>”</w:t>
      </w:r>
      <w:r>
        <w:rPr>
          <w:rFonts w:hint="eastAsia" w:ascii="方正楷体_GBK" w:hAnsi="方正楷体_GBK" w:eastAsia="方正楷体_GBK" w:cs="方正楷体_GBK"/>
          <w:b w:val="0"/>
          <w:bCs w:val="0"/>
          <w:sz w:val="32"/>
          <w:szCs w:val="32"/>
          <w:shd w:val="clear" w:color="auto" w:fill="FFFFFF"/>
        </w:rPr>
        <w:t>经费分项支出情况</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2023年度本单位因公出国（境）费用0.00万元，主要是用于</w:t>
      </w:r>
      <w:r>
        <w:rPr>
          <w:rFonts w:hint="eastAsia" w:ascii="Times New Roman" w:hAnsi="Times New Roman" w:eastAsia="方正仿宋_GBK" w:cs="Times New Roman"/>
          <w:color w:val="auto"/>
          <w:sz w:val="32"/>
          <w:szCs w:val="32"/>
          <w:highlight w:val="none"/>
          <w:shd w:val="clear" w:color="auto" w:fill="FFFFFF"/>
          <w:lang w:eastAsia="zh-CN"/>
        </w:rPr>
        <w:t>单</w:t>
      </w:r>
      <w:r>
        <w:rPr>
          <w:rFonts w:hint="default" w:ascii="Times New Roman" w:hAnsi="Times New Roman" w:eastAsia="方正仿宋_GBK" w:cs="Times New Roman"/>
          <w:color w:val="auto"/>
          <w:sz w:val="32"/>
          <w:szCs w:val="32"/>
          <w:highlight w:val="none"/>
          <w:shd w:val="clear" w:color="auto" w:fill="FFFFFF"/>
        </w:rPr>
        <w:t>位工作人员因公务出国（境）期间产生的差旅费、伙食补助费等。费用支出较年初预算数无增减，主要原因是</w:t>
      </w:r>
      <w:r>
        <w:rPr>
          <w:rFonts w:hint="eastAsia" w:ascii="Times New Roman" w:hAnsi="Times New Roman" w:eastAsia="方正仿宋_GBK" w:cs="Times New Roman"/>
          <w:color w:val="auto"/>
          <w:sz w:val="32"/>
          <w:szCs w:val="32"/>
          <w:highlight w:val="none"/>
          <w:shd w:val="clear" w:color="auto" w:fill="FFFFFF"/>
          <w:lang w:eastAsia="zh-CN"/>
        </w:rPr>
        <w:t>无相关支出</w:t>
      </w:r>
      <w:r>
        <w:rPr>
          <w:rFonts w:hint="default" w:ascii="Times New Roman" w:hAnsi="Times New Roman" w:eastAsia="方正仿宋_GBK" w:cs="Times New Roman"/>
          <w:color w:val="auto"/>
          <w:sz w:val="32"/>
          <w:szCs w:val="32"/>
          <w:highlight w:val="none"/>
          <w:shd w:val="clear" w:color="auto" w:fill="FFFFFF"/>
        </w:rPr>
        <w:t>。较上年支出数无增减，主要原因是</w:t>
      </w:r>
      <w:r>
        <w:rPr>
          <w:rFonts w:hint="eastAsia" w:ascii="Times New Roman" w:hAnsi="Times New Roman" w:eastAsia="方正仿宋_GBK" w:cs="Times New Roman"/>
          <w:color w:val="auto"/>
          <w:sz w:val="32"/>
          <w:szCs w:val="32"/>
          <w:highlight w:val="none"/>
          <w:shd w:val="clear" w:color="auto" w:fill="FFFFFF"/>
          <w:lang w:eastAsia="zh-CN"/>
        </w:rPr>
        <w:t>无相关支出</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 公务车购置费0.00万元，主要用于</w:t>
      </w:r>
      <w:r>
        <w:rPr>
          <w:rFonts w:hint="eastAsia" w:ascii="Times New Roman" w:hAnsi="Times New Roman" w:eastAsia="方正仿宋_GBK" w:cs="Times New Roman"/>
          <w:color w:val="auto"/>
          <w:sz w:val="32"/>
          <w:szCs w:val="32"/>
          <w:highlight w:val="none"/>
          <w:shd w:val="clear" w:color="auto" w:fill="FFFFFF"/>
          <w:lang w:eastAsia="zh-CN"/>
        </w:rPr>
        <w:t>单</w:t>
      </w:r>
      <w:r>
        <w:rPr>
          <w:rFonts w:hint="default" w:ascii="Times New Roman" w:hAnsi="Times New Roman" w:eastAsia="方正仿宋_GBK" w:cs="Times New Roman"/>
          <w:color w:val="auto"/>
          <w:sz w:val="32"/>
          <w:szCs w:val="32"/>
          <w:highlight w:val="none"/>
          <w:shd w:val="clear" w:color="auto" w:fill="FFFFFF"/>
        </w:rPr>
        <w:t>位用车的购置费及租用费、燃料费、维修费等。费用支出较年初预算数无增减，主要原因是</w:t>
      </w:r>
      <w:r>
        <w:rPr>
          <w:rFonts w:hint="eastAsia" w:ascii="Times New Roman" w:hAnsi="Times New Roman" w:eastAsia="方正仿宋_GBK" w:cs="Times New Roman"/>
          <w:color w:val="auto"/>
          <w:sz w:val="32"/>
          <w:szCs w:val="32"/>
          <w:highlight w:val="none"/>
          <w:shd w:val="clear" w:color="auto" w:fill="FFFFFF"/>
          <w:lang w:eastAsia="zh-CN"/>
        </w:rPr>
        <w:t>无相关支出</w:t>
      </w:r>
      <w:r>
        <w:rPr>
          <w:rFonts w:hint="default" w:ascii="Times New Roman" w:hAnsi="Times New Roman" w:eastAsia="方正仿宋_GBK" w:cs="Times New Roman"/>
          <w:color w:val="auto"/>
          <w:sz w:val="32"/>
          <w:szCs w:val="32"/>
          <w:highlight w:val="none"/>
          <w:shd w:val="clear" w:color="auto" w:fill="FFFFFF"/>
        </w:rPr>
        <w:t>。较上年支出数无增减，主要原因是</w:t>
      </w:r>
      <w:r>
        <w:rPr>
          <w:rFonts w:hint="eastAsia" w:ascii="Times New Roman" w:hAnsi="Times New Roman" w:eastAsia="方正仿宋_GBK" w:cs="Times New Roman"/>
          <w:color w:val="auto"/>
          <w:sz w:val="32"/>
          <w:szCs w:val="32"/>
          <w:highlight w:val="none"/>
          <w:shd w:val="clear" w:color="auto" w:fill="FFFFFF"/>
          <w:lang w:eastAsia="zh-CN"/>
        </w:rPr>
        <w:t>无相关支出</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 公务车运行维护费0.00万元，主要用于</w:t>
      </w:r>
      <w:r>
        <w:rPr>
          <w:rFonts w:hint="eastAsia" w:ascii="Times New Roman" w:hAnsi="Times New Roman" w:eastAsia="方正仿宋_GBK" w:cs="Times New Roman"/>
          <w:color w:val="auto"/>
          <w:sz w:val="32"/>
          <w:szCs w:val="32"/>
          <w:highlight w:val="none"/>
          <w:shd w:val="clear" w:color="auto" w:fill="FFFFFF"/>
          <w:lang w:eastAsia="zh-CN"/>
        </w:rPr>
        <w:t>单位</w:t>
      </w:r>
      <w:r>
        <w:rPr>
          <w:rFonts w:hint="default" w:ascii="Times New Roman" w:hAnsi="Times New Roman" w:eastAsia="方正仿宋_GBK" w:cs="Times New Roman"/>
          <w:color w:val="auto"/>
          <w:sz w:val="32"/>
          <w:szCs w:val="32"/>
          <w:highlight w:val="none"/>
          <w:shd w:val="clear" w:color="auto" w:fill="FFFFFF"/>
          <w:lang w:eastAsia="zh-CN"/>
        </w:rPr>
        <w:t>公务用车洗车、加油、维修、保险费等</w:t>
      </w:r>
      <w:r>
        <w:rPr>
          <w:rFonts w:hint="default" w:ascii="Times New Roman" w:hAnsi="Times New Roman" w:eastAsia="方正仿宋_GBK" w:cs="Times New Roman"/>
          <w:color w:val="auto"/>
          <w:sz w:val="32"/>
          <w:szCs w:val="32"/>
          <w:highlight w:val="none"/>
          <w:shd w:val="clear" w:color="auto" w:fill="FFFFFF"/>
        </w:rPr>
        <w:t>。费用支出较年初预算数无增减，主要原因是</w:t>
      </w:r>
      <w:r>
        <w:rPr>
          <w:rFonts w:hint="eastAsia" w:ascii="Times New Roman" w:hAnsi="Times New Roman" w:eastAsia="方正仿宋_GBK" w:cs="Times New Roman"/>
          <w:color w:val="auto"/>
          <w:sz w:val="32"/>
          <w:szCs w:val="32"/>
          <w:highlight w:val="none"/>
          <w:shd w:val="clear" w:color="auto" w:fill="FFFFFF"/>
          <w:lang w:eastAsia="zh-CN"/>
        </w:rPr>
        <w:t>无相关支出</w:t>
      </w:r>
      <w:r>
        <w:rPr>
          <w:rFonts w:hint="default" w:ascii="Times New Roman" w:hAnsi="Times New Roman" w:eastAsia="方正仿宋_GBK" w:cs="Times New Roman"/>
          <w:color w:val="auto"/>
          <w:sz w:val="32"/>
          <w:szCs w:val="32"/>
          <w:highlight w:val="none"/>
          <w:shd w:val="clear" w:color="auto" w:fill="FFFFFF"/>
        </w:rPr>
        <w:t>。较上年支出数无增减，主要原因是</w:t>
      </w:r>
      <w:r>
        <w:rPr>
          <w:rFonts w:hint="eastAsia" w:ascii="Times New Roman" w:hAnsi="Times New Roman" w:eastAsia="方正仿宋_GBK" w:cs="Times New Roman"/>
          <w:color w:val="auto"/>
          <w:sz w:val="32"/>
          <w:szCs w:val="32"/>
          <w:highlight w:val="none"/>
          <w:shd w:val="clear" w:color="auto" w:fill="FFFFFF"/>
          <w:lang w:eastAsia="zh-CN"/>
        </w:rPr>
        <w:t>无相关支出</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 公务接待费0.00万元，主要用于接待单位为执行公务和开展业务需要而进行的合理接待支出。费用支出较年初预算数无增减，主要原因是</w:t>
      </w:r>
      <w:r>
        <w:rPr>
          <w:rFonts w:hint="eastAsia" w:ascii="Times New Roman" w:hAnsi="Times New Roman" w:eastAsia="方正仿宋_GBK" w:cs="Times New Roman"/>
          <w:color w:val="auto"/>
          <w:sz w:val="32"/>
          <w:szCs w:val="32"/>
          <w:highlight w:val="none"/>
          <w:shd w:val="clear" w:color="auto" w:fill="FFFFFF"/>
          <w:lang w:eastAsia="zh-CN"/>
        </w:rPr>
        <w:t>无相关支出</w:t>
      </w:r>
      <w:r>
        <w:rPr>
          <w:rFonts w:hint="default" w:ascii="Times New Roman" w:hAnsi="Times New Roman" w:eastAsia="方正仿宋_GBK" w:cs="Times New Roman"/>
          <w:color w:val="auto"/>
          <w:sz w:val="32"/>
          <w:szCs w:val="32"/>
          <w:highlight w:val="none"/>
          <w:shd w:val="clear" w:color="auto" w:fill="FFFFFF"/>
        </w:rPr>
        <w:t>。较上年支出数无增减，主要原因是</w:t>
      </w:r>
      <w:r>
        <w:rPr>
          <w:rFonts w:hint="eastAsia" w:ascii="Times New Roman" w:hAnsi="Times New Roman" w:eastAsia="方正仿宋_GBK" w:cs="Times New Roman"/>
          <w:color w:val="auto"/>
          <w:sz w:val="32"/>
          <w:szCs w:val="32"/>
          <w:highlight w:val="none"/>
          <w:shd w:val="clear" w:color="auto" w:fill="FFFFFF"/>
          <w:lang w:eastAsia="zh-CN"/>
        </w:rPr>
        <w:t>无相关支出</w:t>
      </w:r>
      <w:r>
        <w:rPr>
          <w:rFonts w:hint="default" w:ascii="Times New Roman" w:hAnsi="Times New Roman" w:eastAsia="方正仿宋_GBK" w:cs="Times New Roman"/>
          <w:color w:val="auto"/>
          <w:sz w:val="32"/>
          <w:szCs w:val="32"/>
          <w:highlight w:val="none"/>
          <w:shd w:val="clear" w:color="auto" w:fill="FFFFFF"/>
        </w:rPr>
        <w:t>。</w:t>
      </w:r>
    </w:p>
    <w:p>
      <w:pPr>
        <w:pStyle w:val="13"/>
        <w:autoSpaceDE w:val="0"/>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w:t>
      </w:r>
      <w:r>
        <w:rPr>
          <w:rFonts w:hint="eastAsia" w:ascii="方正楷体_GBK" w:hAnsi="方正楷体_GBK" w:eastAsia="方正楷体_GBK" w:cs="方正楷体_GBK"/>
          <w:b w:val="0"/>
          <w:bCs w:val="0"/>
          <w:sz w:val="32"/>
          <w:szCs w:val="32"/>
          <w:shd w:val="clear" w:color="auto" w:fill="FFFFFF"/>
          <w:lang w:eastAsia="zh-CN"/>
        </w:rPr>
        <w:t>“</w:t>
      </w:r>
      <w:r>
        <w:rPr>
          <w:rFonts w:hint="eastAsia" w:ascii="方正楷体_GBK" w:hAnsi="方正楷体_GBK" w:eastAsia="方正楷体_GBK" w:cs="方正楷体_GBK"/>
          <w:b w:val="0"/>
          <w:bCs w:val="0"/>
          <w:sz w:val="32"/>
          <w:szCs w:val="32"/>
          <w:shd w:val="clear" w:color="auto" w:fill="FFFFFF"/>
        </w:rPr>
        <w:t>三公</w:t>
      </w:r>
      <w:r>
        <w:rPr>
          <w:rFonts w:hint="eastAsia" w:ascii="方正楷体_GBK" w:hAnsi="方正楷体_GBK" w:eastAsia="方正楷体_GBK" w:cs="方正楷体_GBK"/>
          <w:b w:val="0"/>
          <w:bCs w:val="0"/>
          <w:sz w:val="32"/>
          <w:szCs w:val="32"/>
          <w:shd w:val="clear" w:color="auto" w:fill="FFFFFF"/>
          <w:lang w:eastAsia="zh-CN"/>
        </w:rPr>
        <w:t>”</w:t>
      </w:r>
      <w:r>
        <w:rPr>
          <w:rFonts w:hint="eastAsia" w:ascii="方正楷体_GBK" w:hAnsi="方正楷体_GBK" w:eastAsia="方正楷体_GBK" w:cs="方正楷体_GBK"/>
          <w:b w:val="0"/>
          <w:bCs w:val="0"/>
          <w:sz w:val="32"/>
          <w:szCs w:val="32"/>
          <w:shd w:val="clear" w:color="auto" w:fill="FFFFFF"/>
        </w:rPr>
        <w:t>经费实物量情况</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  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四、其他需要说明的事项</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color w:val="auto"/>
          <w:sz w:val="32"/>
          <w:szCs w:val="32"/>
          <w:highlight w:val="none"/>
          <w:shd w:val="clear" w:color="auto" w:fill="FFFFFF"/>
        </w:rPr>
      </w:pPr>
      <w:r>
        <w:rPr>
          <w:rFonts w:hint="eastAsia" w:ascii="方正楷体_GBK" w:hAnsi="方正楷体_GBK" w:eastAsia="方正楷体_GBK" w:cs="方正楷体_GBK"/>
          <w:b w:val="0"/>
          <w:bCs/>
          <w:color w:val="auto"/>
          <w:sz w:val="32"/>
          <w:szCs w:val="32"/>
          <w:highlight w:val="none"/>
          <w:shd w:val="clear" w:color="auto" w:fill="FFFFFF"/>
        </w:rPr>
        <w:t>（一）财政拨款会议费和培训费情况说明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本年度会议费支出0.00万元，较上年决算数无增减，主要原因是</w:t>
      </w:r>
      <w:r>
        <w:rPr>
          <w:rFonts w:hint="eastAsia" w:ascii="Times New Roman" w:hAnsi="Times New Roman" w:eastAsia="方正仿宋_GBK" w:cs="Times New Roman"/>
          <w:color w:val="auto"/>
          <w:sz w:val="32"/>
          <w:szCs w:val="32"/>
          <w:highlight w:val="none"/>
          <w:shd w:val="clear" w:color="auto" w:fill="FFFFFF"/>
          <w:lang w:eastAsia="zh-CN"/>
        </w:rPr>
        <w:t>无相关支出</w:t>
      </w:r>
      <w:r>
        <w:rPr>
          <w:rFonts w:hint="default" w:ascii="Times New Roman" w:hAnsi="Times New Roman" w:eastAsia="方正仿宋_GBK" w:cs="Times New Roman"/>
          <w:color w:val="auto"/>
          <w:sz w:val="32"/>
          <w:szCs w:val="32"/>
          <w:highlight w:val="none"/>
          <w:shd w:val="clear" w:color="auto" w:fill="FFFFFF"/>
        </w:rPr>
        <w:t>。本年度培训费支出</w:t>
      </w:r>
      <w:r>
        <w:rPr>
          <w:rFonts w:hint="default" w:ascii="Times New Roman" w:hAnsi="Times New Roman" w:eastAsia="方正仿宋_GBK" w:cs="Times New Roman"/>
          <w:color w:val="auto"/>
          <w:sz w:val="32"/>
          <w:szCs w:val="32"/>
          <w:highlight w:val="none"/>
        </w:rPr>
        <w:t>0.65</w:t>
      </w:r>
      <w:r>
        <w:rPr>
          <w:rFonts w:hint="default" w:ascii="Times New Roman" w:hAnsi="Times New Roman" w:eastAsia="方正仿宋_GBK" w:cs="Times New Roman"/>
          <w:color w:val="auto"/>
          <w:sz w:val="32"/>
          <w:szCs w:val="32"/>
          <w:highlight w:val="none"/>
          <w:shd w:val="clear" w:color="auto" w:fill="FFFFFF"/>
        </w:rPr>
        <w:t>万元，较上年决算数增加0.65万元，增长100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eastAsia="zh-CN"/>
        </w:rPr>
        <w:t>2022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石耶镇农业服务中心（特色产业发展中心）</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（二）机关运行经费情况说明</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2023年度本单位机关运行经费支出0.00万元，机关运行经费主要用于开支机关所产生的水费、电费、生活费等。机关运行经费较上年支出数无增减，主要原因是按照部门决算列报口径，我单位不在机关运行经费统计范围之内。</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（三）国有资产占用情况说明</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（四）政府采购支出情况说明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 2023年度</w:t>
      </w:r>
      <w:r>
        <w:rPr>
          <w:rFonts w:hint="eastAsia" w:ascii="Times New Roman" w:hAnsi="Times New Roman" w:eastAsia="方正仿宋_GBK" w:cs="Times New Roman"/>
          <w:color w:val="auto"/>
          <w:sz w:val="32"/>
          <w:szCs w:val="32"/>
          <w:highlight w:val="none"/>
          <w:shd w:val="clear" w:color="auto" w:fill="FFFFFF"/>
          <w:lang w:eastAsia="zh-CN"/>
        </w:rPr>
        <w:t>本单位</w:t>
      </w:r>
      <w:r>
        <w:rPr>
          <w:rFonts w:hint="default" w:ascii="Times New Roman" w:hAnsi="Times New Roman" w:eastAsia="方正仿宋_GBK" w:cs="Times New Roman"/>
          <w:color w:val="auto"/>
          <w:sz w:val="32"/>
          <w:szCs w:val="32"/>
          <w:highlight w:val="none"/>
          <w:shd w:val="clear" w:color="auto" w:fill="FFFFFF"/>
        </w:rPr>
        <w:t>政府采购支出总额</w:t>
      </w:r>
      <w:r>
        <w:rPr>
          <w:rFonts w:hint="default" w:ascii="Times New Roman" w:hAnsi="Times New Roman" w:eastAsia="方正仿宋_GBK" w:cs="Times New Roman"/>
          <w:color w:val="auto"/>
          <w:sz w:val="32"/>
          <w:szCs w:val="32"/>
          <w:highlight w:val="none"/>
        </w:rPr>
        <w:t>0.41</w:t>
      </w:r>
      <w:r>
        <w:rPr>
          <w:rFonts w:hint="default" w:ascii="Times New Roman" w:hAnsi="Times New Roman" w:eastAsia="方正仿宋_GBK" w:cs="Times New Roman"/>
          <w:color w:val="auto"/>
          <w:sz w:val="32"/>
          <w:szCs w:val="32"/>
          <w:highlight w:val="none"/>
          <w:shd w:val="clear" w:color="auto" w:fill="FFFFFF"/>
        </w:rPr>
        <w:t>万元，其中：政府采购货物支出</w:t>
      </w:r>
      <w:r>
        <w:rPr>
          <w:rFonts w:hint="default" w:ascii="Times New Roman" w:hAnsi="Times New Roman" w:eastAsia="方正仿宋_GBK" w:cs="Times New Roman"/>
          <w:color w:val="auto"/>
          <w:sz w:val="32"/>
          <w:szCs w:val="32"/>
          <w:highlight w:val="none"/>
        </w:rPr>
        <w:t>0.41</w:t>
      </w:r>
      <w:r>
        <w:rPr>
          <w:rFonts w:hint="default" w:ascii="Times New Roman" w:hAnsi="Times New Roman" w:eastAsia="方正仿宋_GBK" w:cs="Times New Roman"/>
          <w:color w:val="auto"/>
          <w:sz w:val="32"/>
          <w:szCs w:val="32"/>
          <w:highlight w:val="none"/>
          <w:shd w:val="clear" w:color="auto" w:fill="FFFFFF"/>
        </w:rPr>
        <w:t>万元。授予中小企业合同金额</w:t>
      </w:r>
      <w:r>
        <w:rPr>
          <w:rFonts w:hint="default" w:ascii="Times New Roman" w:hAnsi="Times New Roman" w:eastAsia="方正仿宋_GBK" w:cs="Times New Roman"/>
          <w:color w:val="auto"/>
          <w:sz w:val="32"/>
          <w:szCs w:val="32"/>
          <w:highlight w:val="none"/>
        </w:rPr>
        <w:t>0.41万</w:t>
      </w:r>
      <w:r>
        <w:rPr>
          <w:rFonts w:hint="default" w:ascii="Times New Roman" w:hAnsi="Times New Roman" w:eastAsia="方正仿宋_GBK" w:cs="Times New Roman"/>
          <w:color w:val="auto"/>
          <w:sz w:val="32"/>
          <w:szCs w:val="32"/>
          <w:highlight w:val="none"/>
          <w:shd w:val="clear" w:color="auto" w:fill="FFFFFF"/>
        </w:rPr>
        <w:t>元，占政府采购支出总额的</w:t>
      </w:r>
      <w:r>
        <w:rPr>
          <w:rFonts w:hint="default" w:ascii="Times New Roman" w:hAnsi="Times New Roman" w:eastAsia="方正仿宋_GBK" w:cs="Times New Roman"/>
          <w:color w:val="auto"/>
          <w:sz w:val="32"/>
          <w:szCs w:val="32"/>
          <w:highlight w:val="none"/>
        </w:rPr>
        <w:t>100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%，其中：授予小微企业合同金额</w:t>
      </w:r>
      <w:r>
        <w:rPr>
          <w:rFonts w:hint="default" w:ascii="Times New Roman" w:hAnsi="Times New Roman" w:eastAsia="方正仿宋_GBK" w:cs="Times New Roman"/>
          <w:color w:val="auto"/>
          <w:sz w:val="32"/>
          <w:szCs w:val="32"/>
          <w:highlight w:val="none"/>
        </w:rPr>
        <w:t>0.41</w:t>
      </w:r>
      <w:r>
        <w:rPr>
          <w:rFonts w:hint="default" w:ascii="Times New Roman" w:hAnsi="Times New Roman" w:eastAsia="方正仿宋_GBK" w:cs="Times New Roman"/>
          <w:color w:val="auto"/>
          <w:sz w:val="32"/>
          <w:szCs w:val="32"/>
          <w:highlight w:val="none"/>
          <w:shd w:val="clear" w:color="auto" w:fill="FFFFFF"/>
        </w:rPr>
        <w:t>万元，占政府采购支出总额的</w:t>
      </w:r>
      <w:r>
        <w:rPr>
          <w:rFonts w:hint="default" w:ascii="Times New Roman" w:hAnsi="Times New Roman" w:eastAsia="方正仿宋_GBK" w:cs="Times New Roman"/>
          <w:color w:val="auto"/>
          <w:sz w:val="32"/>
          <w:szCs w:val="32"/>
          <w:highlight w:val="none"/>
        </w:rPr>
        <w:t>100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 xml:space="preserve"> %。主要用于采购</w:t>
      </w:r>
      <w:r>
        <w:rPr>
          <w:rFonts w:hint="eastAsia" w:ascii="Times New Roman" w:hAnsi="Times New Roman" w:eastAsia="方正仿宋_GBK" w:cs="Times New Roman"/>
          <w:color w:val="auto"/>
          <w:sz w:val="32"/>
          <w:szCs w:val="32"/>
          <w:highlight w:val="none"/>
          <w:shd w:val="clear" w:color="auto" w:fill="FFFFFF"/>
          <w:lang w:eastAsia="zh-CN"/>
        </w:rPr>
        <w:t>联想台式电脑一台</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预算绩效管理情况说明</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color w:val="auto"/>
          <w:sz w:val="32"/>
          <w:szCs w:val="32"/>
          <w:highlight w:val="none"/>
          <w:shd w:val="clear" w:color="auto" w:fill="FFFFFF"/>
        </w:rPr>
      </w:pPr>
      <w:r>
        <w:rPr>
          <w:rFonts w:hint="eastAsia" w:ascii="方正楷体_GBK" w:hAnsi="方正楷体_GBK" w:eastAsia="方正楷体_GBK" w:cs="方正楷体_GBK"/>
          <w:b w:val="0"/>
          <w:bCs/>
          <w:color w:val="auto"/>
          <w:sz w:val="32"/>
          <w:szCs w:val="32"/>
          <w:highlight w:val="none"/>
          <w:shd w:val="clear" w:color="auto" w:fill="FFFFFF"/>
        </w:rPr>
        <w:t>（一）单位自评情况</w:t>
      </w: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根据预算绩效管理要求，</w:t>
      </w:r>
      <w:r>
        <w:rPr>
          <w:rFonts w:hint="eastAsia" w:ascii="Times New Roman" w:hAnsi="Times New Roman" w:eastAsia="方正仿宋_GBK" w:cs="Times New Roman"/>
          <w:color w:val="auto"/>
          <w:sz w:val="32"/>
          <w:szCs w:val="32"/>
          <w:highlight w:val="none"/>
          <w:shd w:val="clear" w:color="auto" w:fill="FFFFFF"/>
          <w:lang w:eastAsia="zh-CN"/>
        </w:rPr>
        <w:t>我单位</w:t>
      </w:r>
      <w:r>
        <w:rPr>
          <w:rFonts w:hint="default" w:ascii="Times New Roman" w:hAnsi="Times New Roman" w:eastAsia="方正仿宋_GBK" w:cs="Times New Roman"/>
          <w:color w:val="auto"/>
          <w:sz w:val="32"/>
          <w:szCs w:val="32"/>
          <w:highlight w:val="none"/>
          <w:shd w:val="clear" w:color="auto" w:fill="FFFFFF"/>
        </w:rPr>
        <w:t>对</w:t>
      </w:r>
      <w:r>
        <w:rPr>
          <w:rFonts w:hint="eastAsia" w:ascii="Times New Roman" w:hAnsi="Times New Roman" w:eastAsia="方正仿宋_GBK" w:cs="Times New Roman"/>
          <w:color w:val="auto"/>
          <w:sz w:val="32"/>
          <w:szCs w:val="32"/>
          <w:highlight w:val="none"/>
          <w:shd w:val="clear" w:color="auto" w:fill="FFFFFF"/>
          <w:lang w:val="en-US" w:eastAsia="zh-CN"/>
        </w:rPr>
        <w:t>12</w:t>
      </w:r>
      <w:r>
        <w:rPr>
          <w:rFonts w:hint="default" w:ascii="Times New Roman" w:hAnsi="Times New Roman" w:eastAsia="方正仿宋_GBK" w:cs="Times New Roman"/>
          <w:color w:val="auto"/>
          <w:sz w:val="32"/>
          <w:szCs w:val="32"/>
          <w:highlight w:val="none"/>
          <w:shd w:val="clear" w:color="auto" w:fill="FFFFFF"/>
        </w:rPr>
        <w:t>个项目开展了绩效自评，涉及财政拨款项目支出资金</w:t>
      </w:r>
      <w:r>
        <w:rPr>
          <w:rFonts w:hint="eastAsia" w:ascii="Times New Roman" w:hAnsi="Times New Roman" w:eastAsia="方正仿宋_GBK" w:cs="Times New Roman"/>
          <w:color w:val="auto"/>
          <w:sz w:val="32"/>
          <w:szCs w:val="32"/>
          <w:highlight w:val="none"/>
          <w:shd w:val="clear" w:color="auto" w:fill="FFFFFF"/>
          <w:lang w:val="en-US" w:eastAsia="zh-CN"/>
        </w:rPr>
        <w:t>171.84</w:t>
      </w:r>
      <w:r>
        <w:rPr>
          <w:rFonts w:hint="default" w:ascii="Times New Roman" w:hAnsi="Times New Roman" w:eastAsia="方正仿宋_GBK" w:cs="Times New Roman"/>
          <w:color w:val="auto"/>
          <w:sz w:val="32"/>
          <w:szCs w:val="32"/>
          <w:highlight w:val="none"/>
          <w:shd w:val="clear" w:color="auto" w:fill="FFFFFF"/>
        </w:rPr>
        <w:t>万元</w:t>
      </w:r>
      <w:r>
        <w:rPr>
          <w:rFonts w:hint="eastAsia" w:ascii="Times New Roman" w:hAnsi="Times New Roman" w:eastAsia="方正仿宋_GBK" w:cs="Times New Roman"/>
          <w:color w:val="auto"/>
          <w:sz w:val="32"/>
          <w:szCs w:val="32"/>
          <w:highlight w:val="none"/>
          <w:shd w:val="clear" w:color="auto" w:fill="FFFFFF"/>
          <w:lang w:eastAsia="zh-CN"/>
        </w:rPr>
        <w:t>。</w:t>
      </w:r>
    </w:p>
    <w:tbl>
      <w:tblPr>
        <w:tblStyle w:val="11"/>
        <w:tblW w:w="8533" w:type="dxa"/>
        <w:jc w:val="center"/>
        <w:tblInd w:w="93" w:type="dxa"/>
        <w:tblLayout w:type="fixed"/>
        <w:tblCellMar>
          <w:top w:w="0" w:type="dxa"/>
          <w:left w:w="108" w:type="dxa"/>
          <w:bottom w:w="0" w:type="dxa"/>
          <w:right w:w="108" w:type="dxa"/>
        </w:tblCellMar>
      </w:tblPr>
      <w:tblGrid>
        <w:gridCol w:w="600"/>
        <w:gridCol w:w="750"/>
        <w:gridCol w:w="1433"/>
        <w:gridCol w:w="569"/>
        <w:gridCol w:w="616"/>
        <w:gridCol w:w="584"/>
        <w:gridCol w:w="503"/>
        <w:gridCol w:w="945"/>
        <w:gridCol w:w="983"/>
        <w:gridCol w:w="735"/>
        <w:gridCol w:w="815"/>
      </w:tblGrid>
      <w:tr>
        <w:tblPrEx>
          <w:tblLayout w:type="fixed"/>
          <w:tblCellMar>
            <w:top w:w="0" w:type="dxa"/>
            <w:left w:w="108" w:type="dxa"/>
            <w:bottom w:w="0" w:type="dxa"/>
            <w:right w:w="108" w:type="dxa"/>
          </w:tblCellMar>
        </w:tblPrEx>
        <w:trPr>
          <w:trHeight w:val="780" w:hRule="atLeast"/>
          <w:jc w:val="center"/>
        </w:trPr>
        <w:tc>
          <w:tcPr>
            <w:tcW w:w="8533" w:type="dxa"/>
            <w:gridSpan w:val="11"/>
            <w:tcBorders>
              <w:top w:val="nil"/>
              <w:left w:val="nil"/>
              <w:bottom w:val="single" w:color="000000" w:sz="4" w:space="0"/>
              <w:right w:val="nil"/>
            </w:tcBorders>
            <w:vAlign w:val="center"/>
          </w:tcPr>
          <w:p>
            <w:pPr>
              <w:keepNext w:val="0"/>
              <w:keepLines w:val="0"/>
              <w:pageBreakBefore w:val="0"/>
              <w:widowControl/>
              <w:kinsoku/>
              <w:wordWrap/>
              <w:overflowPunct/>
              <w:topLinePunct w:val="0"/>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b w:val="0"/>
                <w:bCs/>
                <w:kern w:val="0"/>
                <w:sz w:val="32"/>
                <w:szCs w:val="32"/>
                <w:shd w:val="clear" w:color="auto" w:fill="FFFFFF"/>
                <w:lang w:val="en-US" w:eastAsia="zh-CN" w:bidi="ar"/>
              </w:rPr>
            </w:pPr>
          </w:p>
          <w:p>
            <w:pPr>
              <w:keepNext w:val="0"/>
              <w:keepLines w:val="0"/>
              <w:pageBreakBefore w:val="0"/>
              <w:widowControl/>
              <w:kinsoku/>
              <w:wordWrap/>
              <w:overflowPunct/>
              <w:topLinePunct w:val="0"/>
              <w:autoSpaceDN/>
              <w:bidi w:val="0"/>
              <w:adjustRightInd/>
              <w:snapToGrid/>
              <w:spacing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b w:val="0"/>
                <w:bCs/>
                <w:kern w:val="0"/>
                <w:sz w:val="32"/>
                <w:szCs w:val="32"/>
                <w:shd w:val="clear" w:color="auto" w:fill="FFFFFF"/>
                <w:lang w:val="en-US" w:eastAsia="zh-CN" w:bidi="ar"/>
              </w:rPr>
            </w:pPr>
            <w:r>
              <w:rPr>
                <w:rFonts w:hint="default" w:ascii="Times New Roman" w:hAnsi="Times New Roman" w:eastAsia="方正小标宋_GBK" w:cs="Times New Roman"/>
                <w:b w:val="0"/>
                <w:bCs/>
                <w:kern w:val="0"/>
                <w:sz w:val="32"/>
                <w:szCs w:val="32"/>
                <w:shd w:val="clear" w:color="auto" w:fill="FFFFFF"/>
                <w:lang w:val="en-US" w:eastAsia="zh-CN" w:bidi="ar"/>
              </w:rPr>
              <w:t>秀山土家族苗族自治县石耶镇人民政府</w:t>
            </w:r>
          </w:p>
          <w:p>
            <w:pPr>
              <w:keepNext w:val="0"/>
              <w:keepLines w:val="0"/>
              <w:pageBreakBefore w:val="0"/>
              <w:widowControl/>
              <w:kinsoku/>
              <w:wordWrap/>
              <w:overflowPunct/>
              <w:topLinePunct w:val="0"/>
              <w:autoSpaceDN/>
              <w:bidi w:val="0"/>
              <w:adjustRightInd/>
              <w:snapToGrid/>
              <w:spacing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b w:val="0"/>
                <w:bCs/>
                <w:kern w:val="0"/>
                <w:sz w:val="32"/>
                <w:szCs w:val="32"/>
                <w:shd w:val="clear" w:color="auto" w:fill="FFFFFF"/>
                <w:lang w:val="en-US" w:eastAsia="zh-CN" w:bidi="ar"/>
              </w:rPr>
              <w:t>2023年度项目支出绩效自评表（二级项目）</w:t>
            </w:r>
          </w:p>
        </w:tc>
      </w:tr>
      <w:tr>
        <w:tblPrEx>
          <w:tblLayout w:type="fixed"/>
          <w:tblCellMar>
            <w:top w:w="0" w:type="dxa"/>
            <w:left w:w="108" w:type="dxa"/>
            <w:bottom w:w="0" w:type="dxa"/>
            <w:right w:w="108" w:type="dxa"/>
          </w:tblCellMar>
        </w:tblPrEx>
        <w:trPr>
          <w:trHeight w:val="600" w:hRule="atLeast"/>
          <w:jc w:val="center"/>
        </w:trPr>
        <w:tc>
          <w:tcPr>
            <w:tcW w:w="60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序号</w:t>
            </w:r>
          </w:p>
        </w:tc>
        <w:tc>
          <w:tcPr>
            <w:tcW w:w="75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项目名称</w:t>
            </w:r>
          </w:p>
        </w:tc>
        <w:tc>
          <w:tcPr>
            <w:tcW w:w="143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指标名称</w:t>
            </w:r>
          </w:p>
        </w:tc>
        <w:tc>
          <w:tcPr>
            <w:tcW w:w="56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指标性质</w:t>
            </w:r>
          </w:p>
        </w:tc>
        <w:tc>
          <w:tcPr>
            <w:tcW w:w="6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指标值</w:t>
            </w:r>
          </w:p>
        </w:tc>
        <w:tc>
          <w:tcPr>
            <w:tcW w:w="58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计量单位</w:t>
            </w:r>
          </w:p>
        </w:tc>
        <w:tc>
          <w:tcPr>
            <w:tcW w:w="50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指标权重</w:t>
            </w:r>
          </w:p>
        </w:tc>
        <w:tc>
          <w:tcPr>
            <w:tcW w:w="94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全年完成值</w:t>
            </w:r>
          </w:p>
        </w:tc>
        <w:tc>
          <w:tcPr>
            <w:tcW w:w="98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指标得分</w:t>
            </w:r>
          </w:p>
        </w:tc>
        <w:tc>
          <w:tcPr>
            <w:tcW w:w="73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说明</w:t>
            </w:r>
          </w:p>
        </w:tc>
        <w:tc>
          <w:tcPr>
            <w:tcW w:w="81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自评得分</w:t>
            </w:r>
          </w:p>
        </w:tc>
      </w:tr>
      <w:tr>
        <w:tblPrEx>
          <w:tblLayout w:type="fixed"/>
          <w:tblCellMar>
            <w:top w:w="0" w:type="dxa"/>
            <w:left w:w="108" w:type="dxa"/>
            <w:bottom w:w="0" w:type="dxa"/>
            <w:right w:w="108" w:type="dxa"/>
          </w:tblCellMar>
        </w:tblPrEx>
        <w:trPr>
          <w:trHeight w:val="432" w:hRule="atLeast"/>
          <w:jc w:val="center"/>
        </w:trPr>
        <w:tc>
          <w:tcPr>
            <w:tcW w:w="6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1</w:t>
            </w:r>
          </w:p>
        </w:tc>
        <w:tc>
          <w:tcPr>
            <w:tcW w:w="75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村防疫员定额补助</w:t>
            </w: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补助合格率</w:t>
            </w: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w:t>
            </w:r>
          </w:p>
        </w:tc>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98</w:t>
            </w: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20</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98</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8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100</w:t>
            </w:r>
          </w:p>
        </w:tc>
      </w:tr>
      <w:tr>
        <w:tblPrEx>
          <w:tblLayout w:type="fixed"/>
          <w:tblCellMar>
            <w:top w:w="0" w:type="dxa"/>
            <w:left w:w="108" w:type="dxa"/>
            <w:bottom w:w="0" w:type="dxa"/>
            <w:right w:w="108" w:type="dxa"/>
          </w:tblCellMar>
        </w:tblPrEx>
        <w:trPr>
          <w:trHeight w:val="432" w:hRule="atLeast"/>
          <w:jc w:val="center"/>
        </w:trPr>
        <w:tc>
          <w:tcPr>
            <w:tcW w:w="6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p>
        </w:tc>
        <w:tc>
          <w:tcPr>
            <w:tcW w:w="75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补助按时到位率</w:t>
            </w: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w:t>
            </w:r>
          </w:p>
        </w:tc>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100</w:t>
            </w: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20</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100</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8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r>
      <w:tr>
        <w:tblPrEx>
          <w:tblLayout w:type="fixed"/>
          <w:tblCellMar>
            <w:top w:w="0" w:type="dxa"/>
            <w:left w:w="108" w:type="dxa"/>
            <w:bottom w:w="0" w:type="dxa"/>
            <w:right w:w="108" w:type="dxa"/>
          </w:tblCellMar>
        </w:tblPrEx>
        <w:trPr>
          <w:trHeight w:val="432" w:hRule="atLeast"/>
          <w:jc w:val="center"/>
        </w:trPr>
        <w:tc>
          <w:tcPr>
            <w:tcW w:w="600"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p>
        </w:tc>
        <w:tc>
          <w:tcPr>
            <w:tcW w:w="750"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补助事项公示率</w:t>
            </w: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w:t>
            </w:r>
          </w:p>
        </w:tc>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100</w:t>
            </w: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20</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100</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8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r>
      <w:tr>
        <w:tblPrEx>
          <w:tblLayout w:type="fixed"/>
          <w:tblCellMar>
            <w:top w:w="0" w:type="dxa"/>
            <w:left w:w="108" w:type="dxa"/>
            <w:bottom w:w="0" w:type="dxa"/>
            <w:right w:w="108" w:type="dxa"/>
          </w:tblCellMar>
        </w:tblPrEx>
        <w:trPr>
          <w:trHeight w:val="432" w:hRule="atLeast"/>
          <w:jc w:val="center"/>
        </w:trPr>
        <w:tc>
          <w:tcPr>
            <w:tcW w:w="600"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p>
        </w:tc>
        <w:tc>
          <w:tcPr>
            <w:tcW w:w="750"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补助政策知晓率</w:t>
            </w: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w:t>
            </w:r>
          </w:p>
        </w:tc>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98</w:t>
            </w: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20</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98</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8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r>
      <w:tr>
        <w:tblPrEx>
          <w:tblLayout w:type="fixed"/>
          <w:tblCellMar>
            <w:top w:w="0" w:type="dxa"/>
            <w:left w:w="108" w:type="dxa"/>
            <w:bottom w:w="0" w:type="dxa"/>
            <w:right w:w="108" w:type="dxa"/>
          </w:tblCellMar>
        </w:tblPrEx>
        <w:trPr>
          <w:trHeight w:val="432" w:hRule="atLeast"/>
          <w:jc w:val="center"/>
        </w:trPr>
        <w:tc>
          <w:tcPr>
            <w:tcW w:w="600" w:type="dxa"/>
            <w:vMerge w:val="continue"/>
            <w:tcBorders>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p>
        </w:tc>
        <w:tc>
          <w:tcPr>
            <w:tcW w:w="750" w:type="dxa"/>
            <w:vMerge w:val="continue"/>
            <w:tcBorders>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群众满意度</w:t>
            </w: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w:t>
            </w:r>
          </w:p>
        </w:tc>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98</w:t>
            </w: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10</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98</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10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8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r>
    </w:tbl>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（二）单位绩效评价情况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方正仿宋" w:cs="方正仿宋"/>
          <w:i w:val="0"/>
          <w:caps w:val="0"/>
          <w:color w:val="333333"/>
          <w:spacing w:val="0"/>
          <w:sz w:val="32"/>
          <w:szCs w:val="32"/>
          <w:shd w:val="clear" w:fill="FFFFFF"/>
          <w:lang w:val="en-US" w:eastAsia="zh-CN" w:bidi="ar-SA"/>
        </w:rPr>
      </w:pPr>
      <w:r>
        <w:rPr>
          <w:rFonts w:hint="eastAsia" w:ascii="Times New Roman" w:hAnsi="Times New Roman" w:eastAsia="方正仿宋" w:cs="方正仿宋"/>
          <w:i w:val="0"/>
          <w:caps w:val="0"/>
          <w:color w:val="333333"/>
          <w:spacing w:val="0"/>
          <w:sz w:val="32"/>
          <w:szCs w:val="32"/>
          <w:shd w:val="clear" w:fill="FFFFFF"/>
          <w:lang w:val="en-US" w:eastAsia="zh-CN" w:bidi="ar-SA"/>
        </w:rPr>
        <w:t>我单位未组织开展绩效评价。</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（三）财政绩效评价情况</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shd w:val="clear" w:color="auto" w:fill="FFFFFF"/>
        </w:rPr>
      </w:pPr>
      <w:r>
        <w:rPr>
          <w:rFonts w:hint="eastAsia" w:ascii="Times New Roman" w:hAnsi="Times New Roman" w:eastAsia="方正仿宋_GBK" w:cs="Times New Roman"/>
          <w:color w:val="auto"/>
          <w:sz w:val="32"/>
          <w:szCs w:val="32"/>
          <w:highlight w:val="none"/>
          <w:shd w:val="clear" w:color="auto" w:fill="FFFFFF"/>
          <w:lang w:val="en-US" w:eastAsia="zh-CN" w:bidi="ar-SA"/>
        </w:rPr>
        <w:t>县</w:t>
      </w:r>
      <w:r>
        <w:rPr>
          <w:rFonts w:hint="default" w:ascii="Times New Roman" w:hAnsi="Times New Roman" w:eastAsia="方正仿宋_GBK" w:cs="Times New Roman"/>
          <w:color w:val="auto"/>
          <w:sz w:val="32"/>
          <w:szCs w:val="32"/>
          <w:highlight w:val="none"/>
          <w:shd w:val="clear" w:color="auto" w:fill="FFFFFF"/>
          <w:lang w:val="en-US" w:eastAsia="zh-CN" w:bidi="ar-SA"/>
        </w:rPr>
        <w:t>财政局未委托第三方对</w:t>
      </w:r>
      <w:r>
        <w:rPr>
          <w:rFonts w:hint="eastAsia" w:ascii="Times New Roman" w:hAnsi="Times New Roman" w:eastAsia="方正仿宋_GBK" w:cs="Times New Roman"/>
          <w:color w:val="auto"/>
          <w:sz w:val="32"/>
          <w:szCs w:val="32"/>
          <w:highlight w:val="none"/>
          <w:shd w:val="clear" w:color="auto" w:fill="FFFFFF"/>
          <w:lang w:val="en-US" w:eastAsia="zh-CN" w:bidi="ar-SA"/>
        </w:rPr>
        <w:t>我单位</w:t>
      </w:r>
      <w:r>
        <w:rPr>
          <w:rFonts w:hint="default" w:ascii="Times New Roman" w:hAnsi="Times New Roman" w:eastAsia="方正仿宋_GBK" w:cs="Times New Roman"/>
          <w:color w:val="auto"/>
          <w:sz w:val="32"/>
          <w:szCs w:val="32"/>
          <w:highlight w:val="none"/>
          <w:shd w:val="clear" w:color="auto" w:fill="FFFFFF"/>
          <w:lang w:val="en-US" w:eastAsia="zh-CN" w:bidi="ar-SA"/>
        </w:rPr>
        <w:t>开展绩效评价。</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六、专业名词解释</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rPr>
        <w:t>（一）财政拨款收入：</w:t>
      </w:r>
      <w:r>
        <w:rPr>
          <w:rFonts w:hint="default" w:ascii="Times New Roman" w:hAnsi="Times New Roman" w:eastAsia="方正仿宋_GBK" w:cs="Times New Roman"/>
          <w:color w:val="auto"/>
          <w:sz w:val="32"/>
          <w:szCs w:val="32"/>
          <w:highlight w:val="none"/>
          <w:shd w:val="clear" w:color="auto" w:fill="FFFFFF"/>
        </w:rPr>
        <w:t>指本年度从本级财政部门取得的财政拨款，包括一般公共预算财政拨款和政府性基金预算财政拨款。</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（二）事业收入：</w:t>
      </w:r>
      <w:r>
        <w:rPr>
          <w:rFonts w:hint="default" w:ascii="Times New Roman" w:hAnsi="Times New Roman" w:eastAsia="方正仿宋_GBK" w:cs="Times New Roman"/>
          <w:color w:val="auto"/>
          <w:sz w:val="32"/>
          <w:szCs w:val="32"/>
          <w:highlight w:val="none"/>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（三）经营收入：</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指事业单位在专业业务活动及其辅助活动之外开展非独立核算经营活动取得的现金流入。</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（四）其他收入：</w:t>
      </w:r>
      <w:r>
        <w:rPr>
          <w:rFonts w:hint="default" w:ascii="Times New Roman" w:hAnsi="Times New Roman" w:eastAsia="方正仿宋_GBK" w:cs="Times New Roman"/>
          <w:color w:val="auto"/>
          <w:sz w:val="32"/>
          <w:szCs w:val="32"/>
          <w:highlight w:val="none"/>
          <w:shd w:val="clear" w:color="auto" w:fill="FFFFFF"/>
        </w:rPr>
        <w:t>指单位取得的除</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财政拨款收入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事业收入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经营收入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（五）使用非财政拨款结余：</w:t>
      </w:r>
      <w:r>
        <w:rPr>
          <w:rFonts w:hint="default" w:ascii="Times New Roman" w:hAnsi="Times New Roman" w:eastAsia="方正仿宋_GBK" w:cs="Times New Roman"/>
          <w:color w:val="auto"/>
          <w:sz w:val="32"/>
          <w:szCs w:val="32"/>
          <w:highlight w:val="none"/>
          <w:shd w:val="clear" w:color="auto" w:fill="FFFFFF"/>
        </w:rPr>
        <w:t>指单位在当年的</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财政拨款收入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事业收入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经营收入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其他收入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等不足以安排当年支出的情况下，使用以前年度积累的非财政拨款结余弥补本年度收支缺口的资金。</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（六）年初结转和结余：</w:t>
      </w:r>
      <w:r>
        <w:rPr>
          <w:rFonts w:hint="default" w:ascii="Times New Roman" w:hAnsi="Times New Roman" w:eastAsia="方正仿宋_GBK" w:cs="Times New Roman"/>
          <w:color w:val="auto"/>
          <w:sz w:val="32"/>
          <w:szCs w:val="32"/>
          <w:highlight w:val="none"/>
          <w:shd w:val="clear" w:color="auto" w:fill="FFFFFF"/>
        </w:rPr>
        <w:t>指单位上年结转本年使用的基本支出结转、项目支出结转和结余、经营结余。</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（七）结余分配：</w:t>
      </w:r>
      <w:r>
        <w:rPr>
          <w:rFonts w:hint="default" w:ascii="Times New Roman" w:hAnsi="Times New Roman" w:eastAsia="方正仿宋_GBK" w:cs="Times New Roman"/>
          <w:color w:val="auto"/>
          <w:sz w:val="32"/>
          <w:szCs w:val="32"/>
          <w:highlight w:val="none"/>
          <w:shd w:val="clear" w:color="auto" w:fill="FFFFFF"/>
        </w:rPr>
        <w:t>指单位按照国家有关规定，缴纳所得税、提取专用基金、转入非财政拨款结余等当年结余的分配情况。</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（八）年末结转和结余：</w:t>
      </w:r>
      <w:r>
        <w:rPr>
          <w:rFonts w:hint="default" w:ascii="Times New Roman" w:hAnsi="Times New Roman" w:eastAsia="方正仿宋_GBK" w:cs="Times New Roman"/>
          <w:color w:val="auto"/>
          <w:sz w:val="32"/>
          <w:szCs w:val="32"/>
          <w:highlight w:val="none"/>
          <w:shd w:val="clear" w:color="auto" w:fill="FFFFFF"/>
        </w:rPr>
        <w:t>指单位结转下年的基本支出结转、项目支出结转和结余、经营结余。</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（九）基本支出：</w:t>
      </w:r>
      <w:r>
        <w:rPr>
          <w:rFonts w:hint="default" w:ascii="Times New Roman" w:hAnsi="Times New Roman" w:eastAsia="方正仿宋_GBK" w:cs="Times New Roman"/>
          <w:color w:val="auto"/>
          <w:sz w:val="32"/>
          <w:szCs w:val="32"/>
          <w:highlight w:val="none"/>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工资福利支出</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和</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对个人和家庭的补助</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；公用经费指政府收支分类经济科目中除</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工资福利支出</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和</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对个人和家庭的补助</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外的其他支出。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（十）项目支出：</w:t>
      </w:r>
      <w:r>
        <w:rPr>
          <w:rFonts w:hint="default" w:ascii="Times New Roman" w:hAnsi="Times New Roman" w:eastAsia="方正仿宋_GBK" w:cs="Times New Roman"/>
          <w:color w:val="auto"/>
          <w:sz w:val="32"/>
          <w:szCs w:val="32"/>
          <w:highlight w:val="none"/>
          <w:shd w:val="clear" w:color="auto" w:fill="FFFFFF"/>
        </w:rPr>
        <w:t>指在基本支出之外为完成特定行政任务和事业发展目标所发生的支出。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（十一）经营支出：</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指事业单位在专业业务活动及其辅助活动之外开展非独立核算经营活动发生的支出。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（十二）</w:t>
      </w:r>
      <w:r>
        <w:rPr>
          <w:rFonts w:hint="eastAsia" w:ascii="方正楷体_GBK" w:hAnsi="方正楷体_GBK" w:eastAsia="方正楷体_GBK" w:cs="方正楷体_GBK"/>
          <w:b w:val="0"/>
          <w:bCs w:val="0"/>
          <w:color w:val="auto"/>
          <w:sz w:val="32"/>
          <w:szCs w:val="32"/>
          <w:highlight w:val="none"/>
          <w:shd w:val="clear" w:color="auto" w:fill="FFFFFF"/>
          <w:lang w:eastAsia="zh-CN"/>
        </w:rPr>
        <w:t>“</w:t>
      </w:r>
      <w:r>
        <w:rPr>
          <w:rFonts w:hint="default" w:ascii="方正楷体_GBK" w:hAnsi="方正楷体_GBK" w:eastAsia="方正楷体_GBK" w:cs="方正楷体_GBK"/>
          <w:b w:val="0"/>
          <w:bCs w:val="0"/>
          <w:color w:val="auto"/>
          <w:sz w:val="32"/>
          <w:szCs w:val="32"/>
          <w:highlight w:val="none"/>
          <w:shd w:val="clear" w:color="auto" w:fill="FFFFFF"/>
        </w:rPr>
        <w:t>三公</w:t>
      </w:r>
      <w:r>
        <w:rPr>
          <w:rFonts w:hint="eastAsia" w:ascii="方正楷体_GBK" w:hAnsi="方正楷体_GBK" w:eastAsia="方正楷体_GBK" w:cs="方正楷体_GBK"/>
          <w:b w:val="0"/>
          <w:bCs w:val="0"/>
          <w:color w:val="auto"/>
          <w:sz w:val="32"/>
          <w:szCs w:val="32"/>
          <w:highlight w:val="none"/>
          <w:shd w:val="clear" w:color="auto" w:fill="FFFFFF"/>
          <w:lang w:eastAsia="zh-CN"/>
        </w:rPr>
        <w:t>”</w:t>
      </w:r>
      <w:r>
        <w:rPr>
          <w:rFonts w:hint="default" w:ascii="方正楷体_GBK" w:hAnsi="方正楷体_GBK" w:eastAsia="方正楷体_GBK" w:cs="方正楷体_GBK"/>
          <w:b w:val="0"/>
          <w:bCs w:val="0"/>
          <w:color w:val="auto"/>
          <w:sz w:val="32"/>
          <w:szCs w:val="32"/>
          <w:highlight w:val="none"/>
          <w:shd w:val="clear" w:color="auto" w:fill="FFFFFF"/>
        </w:rPr>
        <w:t>经费：</w:t>
      </w:r>
      <w:r>
        <w:rPr>
          <w:rFonts w:hint="default" w:ascii="Times New Roman" w:hAnsi="Times New Roman" w:eastAsia="方正仿宋_GBK" w:cs="Times New Roman"/>
          <w:color w:val="auto"/>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（十三）机关运行经费：</w:t>
      </w:r>
      <w:r>
        <w:rPr>
          <w:rFonts w:hint="default" w:ascii="Times New Roman" w:hAnsi="Times New Roman" w:eastAsia="方正仿宋_GBK" w:cs="Times New Roman"/>
          <w:color w:val="auto"/>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（十四）工资福利支出（支出经济分类科目类级）：</w:t>
      </w:r>
      <w:r>
        <w:rPr>
          <w:rFonts w:hint="default" w:ascii="Times New Roman" w:hAnsi="Times New Roman" w:eastAsia="方正仿宋_GBK" w:cs="Times New Roman"/>
          <w:color w:val="auto"/>
          <w:sz w:val="32"/>
          <w:szCs w:val="32"/>
          <w:highlight w:val="none"/>
          <w:shd w:val="clear" w:color="auto" w:fill="FFFFFF"/>
        </w:rPr>
        <w:t>反映单位开支的在职职工和编制外长期聘用人员的各类劳动报酬，以及为上述人员缴纳的各项社会保险费等。</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（十五）商品和服务支出（支出经济分类科目类级）：</w:t>
      </w:r>
      <w:r>
        <w:rPr>
          <w:rFonts w:hint="default" w:ascii="Times New Roman" w:hAnsi="Times New Roman" w:eastAsia="方正仿宋_GBK" w:cs="Times New Roman"/>
          <w:color w:val="auto"/>
          <w:sz w:val="32"/>
          <w:szCs w:val="32"/>
          <w:highlight w:val="none"/>
          <w:shd w:val="clear" w:color="auto" w:fill="FFFFFF"/>
        </w:rPr>
        <w:t>反映单位购买商品和服务的支出（不包括用于购置固定资产的支出、战略性和应急储备支出）。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（十六）对个人和家庭的补助（支出经济分类科目类级）：</w:t>
      </w:r>
      <w:r>
        <w:rPr>
          <w:rFonts w:hint="default" w:ascii="Times New Roman" w:hAnsi="Times New Roman" w:eastAsia="方正仿宋_GBK" w:cs="Times New Roman"/>
          <w:color w:val="auto"/>
          <w:sz w:val="32"/>
          <w:szCs w:val="32"/>
          <w:highlight w:val="none"/>
          <w:shd w:val="clear" w:color="auto" w:fill="FFFFFF"/>
        </w:rPr>
        <w:t>反映用于对个人和家庭的补助支出。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 （十七）其他资本性支出（支出经济分类科目类级）：</w:t>
      </w:r>
      <w:r>
        <w:rPr>
          <w:rFonts w:hint="default" w:ascii="Times New Roman" w:hAnsi="Times New Roman" w:eastAsia="方正仿宋_GBK" w:cs="Times New Roman"/>
          <w:color w:val="auto"/>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  七、决算公开联系方式及信息反馈渠道</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Style w:val="10"/>
          <w:rFonts w:hint="default" w:ascii="Times New Roman" w:hAnsi="Times New Roman" w:eastAsia="方正仿宋_GBK" w:cs="Times New Roman"/>
          <w:color w:val="auto"/>
          <w:sz w:val="32"/>
          <w:szCs w:val="32"/>
          <w:highlight w:val="none"/>
          <w:shd w:val="clear" w:color="auto" w:fill="FFFF00"/>
          <w:lang w:val="en-US"/>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color w:val="auto"/>
          <w:sz w:val="32"/>
          <w:szCs w:val="32"/>
          <w:highlight w:val="none"/>
          <w:shd w:val="clear" w:color="auto" w:fill="FFFFFF"/>
        </w:rPr>
        <w:t>石耶镇农业服务中心（特色产业发展中心）决算公开信息反馈和联系方式：</w:t>
      </w:r>
      <w:r>
        <w:rPr>
          <w:rFonts w:hint="eastAsia" w:ascii="Times New Roman" w:hAnsi="Times New Roman" w:eastAsia="方正仿宋_GBK" w:cs="Times New Roman"/>
          <w:color w:val="auto"/>
          <w:sz w:val="32"/>
          <w:szCs w:val="32"/>
          <w:highlight w:val="none"/>
          <w:shd w:val="clear" w:color="auto" w:fill="FFFFFF"/>
          <w:lang w:eastAsia="zh-CN"/>
        </w:rPr>
        <w:t>肖军胜</w:t>
      </w:r>
      <w:r>
        <w:rPr>
          <w:rFonts w:hint="eastAsia" w:ascii="Times New Roman" w:hAnsi="Times New Roman" w:eastAsia="方正仿宋_GBK" w:cs="Times New Roman"/>
          <w:color w:val="auto"/>
          <w:sz w:val="32"/>
          <w:szCs w:val="32"/>
          <w:highlight w:val="none"/>
          <w:shd w:val="clear" w:color="auto" w:fill="FFFFFF"/>
          <w:lang w:val="en-US" w:eastAsia="zh-CN"/>
        </w:rPr>
        <w:t xml:space="preserve">  023-76624008       </w:t>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p>
    <w:tbl>
      <w:tblPr>
        <w:tblStyle w:val="11"/>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公开单位：</w:t>
            </w:r>
            <w:r>
              <w:rPr>
                <w:rFonts w:hint="default" w:ascii="Times New Roman" w:hAnsi="Times New Roman" w:cs="Times New Roman"/>
                <w:color w:val="auto"/>
                <w:sz w:val="20"/>
                <w:highlight w:val="none"/>
                <w:u w:color="auto"/>
              </w:rPr>
              <w:t>重庆市秀山土家族苗族自治县石耶镇农业服务中心（特色产业发展中心）</w:t>
            </w: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2"/>
                <w:szCs w:val="22"/>
                <w:highlight w:val="none"/>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2"/>
                <w:szCs w:val="22"/>
                <w:highlight w:val="none"/>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441.43</w:t>
            </w: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46.08</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8.53</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321.24</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16.01</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441.43</w:t>
            </w: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391.86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49.57</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441.43</w:t>
            </w: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441.43</w:t>
            </w: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备注：1.本表反映单位本年度的总收支和年末结转结余情况。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pStyle w:val="2"/>
        <w:rPr>
          <w:rFonts w:hint="default" w:ascii="Times New Roman" w:hAnsi="Times New Roman" w:cs="Times New Roman"/>
          <w:color w:val="auto"/>
          <w:sz w:val="20"/>
          <w:szCs w:val="20"/>
          <w:highlight w:val="none"/>
        </w:rPr>
      </w:pPr>
    </w:p>
    <w:p>
      <w:pPr>
        <w:pStyle w:val="3"/>
        <w:rPr>
          <w:rFonts w:hint="default" w:ascii="Times New Roman" w:hAnsi="Times New Roman" w:cs="Times New Roman"/>
          <w:color w:val="auto"/>
          <w:sz w:val="20"/>
          <w:szCs w:val="20"/>
          <w:highlight w:val="none"/>
        </w:rPr>
      </w:pPr>
    </w:p>
    <w:p>
      <w:pPr>
        <w:rPr>
          <w:rFonts w:hint="default" w:ascii="Times New Roman" w:hAnsi="Times New Roman" w:cs="Times New Roman"/>
          <w:color w:val="auto"/>
          <w:sz w:val="20"/>
          <w:szCs w:val="20"/>
          <w:highlight w:val="none"/>
        </w:rPr>
      </w:pPr>
    </w:p>
    <w:p>
      <w:pPr>
        <w:pStyle w:val="2"/>
        <w:rPr>
          <w:rFonts w:hint="default"/>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tbl>
      <w:tblPr>
        <w:tblStyle w:val="11"/>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公开单位：</w:t>
            </w:r>
            <w:r>
              <w:rPr>
                <w:rFonts w:hint="default" w:ascii="Times New Roman" w:hAnsi="Times New Roman" w:cs="Times New Roman"/>
                <w:color w:val="auto"/>
                <w:sz w:val="20"/>
                <w:highlight w:val="none"/>
                <w:u w:color="auto"/>
              </w:rPr>
              <w:t>重庆市秀山土家族苗族自治县石耶镇农业服务中心（特色产业发展中心）</w:t>
            </w: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项</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441.43</w:t>
            </w:r>
            <w:r>
              <w:rPr>
                <w:rFonts w:hint="default" w:ascii="Times New Roman" w:hAnsi="Times New Roman" w:cs="Times New Roman"/>
                <w:b/>
                <w:color w:val="auto"/>
                <w:sz w:val="20"/>
                <w:highlight w:val="none"/>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441.43</w:t>
            </w:r>
            <w:r>
              <w:rPr>
                <w:rFonts w:hint="default" w:ascii="Times New Roman" w:hAnsi="Times New Roman" w:cs="Times New Roman"/>
                <w:b/>
                <w:color w:val="auto"/>
                <w:sz w:val="20"/>
                <w:highlight w:val="none"/>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46.08</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46.08</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46.08</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46.08</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18.06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18.06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18.68</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18.68</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9.34</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9.34</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8.53</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8.53</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8.53</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8.53</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8.53</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8.53</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370.81</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370.81</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203.69</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203.69</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198.85</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198.85</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其他农业农村支出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1.39</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1.39</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2130315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抗旱</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1.39</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1.39</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161.73</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161.73</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2130705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161.73</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161.73</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16.01</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16.01</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16.01</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16.01</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16.01</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16.01</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left="600" w:right="0" w:rightChars="0" w:hanging="600" w:hangingChars="30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备注：1.本表反映单位本年度取得的各项收入情况。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br w:type="page"/>
      </w:r>
    </w:p>
    <w:tbl>
      <w:tblPr>
        <w:tblStyle w:val="11"/>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 xml:space="preserve">重庆市秀山土家族苗族自治县石耶镇农业服务中心（特色产业发展中心） </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项</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391.86</w:t>
            </w:r>
            <w:r>
              <w:rPr>
                <w:rFonts w:hint="default" w:ascii="Times New Roman" w:hAnsi="Times New Roman" w:cs="Times New Roman"/>
                <w:b/>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350.47</w:t>
            </w:r>
            <w:r>
              <w:rPr>
                <w:rFonts w:hint="default" w:ascii="Times New Roman" w:hAnsi="Times New Roman" w:cs="Times New Roman"/>
                <w:b/>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41.39</w:t>
            </w:r>
            <w:r>
              <w:rPr>
                <w:rFonts w:hint="default" w:ascii="Times New Roman" w:hAnsi="Times New Roman" w:cs="Times New Roman"/>
                <w:b/>
                <w:color w:val="auto"/>
                <w:sz w:val="20"/>
                <w:highlight w:val="none"/>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46.08</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46.08</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46.08</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46.08</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18.06</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18.06</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18.68</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18.68</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9.34</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9.34</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8.53</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8.53</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8.53</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8.53</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8.53</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8.53</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321.24</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279.85</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41.39</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154.12</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150.12</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149.28</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149.28</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病虫害控制</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其他农业农村支出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水利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1.39</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1.39</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2130315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抗旱</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1.39</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1.39</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161.73</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129.73</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32</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2130705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161.73</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129.73</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32</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16.01</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16.01</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16.01</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16.01</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16.01</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16.01</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备注：1.本表反映单位本年度各项支出情况。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p>
    <w:tbl>
      <w:tblPr>
        <w:tblStyle w:val="11"/>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重庆市秀山土家族苗族自治县石耶镇农业服务中心（特色产业发展中心）</w:t>
            </w:r>
          </w:p>
        </w:tc>
        <w:tc>
          <w:tcPr>
            <w:tcW w:w="319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441.43</w:t>
            </w: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46.08</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46.08</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8.53</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8.53</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321.24</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321.24</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16.01</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16.01</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441.43</w:t>
            </w: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391.86</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391.86</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49.57</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49.57</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441.43</w:t>
            </w: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441.43</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441.43</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1"/>
          <w:szCs w:val="21"/>
          <w:highlight w:val="none"/>
        </w:rPr>
        <w:br w:type="page"/>
      </w:r>
    </w:p>
    <w:tbl>
      <w:tblPr>
        <w:tblStyle w:val="11"/>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重庆市秀山土家族苗族自治县石耶镇农业服务中心（特色产业发展中心）</w:t>
            </w: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项</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391.86</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350.47</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41.39</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46.08</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46.08</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46.08</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46.08</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18.06</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18.06</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18.68</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18.68</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9.34</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9.34</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8.53</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8.53</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8.53</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8.53</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8.53</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8.53</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321.24</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279.85</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41.39</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农业农村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154.12</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150.12</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149.28</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149.28</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病虫害控制</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其他农业农村支出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水利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1.39</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1.39</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2130315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抗旱</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1.39</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1.39</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巩固脱贫攻坚成果衔接乡村振兴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农村综合改革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161.73</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129.73</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32</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2130705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对村民委员会和村党支部的补助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161.73</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129.73</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32</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16.01</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16.01</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16.01</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16.01</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16.01</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16.01</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备注：1.本表反映单位本年度一般公共预算财政拨款支出情况。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630" w:firstLineChars="30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11"/>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重庆市秀山土家族苗族自治县石耶镇农业服务中心（特色产业发展中心）</w:t>
            </w: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款</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款</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款</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177.60</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16.22</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42.51</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9.72</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10.12</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0.53</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69.23</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0.26</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18.68</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0.37</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9.34</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8.53</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0.26</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0.59</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16.01</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2.40</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156.65</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0.65</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7.66</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147.03</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0.29</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1.96</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0.52</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0.71</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334.25</w:t>
            </w:r>
            <w:r>
              <w:rPr>
                <w:rFonts w:hint="default" w:ascii="Times New Roman" w:hAnsi="Times New Roman" w:cs="Times New Roman"/>
                <w:color w:val="auto"/>
                <w:sz w:val="18"/>
                <w:highlight w:val="none"/>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16.22</w:t>
            </w:r>
            <w:r>
              <w:rPr>
                <w:rFonts w:hint="default" w:ascii="Times New Roman" w:hAnsi="Times New Roman" w:cs="Times New Roman"/>
                <w:color w:val="auto"/>
                <w:sz w:val="18"/>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备注：1.本表反映单位本年度一般公共预算财政拨款基本支出明细情况。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1"/>
          <w:szCs w:val="21"/>
          <w:highlight w:val="none"/>
        </w:rPr>
        <w:br w:type="page"/>
      </w:r>
    </w:p>
    <w:tbl>
      <w:tblPr>
        <w:tblStyle w:val="11"/>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重庆市秀山土家族苗族自治县石耶镇农业服务中心（特色产业发展中心）</w:t>
            </w: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项</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备注：本表反映单位本年度政府性基金预算财政拨款收入支出及结转和结余情况。</w:t>
      </w:r>
      <w:r>
        <w:rPr>
          <w:rFonts w:hint="eastAsia" w:ascii="Times New Roman" w:hAnsi="Times New Roman" w:cs="Times New Roman"/>
          <w:color w:val="auto"/>
          <w:sz w:val="20"/>
          <w:szCs w:val="20"/>
          <w:highlight w:val="none"/>
          <w:lang w:eastAsia="zh-CN"/>
        </w:rPr>
        <w:t>石耶镇农业服务中心（特色产业发展中心）</w:t>
      </w:r>
      <w:r>
        <w:rPr>
          <w:rFonts w:hint="default" w:ascii="Times New Roman" w:hAnsi="Times New Roman" w:cs="Times New Roman"/>
          <w:color w:val="auto"/>
          <w:sz w:val="20"/>
          <w:szCs w:val="20"/>
          <w:highlight w:val="none"/>
        </w:rPr>
        <w:t>无政府性基金收支，故本表无数据。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11"/>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重庆市秀山土家族苗族自治县石耶镇农业服务中心（特色产业发展中心）</w:t>
            </w: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b/>
                <w:color w:val="auto"/>
                <w:sz w:val="20"/>
                <w:szCs w:val="20"/>
                <w:highlight w:val="none"/>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备注：本表反映单位本年度国有资本经营预算财政拨款支出情况。</w:t>
      </w:r>
      <w:r>
        <w:rPr>
          <w:rFonts w:hint="eastAsia" w:ascii="Times New Roman" w:hAnsi="Times New Roman" w:cs="Times New Roman"/>
          <w:color w:val="auto"/>
          <w:sz w:val="20"/>
          <w:szCs w:val="20"/>
          <w:highlight w:val="none"/>
          <w:lang w:eastAsia="zh-CN"/>
        </w:rPr>
        <w:t>石耶镇农业服务中心（特色产业发展中心）</w:t>
      </w:r>
      <w:r>
        <w:rPr>
          <w:rFonts w:hint="default" w:ascii="Times New Roman" w:hAnsi="Times New Roman" w:cs="Times New Roman"/>
          <w:color w:val="auto"/>
          <w:sz w:val="20"/>
          <w:szCs w:val="20"/>
          <w:highlight w:val="none"/>
        </w:rPr>
        <w:t>无国有资本经营收支，故本表无数据。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11"/>
        <w:tblW w:w="15120" w:type="dxa"/>
        <w:tblInd w:w="0" w:type="dxa"/>
        <w:tblLayout w:type="fixed"/>
        <w:tblCellMar>
          <w:top w:w="0" w:type="dxa"/>
          <w:left w:w="0" w:type="dxa"/>
          <w:bottom w:w="0" w:type="dxa"/>
          <w:right w:w="0" w:type="dxa"/>
        </w:tblCellMar>
      </w:tblPr>
      <w:tblGrid>
        <w:gridCol w:w="4097"/>
        <w:gridCol w:w="2198"/>
        <w:gridCol w:w="2148"/>
        <w:gridCol w:w="4582"/>
        <w:gridCol w:w="2095"/>
      </w:tblGrid>
      <w:tr>
        <w:tblPrEx>
          <w:tblLayout w:type="fixed"/>
          <w:tblCellMar>
            <w:top w:w="0" w:type="dxa"/>
            <w:left w:w="0" w:type="dxa"/>
            <w:bottom w:w="0" w:type="dxa"/>
            <w:right w:w="0" w:type="dxa"/>
          </w:tblCellMar>
        </w:tblPrEx>
        <w:trPr>
          <w:trHeight w:val="587" w:hRule="atLeast"/>
        </w:trPr>
        <w:tc>
          <w:tcPr>
            <w:tcW w:w="1512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机构运行信息表</w:t>
            </w:r>
          </w:p>
        </w:tc>
      </w:tr>
      <w:tr>
        <w:tblPrEx>
          <w:tblLayout w:type="fixed"/>
          <w:tblCellMar>
            <w:top w:w="0" w:type="dxa"/>
            <w:left w:w="0" w:type="dxa"/>
            <w:bottom w:w="0" w:type="dxa"/>
            <w:right w:w="0" w:type="dxa"/>
          </w:tblCellMar>
        </w:tblPrEx>
        <w:trPr>
          <w:trHeight w:val="301" w:hRule="atLeast"/>
        </w:trPr>
        <w:tc>
          <w:tcPr>
            <w:tcW w:w="409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19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color w:val="auto"/>
                <w:sz w:val="20"/>
                <w:szCs w:val="20"/>
                <w:highlight w:val="none"/>
              </w:rPr>
            </w:pPr>
          </w:p>
        </w:tc>
        <w:tc>
          <w:tcPr>
            <w:tcW w:w="214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58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公开09表</w:t>
            </w:r>
          </w:p>
        </w:tc>
      </w:tr>
      <w:tr>
        <w:tblPrEx>
          <w:tblLayout w:type="fixed"/>
          <w:tblCellMar>
            <w:top w:w="0" w:type="dxa"/>
            <w:left w:w="0" w:type="dxa"/>
            <w:bottom w:w="0" w:type="dxa"/>
            <w:right w:w="0" w:type="dxa"/>
          </w:tblCellMar>
        </w:tblPrEx>
        <w:trPr>
          <w:trHeight w:val="587" w:hRule="atLeast"/>
        </w:trPr>
        <w:tc>
          <w:tcPr>
            <w:tcW w:w="4097"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重庆市秀山土家族苗族自治县石耶镇农业服务中心（特色产业发展中心）</w:t>
            </w:r>
          </w:p>
        </w:tc>
        <w:tc>
          <w:tcPr>
            <w:tcW w:w="2198"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color w:val="auto"/>
                <w:sz w:val="20"/>
                <w:szCs w:val="20"/>
                <w:highlight w:val="none"/>
              </w:rPr>
            </w:pPr>
          </w:p>
        </w:tc>
        <w:tc>
          <w:tcPr>
            <w:tcW w:w="2148"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582"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95"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09" w:hRule="atLeast"/>
        </w:trPr>
        <w:tc>
          <w:tcPr>
            <w:tcW w:w="409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  目</w:t>
            </w:r>
          </w:p>
        </w:tc>
        <w:tc>
          <w:tcPr>
            <w:tcW w:w="219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预算数</w:t>
            </w:r>
          </w:p>
        </w:tc>
        <w:tc>
          <w:tcPr>
            <w:tcW w:w="214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c>
          <w:tcPr>
            <w:tcW w:w="458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  目</w:t>
            </w:r>
          </w:p>
        </w:tc>
        <w:tc>
          <w:tcPr>
            <w:tcW w:w="209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r>
      <w:tr>
        <w:tblPrEx>
          <w:tblLayout w:type="fixed"/>
          <w:tblCellMar>
            <w:top w:w="0" w:type="dxa"/>
            <w:left w:w="0" w:type="dxa"/>
            <w:bottom w:w="0" w:type="dxa"/>
            <w:right w:w="0" w:type="dxa"/>
          </w:tblCellMar>
        </w:tblPrEx>
        <w:trPr>
          <w:trHeight w:val="309" w:hRule="atLeast"/>
        </w:trPr>
        <w:tc>
          <w:tcPr>
            <w:tcW w:w="409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三公</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经费支出</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458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四、机关运行经费</w:t>
            </w:r>
          </w:p>
        </w:tc>
        <w:tc>
          <w:tcPr>
            <w:tcW w:w="2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9" w:hRule="atLeast"/>
        </w:trPr>
        <w:tc>
          <w:tcPr>
            <w:tcW w:w="409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（一）支出合计</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58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（一）行政单位</w:t>
            </w:r>
          </w:p>
        </w:tc>
        <w:tc>
          <w:tcPr>
            <w:tcW w:w="2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9" w:hRule="atLeast"/>
        </w:trPr>
        <w:tc>
          <w:tcPr>
            <w:tcW w:w="409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1．因公出国（境）费</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58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（二）参照公务员法管理事业单位</w:t>
            </w:r>
          </w:p>
        </w:tc>
        <w:tc>
          <w:tcPr>
            <w:tcW w:w="2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9" w:hRule="atLeast"/>
        </w:trPr>
        <w:tc>
          <w:tcPr>
            <w:tcW w:w="409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2．公务用车购置及运行维护费</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58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五、资产信息</w:t>
            </w:r>
          </w:p>
        </w:tc>
        <w:tc>
          <w:tcPr>
            <w:tcW w:w="2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r>
      <w:tr>
        <w:tblPrEx>
          <w:tblLayout w:type="fixed"/>
          <w:tblCellMar>
            <w:top w:w="0" w:type="dxa"/>
            <w:left w:w="0" w:type="dxa"/>
            <w:bottom w:w="0" w:type="dxa"/>
            <w:right w:w="0" w:type="dxa"/>
          </w:tblCellMar>
        </w:tblPrEx>
        <w:trPr>
          <w:trHeight w:val="309" w:hRule="atLeast"/>
        </w:trPr>
        <w:tc>
          <w:tcPr>
            <w:tcW w:w="409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（1）公务用车购置费</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58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（一）车辆数合计（辆）</w:t>
            </w:r>
          </w:p>
        </w:tc>
        <w:tc>
          <w:tcPr>
            <w:tcW w:w="2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9" w:hRule="atLeast"/>
        </w:trPr>
        <w:tc>
          <w:tcPr>
            <w:tcW w:w="409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（2）公务用车运行维护费</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58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1．副部（省）级及以上领导用车</w:t>
            </w:r>
          </w:p>
        </w:tc>
        <w:tc>
          <w:tcPr>
            <w:tcW w:w="2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9" w:hRule="atLeast"/>
        </w:trPr>
        <w:tc>
          <w:tcPr>
            <w:tcW w:w="409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3．公务接待费</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58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2．主要领导干部用车</w:t>
            </w:r>
          </w:p>
        </w:tc>
        <w:tc>
          <w:tcPr>
            <w:tcW w:w="2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9" w:hRule="atLeast"/>
        </w:trPr>
        <w:tc>
          <w:tcPr>
            <w:tcW w:w="409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（1）国内接待费</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58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3．机要通信用车</w:t>
            </w:r>
          </w:p>
        </w:tc>
        <w:tc>
          <w:tcPr>
            <w:tcW w:w="2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9" w:hRule="atLeast"/>
        </w:trPr>
        <w:tc>
          <w:tcPr>
            <w:tcW w:w="409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其中：外事接待费</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58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4．应急保障用车</w:t>
            </w:r>
          </w:p>
        </w:tc>
        <w:tc>
          <w:tcPr>
            <w:tcW w:w="2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9" w:hRule="atLeast"/>
        </w:trPr>
        <w:tc>
          <w:tcPr>
            <w:tcW w:w="409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（2）国（境）外接待费</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58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5．执法执勤用车</w:t>
            </w:r>
          </w:p>
        </w:tc>
        <w:tc>
          <w:tcPr>
            <w:tcW w:w="2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9" w:hRule="atLeast"/>
        </w:trPr>
        <w:tc>
          <w:tcPr>
            <w:tcW w:w="409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（二）相关统计数</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458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6．特种专业技术用车</w:t>
            </w:r>
          </w:p>
        </w:tc>
        <w:tc>
          <w:tcPr>
            <w:tcW w:w="2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9" w:hRule="atLeast"/>
        </w:trPr>
        <w:tc>
          <w:tcPr>
            <w:tcW w:w="409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1．因公出国（境）团组数（个）</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4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58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7．离退休干部用车</w:t>
            </w:r>
          </w:p>
        </w:tc>
        <w:tc>
          <w:tcPr>
            <w:tcW w:w="2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9" w:hRule="atLeast"/>
        </w:trPr>
        <w:tc>
          <w:tcPr>
            <w:tcW w:w="409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2．因公出国（境）人次数（人）</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4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58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8．其他用车</w:t>
            </w:r>
          </w:p>
        </w:tc>
        <w:tc>
          <w:tcPr>
            <w:tcW w:w="2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9" w:hRule="atLeast"/>
        </w:trPr>
        <w:tc>
          <w:tcPr>
            <w:tcW w:w="409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3．公务用车购置数（辆）</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4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58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（二）单价100万元（含）以上设备（不含车辆）</w:t>
            </w:r>
          </w:p>
        </w:tc>
        <w:tc>
          <w:tcPr>
            <w:tcW w:w="2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9" w:hRule="atLeast"/>
        </w:trPr>
        <w:tc>
          <w:tcPr>
            <w:tcW w:w="409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4．公务用车保有量（辆）</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4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58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六、政府采购支出信息</w:t>
            </w:r>
          </w:p>
        </w:tc>
        <w:tc>
          <w:tcPr>
            <w:tcW w:w="2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r>
      <w:tr>
        <w:tblPrEx>
          <w:tblLayout w:type="fixed"/>
          <w:tblCellMar>
            <w:top w:w="0" w:type="dxa"/>
            <w:left w:w="0" w:type="dxa"/>
            <w:bottom w:w="0" w:type="dxa"/>
            <w:right w:w="0" w:type="dxa"/>
          </w:tblCellMar>
        </w:tblPrEx>
        <w:trPr>
          <w:trHeight w:val="309" w:hRule="atLeast"/>
        </w:trPr>
        <w:tc>
          <w:tcPr>
            <w:tcW w:w="409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5．国内公务接待批次（个）</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4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58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（一）政府采购支出合计</w:t>
            </w:r>
          </w:p>
        </w:tc>
        <w:tc>
          <w:tcPr>
            <w:tcW w:w="2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0.41</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9" w:hRule="atLeast"/>
        </w:trPr>
        <w:tc>
          <w:tcPr>
            <w:tcW w:w="409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其中：外事接待批次（个）</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4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58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1．政府采购货物支出</w:t>
            </w:r>
          </w:p>
        </w:tc>
        <w:tc>
          <w:tcPr>
            <w:tcW w:w="2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0.41</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9" w:hRule="atLeast"/>
        </w:trPr>
        <w:tc>
          <w:tcPr>
            <w:tcW w:w="409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6．国内公务接待人次（人）</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4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58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2．政府采购工程支出</w:t>
            </w:r>
          </w:p>
        </w:tc>
        <w:tc>
          <w:tcPr>
            <w:tcW w:w="2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9" w:hRule="atLeast"/>
        </w:trPr>
        <w:tc>
          <w:tcPr>
            <w:tcW w:w="409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其中：外事接待人次（人）</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4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58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3．政府采购服务支出</w:t>
            </w:r>
          </w:p>
        </w:tc>
        <w:tc>
          <w:tcPr>
            <w:tcW w:w="2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9" w:hRule="atLeast"/>
        </w:trPr>
        <w:tc>
          <w:tcPr>
            <w:tcW w:w="409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7．国（境）外公务接待批次（个）</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4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58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（二）政府采购授予中小企业合同金额</w:t>
            </w:r>
          </w:p>
        </w:tc>
        <w:tc>
          <w:tcPr>
            <w:tcW w:w="2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0.41</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9" w:hRule="atLeast"/>
        </w:trPr>
        <w:tc>
          <w:tcPr>
            <w:tcW w:w="409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8．国（境）外公务接待人次（人）</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4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58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其中：授予小微企业合同金额</w:t>
            </w:r>
          </w:p>
        </w:tc>
        <w:tc>
          <w:tcPr>
            <w:tcW w:w="2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0.41</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9" w:hRule="atLeast"/>
        </w:trPr>
        <w:tc>
          <w:tcPr>
            <w:tcW w:w="409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二、会议费</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58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r>
      <w:tr>
        <w:tblPrEx>
          <w:tblLayout w:type="fixed"/>
          <w:tblCellMar>
            <w:top w:w="0" w:type="dxa"/>
            <w:left w:w="0" w:type="dxa"/>
            <w:bottom w:w="0" w:type="dxa"/>
            <w:right w:w="0" w:type="dxa"/>
          </w:tblCellMar>
        </w:tblPrEx>
        <w:trPr>
          <w:trHeight w:val="318" w:hRule="atLeast"/>
        </w:trPr>
        <w:tc>
          <w:tcPr>
            <w:tcW w:w="409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三、培训费</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0.65</w:t>
            </w:r>
            <w:r>
              <w:rPr>
                <w:rFonts w:hint="default" w:ascii="Times New Roman" w:hAnsi="Times New Roman" w:cs="Times New Roman"/>
                <w:color w:val="auto"/>
                <w:sz w:val="20"/>
                <w:highlight w:val="none"/>
                <w:u w:color="auto"/>
              </w:rPr>
              <w:t xml:space="preserve"> </w:t>
            </w:r>
          </w:p>
        </w:tc>
        <w:tc>
          <w:tcPr>
            <w:tcW w:w="458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备注：1.本表反映单位本年度财政拨款</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三公</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经费支出预决算情况。其中，预算数为</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三公</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经费全年预算数，反映按规定程序调整后的预算数；决算数为包括本年度财政拨款和以前年度结转资金安排的实际支出。</w:t>
      </w:r>
      <w:bookmarkStart w:id="0" w:name="_GoBack"/>
      <w:bookmarkEnd w:id="0"/>
      <w:r>
        <w:rPr>
          <w:rFonts w:hint="default" w:ascii="Times New Roman" w:hAnsi="Times New Roman" w:cs="Times New Roman"/>
          <w:color w:val="auto"/>
          <w:sz w:val="20"/>
          <w:szCs w:val="20"/>
          <w:highlight w:val="none"/>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66E1394C"/>
    <w:multiLevelType w:val="singleLevel"/>
    <w:tmpl w:val="66E1394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9E309D"/>
    <w:rsid w:val="03B87EA0"/>
    <w:rsid w:val="03E3214F"/>
    <w:rsid w:val="044C50BA"/>
    <w:rsid w:val="052F560B"/>
    <w:rsid w:val="05BC6D49"/>
    <w:rsid w:val="06194FF1"/>
    <w:rsid w:val="06A2550B"/>
    <w:rsid w:val="06F80EE2"/>
    <w:rsid w:val="07001CCA"/>
    <w:rsid w:val="075678DB"/>
    <w:rsid w:val="079D7CC7"/>
    <w:rsid w:val="08051BCA"/>
    <w:rsid w:val="086C12F4"/>
    <w:rsid w:val="08705944"/>
    <w:rsid w:val="08BA052C"/>
    <w:rsid w:val="08DB07BA"/>
    <w:rsid w:val="08FB1C96"/>
    <w:rsid w:val="0969353F"/>
    <w:rsid w:val="098305D0"/>
    <w:rsid w:val="0A3317EA"/>
    <w:rsid w:val="0A5C4B69"/>
    <w:rsid w:val="0A86124A"/>
    <w:rsid w:val="0AB2242D"/>
    <w:rsid w:val="0AB54CC0"/>
    <w:rsid w:val="0B3F0B26"/>
    <w:rsid w:val="0B9335CE"/>
    <w:rsid w:val="0BF2311A"/>
    <w:rsid w:val="0C7927C4"/>
    <w:rsid w:val="0C9B098C"/>
    <w:rsid w:val="0D2F3F93"/>
    <w:rsid w:val="0D673E11"/>
    <w:rsid w:val="0DDA54E4"/>
    <w:rsid w:val="0E093FC1"/>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7D6426"/>
    <w:rsid w:val="163A6CEE"/>
    <w:rsid w:val="173708E3"/>
    <w:rsid w:val="17C374FC"/>
    <w:rsid w:val="17CF2AD0"/>
    <w:rsid w:val="182E4AB6"/>
    <w:rsid w:val="189079DC"/>
    <w:rsid w:val="189B0D0B"/>
    <w:rsid w:val="18B43F7C"/>
    <w:rsid w:val="194A1770"/>
    <w:rsid w:val="19B906A4"/>
    <w:rsid w:val="1A9A08DE"/>
    <w:rsid w:val="1AD428B6"/>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FB22CB"/>
    <w:rsid w:val="20642787"/>
    <w:rsid w:val="20FE1943"/>
    <w:rsid w:val="21556F04"/>
    <w:rsid w:val="22403BD3"/>
    <w:rsid w:val="24B92327"/>
    <w:rsid w:val="24C14514"/>
    <w:rsid w:val="2533755C"/>
    <w:rsid w:val="25791755"/>
    <w:rsid w:val="26396DF4"/>
    <w:rsid w:val="27167136"/>
    <w:rsid w:val="271B442C"/>
    <w:rsid w:val="27B23302"/>
    <w:rsid w:val="29310A5F"/>
    <w:rsid w:val="29C37A35"/>
    <w:rsid w:val="2A076083"/>
    <w:rsid w:val="2A6A14CA"/>
    <w:rsid w:val="2A73162E"/>
    <w:rsid w:val="2B167953"/>
    <w:rsid w:val="2B200583"/>
    <w:rsid w:val="2B8209DE"/>
    <w:rsid w:val="2C636760"/>
    <w:rsid w:val="2C6762A3"/>
    <w:rsid w:val="2CA3147D"/>
    <w:rsid w:val="2EDA36DE"/>
    <w:rsid w:val="2F050E4F"/>
    <w:rsid w:val="2FCA4B37"/>
    <w:rsid w:val="2FE029D7"/>
    <w:rsid w:val="2FF06E00"/>
    <w:rsid w:val="30586FEC"/>
    <w:rsid w:val="315F0B22"/>
    <w:rsid w:val="31D84415"/>
    <w:rsid w:val="32285F6F"/>
    <w:rsid w:val="32770556"/>
    <w:rsid w:val="329C0913"/>
    <w:rsid w:val="32AA0460"/>
    <w:rsid w:val="3337290D"/>
    <w:rsid w:val="33E31118"/>
    <w:rsid w:val="33EF7674"/>
    <w:rsid w:val="33F14174"/>
    <w:rsid w:val="342D7BC6"/>
    <w:rsid w:val="34DC730B"/>
    <w:rsid w:val="35094EF7"/>
    <w:rsid w:val="352930DB"/>
    <w:rsid w:val="35573069"/>
    <w:rsid w:val="355F6038"/>
    <w:rsid w:val="358C217E"/>
    <w:rsid w:val="360047AC"/>
    <w:rsid w:val="36C16A24"/>
    <w:rsid w:val="36C9128A"/>
    <w:rsid w:val="37841E99"/>
    <w:rsid w:val="37BF1123"/>
    <w:rsid w:val="37FD1F42"/>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7E0A7F"/>
    <w:rsid w:val="41E0734B"/>
    <w:rsid w:val="426C1EA8"/>
    <w:rsid w:val="42736402"/>
    <w:rsid w:val="42E86A87"/>
    <w:rsid w:val="43307B09"/>
    <w:rsid w:val="439A3EB9"/>
    <w:rsid w:val="43BB152F"/>
    <w:rsid w:val="44C37687"/>
    <w:rsid w:val="45471501"/>
    <w:rsid w:val="45CB699A"/>
    <w:rsid w:val="465B470D"/>
    <w:rsid w:val="469D6AD4"/>
    <w:rsid w:val="471E6C84"/>
    <w:rsid w:val="4748792B"/>
    <w:rsid w:val="475D719D"/>
    <w:rsid w:val="47674801"/>
    <w:rsid w:val="48225EF7"/>
    <w:rsid w:val="488F422B"/>
    <w:rsid w:val="48E36915"/>
    <w:rsid w:val="48EB6572"/>
    <w:rsid w:val="495C4A24"/>
    <w:rsid w:val="497135DF"/>
    <w:rsid w:val="4A102351"/>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61654A"/>
    <w:rsid w:val="5582012B"/>
    <w:rsid w:val="558E4E05"/>
    <w:rsid w:val="55BE2E85"/>
    <w:rsid w:val="56530F5D"/>
    <w:rsid w:val="567700D3"/>
    <w:rsid w:val="56FF7E9E"/>
    <w:rsid w:val="578867FC"/>
    <w:rsid w:val="5842572D"/>
    <w:rsid w:val="58F42D23"/>
    <w:rsid w:val="5A3B59D6"/>
    <w:rsid w:val="5AD134D8"/>
    <w:rsid w:val="5BD76C07"/>
    <w:rsid w:val="5C263CE4"/>
    <w:rsid w:val="5C5D2777"/>
    <w:rsid w:val="5CF66BF3"/>
    <w:rsid w:val="5D290C69"/>
    <w:rsid w:val="5F2D4A41"/>
    <w:rsid w:val="601304F0"/>
    <w:rsid w:val="60C74F6C"/>
    <w:rsid w:val="61025A59"/>
    <w:rsid w:val="613D5BBC"/>
    <w:rsid w:val="61536C39"/>
    <w:rsid w:val="62893D1C"/>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87378"/>
    <w:rsid w:val="6AAD14B7"/>
    <w:rsid w:val="6AAD2300"/>
    <w:rsid w:val="6B474EF5"/>
    <w:rsid w:val="6C0A5AC5"/>
    <w:rsid w:val="6C560CAE"/>
    <w:rsid w:val="6C576495"/>
    <w:rsid w:val="6D903FF5"/>
    <w:rsid w:val="6DA955B8"/>
    <w:rsid w:val="6DE346AB"/>
    <w:rsid w:val="6DE5391A"/>
    <w:rsid w:val="6EFD1324"/>
    <w:rsid w:val="6F5A53AC"/>
    <w:rsid w:val="6FA24E9A"/>
    <w:rsid w:val="6FAC003D"/>
    <w:rsid w:val="6FE55E12"/>
    <w:rsid w:val="6FFB2E76"/>
    <w:rsid w:val="706D2370"/>
    <w:rsid w:val="708F6F7F"/>
    <w:rsid w:val="70D94BD3"/>
    <w:rsid w:val="71C34D91"/>
    <w:rsid w:val="71C763DE"/>
    <w:rsid w:val="72DB435C"/>
    <w:rsid w:val="72E2613A"/>
    <w:rsid w:val="72F771F4"/>
    <w:rsid w:val="73934AD2"/>
    <w:rsid w:val="750837F0"/>
    <w:rsid w:val="754758CF"/>
    <w:rsid w:val="762A0551"/>
    <w:rsid w:val="764F62AB"/>
    <w:rsid w:val="765C45EC"/>
    <w:rsid w:val="768A7619"/>
    <w:rsid w:val="772E1EBA"/>
    <w:rsid w:val="781926BC"/>
    <w:rsid w:val="796D60A4"/>
    <w:rsid w:val="79A031D5"/>
    <w:rsid w:val="7A1525F7"/>
    <w:rsid w:val="7ACA09E1"/>
    <w:rsid w:val="7B420052"/>
    <w:rsid w:val="7B976DDF"/>
    <w:rsid w:val="7BD06A28"/>
    <w:rsid w:val="7C3A7C0B"/>
    <w:rsid w:val="7C5248E4"/>
    <w:rsid w:val="7C566698"/>
    <w:rsid w:val="7C5866A3"/>
    <w:rsid w:val="7D7406BB"/>
    <w:rsid w:val="7DE94331"/>
    <w:rsid w:val="7F446A19"/>
    <w:rsid w:val="7F7452B9"/>
    <w:rsid w:val="7FC41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basedOn w:val="1"/>
    <w:next w:val="1"/>
    <w:qFormat/>
    <w:uiPriority w:val="0"/>
    <w:pPr>
      <w:spacing w:before="0" w:beforeAutospacing="0" w:after="0" w:afterAutospacing="0"/>
      <w:ind w:left="100" w:leftChars="2500" w:right="0"/>
      <w:jc w:val="left"/>
    </w:pPr>
    <w:rPr>
      <w:rFonts w:hint="eastAsia" w:ascii="宋体" w:hAnsi="宋体" w:eastAsia="宋体" w:cs="宋体"/>
      <w:kern w:val="0"/>
      <w:sz w:val="24"/>
      <w:szCs w:val="24"/>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1</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2024-09-27T03:13:25Z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