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outlineLvl w:val="9"/>
        <w:rPr>
          <w:rFonts w:hint="eastAsia" w:ascii="方正小标宋_GBK" w:hAnsi="方正小标宋_GBK" w:eastAsia="方正小标宋_GBK" w:cs="方正小标宋_GBK"/>
          <w:color w:val="auto"/>
          <w:sz w:val="36"/>
          <w:szCs w:val="36"/>
          <w:highlight w:val="none"/>
          <w:shd w:val="clear" w:color="auto" w:fill="FFFFFF"/>
        </w:rPr>
      </w:pPr>
      <w:r>
        <w:rPr>
          <w:rFonts w:hint="eastAsia" w:ascii="方正小标宋_GBK" w:hAnsi="方正小标宋_GBK" w:eastAsia="方正小标宋_GBK" w:cs="方正小标宋_GBK"/>
          <w:color w:val="auto"/>
          <w:sz w:val="36"/>
          <w:szCs w:val="36"/>
          <w:highlight w:val="none"/>
          <w:lang w:val="en-US" w:eastAsia="zh-CN"/>
        </w:rPr>
        <w:t xml:space="preserve">   </w:t>
      </w:r>
      <w:r>
        <w:rPr>
          <w:rFonts w:hint="eastAsia" w:ascii="方正小标宋_GBK" w:hAnsi="方正小标宋_GBK" w:eastAsia="方正小标宋_GBK" w:cs="方正小标宋_GBK"/>
          <w:color w:val="auto"/>
          <w:sz w:val="36"/>
          <w:szCs w:val="36"/>
          <w:highlight w:val="none"/>
        </w:rPr>
        <w:t>重庆市秀山土家族苗族自治县石耶镇人民政府（本级）</w:t>
      </w:r>
      <w:r>
        <w:rPr>
          <w:rFonts w:hint="eastAsia" w:ascii="方正小标宋_GBK" w:hAnsi="方正小标宋_GBK" w:eastAsia="方正小标宋_GBK" w:cs="方正小标宋_GBK"/>
          <w:color w:val="auto"/>
          <w:sz w:val="36"/>
          <w:szCs w:val="36"/>
          <w:highlight w:val="none"/>
          <w:shd w:val="clear" w:color="auto" w:fill="FFFFFF"/>
        </w:rPr>
        <w:t>2023年度决算公开说明</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outlineLvl w:val="9"/>
        <w:rPr>
          <w:rFonts w:hint="eastAsia" w:ascii="方正小标宋_GBK" w:hAnsi="方正小标宋_GBK" w:eastAsia="方正小标宋_GBK" w:cs="方正小标宋_GBK"/>
          <w:color w:val="auto"/>
          <w:sz w:val="36"/>
          <w:szCs w:val="36"/>
          <w:highlight w:val="none"/>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（一）职能职责</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石耶镇人民政府是秀山县政府的派出机构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受县政府领导</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依据法律</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法规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在辖区内行使政府的管理职能。</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rPr>
        <w:t>贯彻执行法律、法规、规章和县人民政府的决策部署、依法管理本辖区内公共事务。</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2</w:t>
      </w:r>
      <w:r>
        <w:rPr>
          <w:rFonts w:hint="eastAsia"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协助依法履行安全生产、消防安全、食品安全、环境保护、劳动保障、流动人口及出租房屋监督管理工作，承担辖区应急、防汛和防灾减灾工作。</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3</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负责本辖区的城市管理工作，承担辖区市容环境卫生、绿化美化的管理工作，推进街巷、河长制工作，组织、协调城市管理综合执法和环境秩序综合治理工作，推进城市精细化管理。</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4</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协同建设主管部门监督施工单位依法施工、防治施工扬尘、扰民</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配合建设、施工单位做好居民工作</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维护施工秩序。</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5</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协助有关部门对居住小区的物业管理进行指导和监督检查。</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6</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 xml:space="preserve">抓好社区文化建设，开展文明街道、文明单位，文明小区建设活动，组织居民开展经常性的文化、娱乐、体育活动。  </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7</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 xml:space="preserve">协助有关部门做好辖区拥军优属、优抚安置、社会救济、殡葬改革、残疾人就业等工作；积极开展便民利民的社区服务和社区教育工作。  </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8</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会同有关部门做好辖区内常住和流动人口的管理及计划生育工作。</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9</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负责街道的人民调解、治安保卫工作，加强对违法青少年的帮助教育。</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10</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 xml:space="preserve">协助武装部门做好辖区民兵训练和公民服兵役工作。  </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11</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 xml:space="preserve">负责在辖区开展普法教育工作，做好民事调解，开展法律咨询、服务等工作，维护居民的合法权益，搞好辖区内社会综合治理工作。  </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12</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稳步推进扶贫攻坚工作，认真抓好2020年脱贫攻坚工作各项任务。</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13</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配合有关部门做好辖区内征地拆迁工作。</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14</w:t>
      </w:r>
      <w:r>
        <w:rPr>
          <w:rFonts w:hint="eastAsia" w:ascii="Times New Roman" w:hAnsi="Times New Roman" w:eastAsia="方正仿宋_GBK" w:cs="Times New Roman"/>
          <w:b/>
          <w:bCs/>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承办县政府交办的其他事项。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从机构设置看，石耶镇</w:t>
      </w:r>
      <w:r>
        <w:rPr>
          <w:rFonts w:hint="default" w:ascii="Times New Roman" w:hAnsi="Times New Roman" w:eastAsia="方正仿宋_GBK" w:cs="Times New Roman"/>
          <w:color w:val="auto"/>
          <w:sz w:val="32"/>
          <w:szCs w:val="32"/>
          <w:highlight w:val="none"/>
          <w:shd w:val="clear" w:color="auto" w:fill="FFFFFF"/>
          <w:lang w:eastAsia="zh-CN"/>
        </w:rPr>
        <w:t>人民政府（本级）</w:t>
      </w:r>
      <w:r>
        <w:rPr>
          <w:rFonts w:hint="default" w:ascii="Times New Roman" w:hAnsi="Times New Roman" w:eastAsia="方正仿宋_GBK" w:cs="Times New Roman"/>
          <w:color w:val="auto"/>
          <w:sz w:val="32"/>
          <w:szCs w:val="32"/>
          <w:highlight w:val="none"/>
          <w:shd w:val="clear" w:color="auto" w:fill="FFFFFF"/>
        </w:rPr>
        <w:t>，属于石耶镇人民政府二级财务独立核算机构</w:t>
      </w:r>
      <w:r>
        <w:rPr>
          <w:rFonts w:hint="default" w:ascii="Times New Roman" w:hAnsi="Times New Roman" w:eastAsia="方正仿宋_GBK" w:cs="Times New Roman"/>
          <w:color w:val="auto"/>
          <w:sz w:val="32"/>
          <w:szCs w:val="32"/>
          <w:highlight w:val="none"/>
          <w:shd w:val="clear" w:color="auto" w:fill="FFFFFF"/>
          <w:lang w:eastAsia="zh-CN"/>
        </w:rPr>
        <w:t>，无下级预算单位</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二、单位决算情况说明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2023年度收入总计1461.26万元，支出总计</w:t>
      </w:r>
      <w:r>
        <w:rPr>
          <w:rFonts w:hint="default" w:ascii="Times New Roman" w:hAnsi="Times New Roman" w:eastAsia="方正仿宋_GBK" w:cs="Times New Roman"/>
          <w:color w:val="auto"/>
          <w:sz w:val="32"/>
          <w:szCs w:val="32"/>
          <w:highlight w:val="none"/>
        </w:rPr>
        <w:t>1461.26</w:t>
      </w:r>
      <w:r>
        <w:rPr>
          <w:rFonts w:hint="default" w:ascii="Times New Roman" w:hAnsi="Times New Roman" w:eastAsia="方正仿宋_GBK" w:cs="Times New Roman"/>
          <w:color w:val="auto"/>
          <w:sz w:val="32"/>
          <w:szCs w:val="32"/>
          <w:highlight w:val="none"/>
          <w:shd w:val="clear" w:color="auto" w:fill="FFFFFF"/>
        </w:rPr>
        <w:t>万元。收支较上年决算数减少1211.27万元，下降45.32%，主要原因</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与部门合并编报决算，按照市财政局要求，2023年度独立编报决算，故与上年对比下降45.32%。</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2023年度收入合计1454.35万元，较上年决算数减少1073.48万元，下降42.47%，主要原因是</w:t>
      </w:r>
      <w:r>
        <w:rPr>
          <w:rFonts w:hint="eastAsia" w:ascii="Times New Roman" w:hAnsi="Times New Roman" w:eastAsia="方正仿宋_GBK" w:cs="Times New Roman"/>
          <w:color w:val="auto"/>
          <w:sz w:val="32"/>
          <w:szCs w:val="32"/>
          <w:highlight w:val="none"/>
          <w:shd w:val="clear" w:color="auto" w:fill="FFFFFF"/>
          <w:lang w:eastAsia="zh-CN"/>
        </w:rPr>
        <w:t>2022年度石耶镇人民政府（本级）与部门合并编报决算，按照市财政局要求，2023年度独立编报决算，故与上年对比下降42.47%</w:t>
      </w:r>
      <w:r>
        <w:rPr>
          <w:rFonts w:hint="default" w:ascii="Times New Roman" w:hAnsi="Times New Roman" w:eastAsia="方正仿宋_GBK" w:cs="Times New Roman"/>
          <w:color w:val="auto"/>
          <w:sz w:val="32"/>
          <w:szCs w:val="32"/>
          <w:highlight w:val="none"/>
          <w:shd w:val="clear" w:color="auto" w:fill="FFFFFF"/>
        </w:rPr>
        <w:t>。其中：财政拨款收入1454.35万元，占100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%；事业收入0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%；其他收入0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%。此外，使用非财政拨款结余和专用结余0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万元，年初结转和结余6.91万元。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1461.26</w:t>
      </w:r>
      <w:r>
        <w:rPr>
          <w:rFonts w:hint="default" w:ascii="Times New Roman" w:hAnsi="Times New Roman" w:eastAsia="方正仿宋_GBK" w:cs="Times New Roman"/>
          <w:color w:val="auto"/>
          <w:sz w:val="32"/>
          <w:szCs w:val="32"/>
          <w:highlight w:val="none"/>
          <w:shd w:val="clear" w:color="auto" w:fill="FFFFFF"/>
        </w:rPr>
        <w:t>万元，较上年决算数减少1211.27万元，下降45.32%，主要原因是</w:t>
      </w:r>
      <w:r>
        <w:rPr>
          <w:rFonts w:hint="eastAsia" w:ascii="Times New Roman" w:hAnsi="Times New Roman" w:eastAsia="方正仿宋_GBK" w:cs="Times New Roman"/>
          <w:color w:val="auto"/>
          <w:sz w:val="32"/>
          <w:szCs w:val="32"/>
          <w:highlight w:val="none"/>
          <w:shd w:val="clear" w:color="auto" w:fill="FFFFFF"/>
          <w:lang w:eastAsia="zh-CN"/>
        </w:rPr>
        <w:t>2022年度石耶镇人民政府（本级）与部门合并编报决算，按照市财政局要求，2023年度独立编报决算，故与上年对比下降45.32%。</w:t>
      </w:r>
      <w:r>
        <w:rPr>
          <w:rFonts w:hint="default" w:ascii="Times New Roman" w:hAnsi="Times New Roman" w:eastAsia="方正仿宋_GBK" w:cs="Times New Roman"/>
          <w:color w:val="auto"/>
          <w:sz w:val="32"/>
          <w:szCs w:val="32"/>
          <w:highlight w:val="none"/>
          <w:shd w:val="clear" w:color="auto" w:fill="FFFFFF"/>
        </w:rPr>
        <w:t>其中：基本支出690.02万元，占47.22%；项目支出771.24万元，占52.78%；经营支出0.00万元，占0.00%。此外，结余分配0.00万元。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本年度无结转结余。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（二）财政拨款收入支出决算总体情况说明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2023年度财政拨款收、支总计1461.26万元。与2022年相比，财政拨款收、支总计各减少1066.57万元，下降42.19%。主要原因是</w:t>
      </w:r>
      <w:r>
        <w:rPr>
          <w:rFonts w:hint="eastAsia" w:ascii="Times New Roman" w:hAnsi="Times New Roman" w:eastAsia="方正仿宋_GBK" w:cs="Times New Roman"/>
          <w:color w:val="auto"/>
          <w:sz w:val="32"/>
          <w:szCs w:val="32"/>
          <w:highlight w:val="none"/>
          <w:shd w:val="clear" w:color="auto" w:fill="FFFFFF"/>
          <w:lang w:eastAsia="zh-CN"/>
        </w:rPr>
        <w:t>2022年度石耶镇人民政府（本级）与部门合并编报决算，按照市财政局要求，2023年度独立编报决算，故与上年对比下降42.19%。</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1386.88</w:t>
      </w:r>
      <w:r>
        <w:rPr>
          <w:rFonts w:hint="default" w:ascii="Times New Roman" w:hAnsi="Times New Roman" w:eastAsia="方正仿宋_GBK" w:cs="Times New Roman"/>
          <w:color w:val="auto"/>
          <w:sz w:val="32"/>
          <w:szCs w:val="32"/>
          <w:highlight w:val="none"/>
          <w:shd w:val="clear" w:color="auto" w:fill="FFFFFF"/>
        </w:rPr>
        <w:t>万元，较上年决算数减少1136.95万元，下降45.05%。主要原因是</w:t>
      </w:r>
      <w:r>
        <w:rPr>
          <w:rFonts w:hint="eastAsia" w:ascii="Times New Roman" w:hAnsi="Times New Roman" w:eastAsia="方正仿宋_GBK" w:cs="Times New Roman"/>
          <w:color w:val="auto"/>
          <w:sz w:val="32"/>
          <w:szCs w:val="32"/>
          <w:highlight w:val="none"/>
          <w:shd w:val="clear" w:color="auto" w:fill="FFFFFF"/>
          <w:lang w:eastAsia="zh-CN"/>
        </w:rPr>
        <w:t>2022年度石耶镇人民政府（本级）与部门合并编报决算，按照市财政局要求，2023年度独立编报决算，故与上年对比下降45.05%</w:t>
      </w:r>
      <w:r>
        <w:rPr>
          <w:rFonts w:hint="default" w:ascii="Times New Roman" w:hAnsi="Times New Roman" w:eastAsia="方正仿宋_GBK" w:cs="Times New Roman"/>
          <w:color w:val="auto"/>
          <w:sz w:val="32"/>
          <w:szCs w:val="32"/>
          <w:highlight w:val="none"/>
          <w:shd w:val="clear" w:color="auto" w:fill="FFFFFF"/>
        </w:rPr>
        <w:t>。较年初预算数增加705.02万元，增长103.40%。主要原因是</w:t>
      </w:r>
      <w:r>
        <w:rPr>
          <w:rFonts w:hint="eastAsia" w:ascii="Times New Roman" w:hAnsi="Times New Roman" w:eastAsia="方正仿宋_GBK" w:cs="Times New Roman"/>
          <w:color w:val="auto"/>
          <w:sz w:val="32"/>
          <w:szCs w:val="32"/>
          <w:highlight w:val="none"/>
          <w:shd w:val="clear" w:color="auto" w:fill="FFFFFF"/>
          <w:lang w:eastAsia="zh-CN"/>
        </w:rPr>
        <w:t>本年度财政拨款实际收入增加</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6.91</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1393.79</w:t>
      </w:r>
      <w:r>
        <w:rPr>
          <w:rFonts w:hint="default" w:ascii="Times New Roman" w:hAnsi="Times New Roman" w:eastAsia="方正仿宋_GBK" w:cs="Times New Roman"/>
          <w:color w:val="auto"/>
          <w:sz w:val="32"/>
          <w:szCs w:val="32"/>
          <w:highlight w:val="none"/>
          <w:shd w:val="clear" w:color="auto" w:fill="FFFFFF"/>
        </w:rPr>
        <w:t>万元，较上年决算数减少1130.04万元，下降44.77%。主要原因是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与部门合并编报决算，按照市财政局要求，2023年度独立编报决算，故与上年对比增长44.77%。较年初预算数增加404.27万元，增长40.86%。主要原因是</w:t>
      </w:r>
      <w:r>
        <w:rPr>
          <w:rFonts w:hint="eastAsia" w:ascii="Times New Roman" w:hAnsi="Times New Roman" w:eastAsia="方正仿宋_GBK" w:cs="Times New Roman"/>
          <w:color w:val="auto"/>
          <w:sz w:val="32"/>
          <w:szCs w:val="32"/>
          <w:highlight w:val="none"/>
          <w:shd w:val="clear" w:color="auto" w:fill="FFFFFF"/>
          <w:lang w:eastAsia="zh-CN"/>
        </w:rPr>
        <w:t>本年度人员经费、公用经费和项目支出等实际支出较年初预算数增加。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本年度无结转结余。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2023年度一般公共预算财政拨款支出主要用于以下几个方面：</w:t>
      </w:r>
    </w:p>
    <w:p>
      <w:pPr>
        <w:pStyle w:val="8"/>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一般公共服务支出</w:t>
      </w:r>
      <w:r>
        <w:rPr>
          <w:rFonts w:hint="default" w:ascii="Times New Roman" w:hAnsi="Times New Roman" w:eastAsia="方正仿宋_GBK" w:cs="Times New Roman"/>
          <w:color w:val="auto"/>
          <w:sz w:val="32"/>
          <w:szCs w:val="32"/>
          <w:highlight w:val="none"/>
        </w:rPr>
        <w:t>547.86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39.31</w:t>
      </w:r>
      <w:r>
        <w:rPr>
          <w:rFonts w:hint="default" w:ascii="Times New Roman" w:hAnsi="Times New Roman" w:eastAsia="方正仿宋_GBK" w:cs="Times New Roman"/>
          <w:color w:val="auto"/>
          <w:sz w:val="32"/>
          <w:szCs w:val="32"/>
          <w:highlight w:val="none"/>
          <w:shd w:val="clear" w:color="auto" w:fill="FFFFFF"/>
        </w:rPr>
        <w:t>%，较年初预算数增加39.60万元，增长7.79%，主要原因是</w:t>
      </w:r>
      <w:r>
        <w:rPr>
          <w:rFonts w:hint="eastAsia" w:ascii="Times New Roman" w:hAnsi="Times New Roman" w:eastAsia="方正仿宋_GBK" w:cs="Times New Roman"/>
          <w:color w:val="auto"/>
          <w:sz w:val="32"/>
          <w:szCs w:val="32"/>
          <w:highlight w:val="none"/>
          <w:shd w:val="clear" w:color="auto" w:fill="FFFFFF"/>
          <w:lang w:eastAsia="zh-CN"/>
        </w:rPr>
        <w:t>职工年度考核奖、党龄</w:t>
      </w:r>
      <w:r>
        <w:rPr>
          <w:rFonts w:hint="eastAsia" w:ascii="Times New Roman" w:hAnsi="Times New Roman" w:eastAsia="方正仿宋_GBK" w:cs="Times New Roman"/>
          <w:color w:val="auto"/>
          <w:sz w:val="32"/>
          <w:szCs w:val="32"/>
          <w:highlight w:val="none"/>
          <w:shd w:val="clear" w:color="auto" w:fill="FFFFFF"/>
          <w:lang w:val="en-US" w:eastAsia="zh-CN"/>
        </w:rPr>
        <w:t>40年以上老党员生活补贴、人大代表履职经费、选调生到村工作补助、其他人员经费等实际支出较年初预算数增加。</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）国防支出</w:t>
      </w: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0.22</w:t>
      </w:r>
      <w:r>
        <w:rPr>
          <w:rFonts w:hint="default" w:ascii="Times New Roman" w:hAnsi="Times New Roman" w:eastAsia="方正仿宋_GBK" w:cs="Times New Roman"/>
          <w:color w:val="auto"/>
          <w:sz w:val="32"/>
          <w:szCs w:val="32"/>
          <w:highlight w:val="none"/>
          <w:shd w:val="clear" w:color="auto" w:fill="FFFFFF"/>
        </w:rPr>
        <w:t>%，较年初预算数增加3万元，增长100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年终预算调剂，导致公用经费减少，国防支出增加</w:t>
      </w:r>
      <w:r>
        <w:rPr>
          <w:rFonts w:hint="eastAsia" w:ascii="Times New Roman" w:hAnsi="Times New Roman" w:eastAsia="方正仿宋_GBK" w:cs="Times New Roman"/>
          <w:color w:val="auto"/>
          <w:sz w:val="32"/>
          <w:szCs w:val="32"/>
          <w:highlight w:val="none"/>
          <w:shd w:val="clear" w:color="auto" w:fill="FFFFFF"/>
          <w:lang w:val="en-US" w:eastAsia="zh-CN"/>
        </w:rPr>
        <w:t>3万元</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）公共安全支出</w:t>
      </w:r>
      <w:r>
        <w:rPr>
          <w:rFonts w:hint="default" w:ascii="Times New Roman" w:hAnsi="Times New Roman" w:eastAsia="方正仿宋_GBK" w:cs="Times New Roman"/>
          <w:color w:val="auto"/>
          <w:sz w:val="32"/>
          <w:szCs w:val="32"/>
          <w:highlight w:val="none"/>
        </w:rPr>
        <w:t>12.96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0.93</w:t>
      </w:r>
      <w:r>
        <w:rPr>
          <w:rFonts w:hint="default" w:ascii="Times New Roman" w:hAnsi="Times New Roman" w:eastAsia="方正仿宋_GBK" w:cs="Times New Roman"/>
          <w:color w:val="auto"/>
          <w:sz w:val="32"/>
          <w:szCs w:val="32"/>
          <w:highlight w:val="none"/>
          <w:shd w:val="clear" w:color="auto" w:fill="FFFFFF"/>
        </w:rPr>
        <w:t>%，较年初预算数增加12.96万元，增长100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第四季度平安建设经费、2023年劝导站人员工作经费、群防群治、网格化服务管理工作考核奖补经费及创新工作经费等项目年中纳入预算，导致公共安全实际支出增加</w:t>
      </w:r>
      <w:r>
        <w:rPr>
          <w:rFonts w:hint="eastAsia" w:ascii="Times New Roman" w:hAnsi="Times New Roman" w:eastAsia="方正仿宋_GBK" w:cs="Times New Roman"/>
          <w:color w:val="auto"/>
          <w:sz w:val="32"/>
          <w:szCs w:val="32"/>
          <w:highlight w:val="none"/>
          <w:shd w:val="clear" w:color="auto" w:fill="FFFFFF"/>
          <w:lang w:val="en-US" w:eastAsia="zh-CN"/>
        </w:rPr>
        <w:t>12.96万元。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）教育支出</w:t>
      </w:r>
      <w:r>
        <w:rPr>
          <w:rFonts w:hint="default" w:ascii="Times New Roman" w:hAnsi="Times New Roman" w:eastAsia="方正仿宋_GBK" w:cs="Times New Roman"/>
          <w:color w:val="auto"/>
          <w:sz w:val="32"/>
          <w:szCs w:val="32"/>
          <w:highlight w:val="none"/>
        </w:rPr>
        <w:t>9</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0.65</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本年度教育实际支出和预算数持平</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）文化旅游体育与传媒支出</w:t>
      </w:r>
      <w:r>
        <w:rPr>
          <w:rFonts w:hint="default" w:ascii="Times New Roman" w:hAnsi="Times New Roman" w:eastAsia="方正仿宋_GBK" w:cs="Times New Roman"/>
          <w:color w:val="auto"/>
          <w:sz w:val="32"/>
          <w:szCs w:val="32"/>
          <w:highlight w:val="none"/>
        </w:rPr>
        <w:t>1.50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0.11</w:t>
      </w:r>
      <w:r>
        <w:rPr>
          <w:rFonts w:hint="default" w:ascii="Times New Roman" w:hAnsi="Times New Roman" w:eastAsia="方正仿宋_GBK" w:cs="Times New Roman"/>
          <w:color w:val="auto"/>
          <w:sz w:val="32"/>
          <w:szCs w:val="32"/>
          <w:highlight w:val="none"/>
          <w:shd w:val="clear" w:color="auto" w:fill="FFFFFF"/>
        </w:rPr>
        <w:t>%，较年初预算数增加1.50万元，增长100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%，主要原因是石耶西大五人制足球场建设</w:t>
      </w:r>
      <w:r>
        <w:rPr>
          <w:rFonts w:hint="eastAsia" w:ascii="Times New Roman" w:hAnsi="Times New Roman" w:eastAsia="方正仿宋_GBK" w:cs="Times New Roman"/>
          <w:color w:val="auto"/>
          <w:sz w:val="32"/>
          <w:szCs w:val="32"/>
          <w:highlight w:val="none"/>
          <w:shd w:val="clear" w:color="auto" w:fill="FFFFFF"/>
          <w:lang w:eastAsia="zh-CN"/>
        </w:rPr>
        <w:t>年中纳入预算导致文化旅游体育与传媒支出较年初</w:t>
      </w:r>
      <w:r>
        <w:rPr>
          <w:rFonts w:hint="default" w:ascii="Times New Roman" w:hAnsi="Times New Roman" w:eastAsia="方正仿宋_GBK" w:cs="Times New Roman"/>
          <w:color w:val="auto"/>
          <w:sz w:val="32"/>
          <w:szCs w:val="32"/>
          <w:highlight w:val="none"/>
          <w:shd w:val="clear" w:color="auto" w:fill="FFFFFF"/>
        </w:rPr>
        <w:t>预算数增加</w:t>
      </w:r>
      <w:r>
        <w:rPr>
          <w:rFonts w:hint="eastAsia" w:ascii="Times New Roman" w:hAnsi="Times New Roman" w:eastAsia="方正仿宋_GBK" w:cs="Times New Roman"/>
          <w:color w:val="auto"/>
          <w:sz w:val="32"/>
          <w:szCs w:val="32"/>
          <w:highlight w:val="none"/>
          <w:shd w:val="clear" w:color="auto" w:fill="FFFFFF"/>
          <w:lang w:eastAsia="zh-CN"/>
        </w:rPr>
        <w:t>1.50万元。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6</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113.13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8.12</w:t>
      </w:r>
      <w:r>
        <w:rPr>
          <w:rFonts w:hint="default" w:ascii="Times New Roman" w:hAnsi="Times New Roman" w:eastAsia="方正仿宋_GBK" w:cs="Times New Roman"/>
          <w:color w:val="auto"/>
          <w:sz w:val="32"/>
          <w:szCs w:val="32"/>
          <w:highlight w:val="none"/>
          <w:shd w:val="clear" w:color="auto" w:fill="FFFFFF"/>
        </w:rPr>
        <w:t>%，较年初预算数增加0.77万元，增长0.69%，主要原因是</w:t>
      </w:r>
      <w:r>
        <w:rPr>
          <w:rFonts w:hint="eastAsia" w:ascii="Times New Roman" w:hAnsi="Times New Roman" w:eastAsia="方正仿宋_GBK" w:cs="Times New Roman"/>
          <w:color w:val="auto"/>
          <w:sz w:val="32"/>
          <w:szCs w:val="32"/>
          <w:highlight w:val="none"/>
          <w:shd w:val="clear" w:color="auto" w:fill="FFFFFF"/>
          <w:lang w:eastAsia="zh-CN"/>
        </w:rPr>
        <w:t>职工养老保险和职业年金年中调整标准导致配套费增加，使得</w:t>
      </w:r>
      <w:r>
        <w:rPr>
          <w:rFonts w:hint="default" w:ascii="Times New Roman" w:hAnsi="Times New Roman" w:eastAsia="方正仿宋_GBK" w:cs="Times New Roman"/>
          <w:color w:val="auto"/>
          <w:sz w:val="32"/>
          <w:szCs w:val="32"/>
          <w:highlight w:val="none"/>
          <w:shd w:val="clear" w:color="auto" w:fill="FFFFFF"/>
        </w:rPr>
        <w:t>社会保障与就业支出较年初预算数增加0.77万元。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7</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39.56</w:t>
      </w:r>
      <w:r>
        <w:rPr>
          <w:rFonts w:hint="default"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占</w:t>
      </w:r>
      <w:r>
        <w:rPr>
          <w:rFonts w:hint="default" w:ascii="Times New Roman" w:hAnsi="Times New Roman" w:eastAsia="方正仿宋_GBK" w:cs="Times New Roman"/>
          <w:color w:val="auto"/>
          <w:sz w:val="32"/>
          <w:szCs w:val="32"/>
          <w:highlight w:val="none"/>
        </w:rPr>
        <w:t>2.84</w:t>
      </w:r>
      <w:r>
        <w:rPr>
          <w:rFonts w:hint="default" w:ascii="Times New Roman" w:hAnsi="Times New Roman" w:eastAsia="方正仿宋_GBK" w:cs="Times New Roman"/>
          <w:color w:val="auto"/>
          <w:sz w:val="32"/>
          <w:szCs w:val="32"/>
          <w:highlight w:val="none"/>
          <w:shd w:val="clear" w:color="auto" w:fill="FFFFFF"/>
        </w:rPr>
        <w:t>%，较年初预算数增加20.90万元，增长112</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%，主要原因是严重精神障碍患者监护人奖励</w:t>
      </w:r>
      <w:r>
        <w:rPr>
          <w:rFonts w:hint="eastAsia" w:ascii="Times New Roman" w:hAnsi="Times New Roman" w:eastAsia="方正仿宋_GBK" w:cs="Times New Roman"/>
          <w:color w:val="auto"/>
          <w:sz w:val="32"/>
          <w:szCs w:val="32"/>
          <w:highlight w:val="none"/>
          <w:shd w:val="clear" w:color="auto" w:fill="FFFFFF"/>
          <w:lang w:eastAsia="zh-CN"/>
        </w:rPr>
        <w:t>、疫情防控专项经费等年中纳入预算导致</w:t>
      </w:r>
      <w:r>
        <w:rPr>
          <w:rFonts w:hint="default" w:ascii="Times New Roman" w:hAnsi="Times New Roman" w:eastAsia="方正仿宋_GBK" w:cs="Times New Roman"/>
          <w:color w:val="auto"/>
          <w:sz w:val="32"/>
          <w:szCs w:val="32"/>
          <w:highlight w:val="none"/>
          <w:shd w:val="clear" w:color="auto" w:fill="FFFFFF"/>
        </w:rPr>
        <w:t>卫生健康支出较年初预算数增加20.90万元</w:t>
      </w:r>
      <w:r>
        <w:rPr>
          <w:rFonts w:hint="eastAsia"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8</w:t>
      </w:r>
      <w:r>
        <w:rPr>
          <w:rFonts w:hint="default" w:ascii="Times New Roman" w:hAnsi="Times New Roman" w:eastAsia="方正仿宋_GBK" w:cs="Times New Roman"/>
          <w:color w:val="auto"/>
          <w:sz w:val="32"/>
          <w:szCs w:val="32"/>
          <w:highlight w:val="none"/>
          <w:shd w:val="clear" w:color="auto" w:fill="FFFFFF"/>
        </w:rPr>
        <w:t>）节能环保支出</w:t>
      </w:r>
      <w:r>
        <w:rPr>
          <w:rFonts w:hint="default" w:ascii="Times New Roman" w:hAnsi="Times New Roman" w:eastAsia="方正仿宋_GBK" w:cs="Times New Roman"/>
          <w:color w:val="auto"/>
          <w:sz w:val="32"/>
          <w:szCs w:val="32"/>
          <w:highlight w:val="none"/>
        </w:rPr>
        <w:t>58.54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4.20</w:t>
      </w:r>
      <w:r>
        <w:rPr>
          <w:rFonts w:hint="default" w:ascii="Times New Roman" w:hAnsi="Times New Roman" w:eastAsia="方正仿宋_GBK" w:cs="Times New Roman"/>
          <w:color w:val="auto"/>
          <w:sz w:val="32"/>
          <w:szCs w:val="32"/>
          <w:highlight w:val="none"/>
          <w:shd w:val="clear" w:color="auto" w:fill="FFFFFF"/>
        </w:rPr>
        <w:t>%，较年初预算数增加8.54万元，增长17.08%，主要原因是2023年天保护林员补助-渝财农〔2022〕127号</w:t>
      </w:r>
      <w:r>
        <w:rPr>
          <w:rFonts w:hint="eastAsia" w:ascii="Times New Roman" w:hAnsi="Times New Roman" w:eastAsia="方正仿宋_GBK" w:cs="Times New Roman"/>
          <w:color w:val="auto"/>
          <w:sz w:val="32"/>
          <w:szCs w:val="32"/>
          <w:highlight w:val="none"/>
          <w:shd w:val="clear" w:color="auto" w:fill="FFFFFF"/>
          <w:lang w:eastAsia="zh-CN"/>
        </w:rPr>
        <w:t>项目年中纳入预算导致</w:t>
      </w:r>
      <w:r>
        <w:rPr>
          <w:rFonts w:hint="default" w:ascii="Times New Roman" w:hAnsi="Times New Roman" w:eastAsia="方正仿宋_GBK" w:cs="Times New Roman"/>
          <w:color w:val="auto"/>
          <w:sz w:val="32"/>
          <w:szCs w:val="32"/>
          <w:highlight w:val="none"/>
          <w:shd w:val="clear" w:color="auto" w:fill="FFFFFF"/>
        </w:rPr>
        <w:t>节能环保支出较年初预算数增加8.54万元。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9</w:t>
      </w:r>
      <w:r>
        <w:rPr>
          <w:rFonts w:hint="default" w:ascii="Times New Roman" w:hAnsi="Times New Roman" w:eastAsia="方正仿宋_GBK" w:cs="Times New Roman"/>
          <w:color w:val="auto"/>
          <w:sz w:val="32"/>
          <w:szCs w:val="32"/>
          <w:highlight w:val="none"/>
          <w:shd w:val="clear" w:color="auto" w:fill="FFFFFF"/>
        </w:rPr>
        <w:t>）城乡社区支出</w:t>
      </w:r>
      <w:r>
        <w:rPr>
          <w:rFonts w:hint="default" w:ascii="Times New Roman" w:hAnsi="Times New Roman" w:eastAsia="方正仿宋_GBK" w:cs="Times New Roman"/>
          <w:color w:val="auto"/>
          <w:sz w:val="32"/>
          <w:szCs w:val="32"/>
          <w:highlight w:val="none"/>
        </w:rPr>
        <w:t>74.46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5.34</w:t>
      </w:r>
      <w:r>
        <w:rPr>
          <w:rFonts w:hint="default" w:ascii="Times New Roman" w:hAnsi="Times New Roman" w:eastAsia="方正仿宋_GBK" w:cs="Times New Roman"/>
          <w:color w:val="auto"/>
          <w:sz w:val="32"/>
          <w:szCs w:val="32"/>
          <w:highlight w:val="none"/>
          <w:shd w:val="clear" w:color="auto" w:fill="FFFFFF"/>
        </w:rPr>
        <w:t>%，较年初预算数增加4.46万元，增长</w:t>
      </w:r>
      <w:r>
        <w:rPr>
          <w:rFonts w:hint="eastAsia" w:ascii="Times New Roman" w:hAnsi="Times New Roman" w:eastAsia="方正仿宋_GBK" w:cs="Times New Roman"/>
          <w:color w:val="auto"/>
          <w:sz w:val="32"/>
          <w:szCs w:val="32"/>
          <w:highlight w:val="none"/>
          <w:shd w:val="clear" w:color="auto" w:fill="FFFFFF"/>
          <w:lang w:val="en-US" w:eastAsia="zh-CN"/>
        </w:rPr>
        <w:tab/>
      </w:r>
      <w:r>
        <w:rPr>
          <w:rFonts w:hint="default" w:ascii="Times New Roman" w:hAnsi="Times New Roman" w:eastAsia="方正仿宋_GBK" w:cs="Times New Roman"/>
          <w:color w:val="auto"/>
          <w:sz w:val="32"/>
          <w:szCs w:val="32"/>
          <w:highlight w:val="none"/>
          <w:shd w:val="clear" w:color="auto" w:fill="FFFFFF"/>
        </w:rPr>
        <w:t>6.37%，主要原因是城市建设配套费安排支出</w:t>
      </w:r>
      <w:r>
        <w:rPr>
          <w:rFonts w:hint="eastAsia" w:ascii="Times New Roman" w:hAnsi="Times New Roman" w:eastAsia="方正仿宋_GBK" w:cs="Times New Roman"/>
          <w:color w:val="auto"/>
          <w:sz w:val="32"/>
          <w:szCs w:val="32"/>
          <w:highlight w:val="none"/>
          <w:shd w:val="clear" w:color="auto" w:fill="FFFFFF"/>
          <w:lang w:eastAsia="zh-CN"/>
        </w:rPr>
        <w:t>、2022年乡镇（街道）集镇基础设施改造项目、综合环境治理-渝财农〔2021〕56号等实际支出较年初预算数增加导致</w:t>
      </w:r>
      <w:r>
        <w:rPr>
          <w:rFonts w:hint="default" w:ascii="Times New Roman" w:hAnsi="Times New Roman" w:eastAsia="方正仿宋_GBK" w:cs="Times New Roman"/>
          <w:color w:val="auto"/>
          <w:sz w:val="32"/>
          <w:szCs w:val="32"/>
          <w:highlight w:val="none"/>
          <w:shd w:val="clear" w:color="auto" w:fill="FFFFFF"/>
        </w:rPr>
        <w:t>城乡社区支出</w:t>
      </w:r>
      <w:r>
        <w:rPr>
          <w:rFonts w:hint="eastAsia" w:ascii="Times New Roman" w:hAnsi="Times New Roman" w:eastAsia="方正仿宋_GBK" w:cs="Times New Roman"/>
          <w:color w:val="auto"/>
          <w:sz w:val="32"/>
          <w:szCs w:val="32"/>
          <w:highlight w:val="none"/>
          <w:shd w:val="clear" w:color="auto" w:fill="FFFFFF"/>
          <w:lang w:eastAsia="zh-CN"/>
        </w:rPr>
        <w:t>增加。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10</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356.71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25.59</w:t>
      </w:r>
      <w:r>
        <w:rPr>
          <w:rFonts w:hint="default" w:ascii="Times New Roman" w:hAnsi="Times New Roman" w:eastAsia="方正仿宋_GBK" w:cs="Times New Roman"/>
          <w:color w:val="auto"/>
          <w:sz w:val="32"/>
          <w:szCs w:val="32"/>
          <w:highlight w:val="none"/>
          <w:shd w:val="clear" w:color="auto" w:fill="FFFFFF"/>
        </w:rPr>
        <w:t>%，较年初预算数增加208.91万元，增长141.35%，主要原因是森林资源管护（国土绿化）</w:t>
      </w:r>
      <w:r>
        <w:rPr>
          <w:rFonts w:hint="eastAsia" w:ascii="Times New Roman" w:hAnsi="Times New Roman" w:eastAsia="方正仿宋_GBK" w:cs="Times New Roman"/>
          <w:color w:val="auto"/>
          <w:sz w:val="32"/>
          <w:szCs w:val="32"/>
          <w:highlight w:val="none"/>
          <w:shd w:val="clear" w:color="auto" w:fill="FFFFFF"/>
          <w:lang w:eastAsia="zh-CN"/>
        </w:rPr>
        <w:t>、森林草原防火补助---渝财农〔2022〕129号、石耶镇2023年农村卫生厕所改造厕屋建设补助项目〔-〕-渝财农〔2022〕155号、石耶镇2023年低收入脱贫人口产业发展项目（-）-渝财农〔2022〕131号等项目年中纳入预算和往来支付增加导致农林水支出较年初预算数增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eastAsia"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）交通运输支出</w:t>
      </w:r>
      <w:r>
        <w:rPr>
          <w:rFonts w:hint="default" w:ascii="Times New Roman" w:hAnsi="Times New Roman" w:eastAsia="方正仿宋_GBK" w:cs="Times New Roman"/>
          <w:color w:val="auto"/>
          <w:sz w:val="32"/>
          <w:szCs w:val="32"/>
          <w:highlight w:val="none"/>
        </w:rPr>
        <w:t>17.07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1.22</w:t>
      </w:r>
      <w:r>
        <w:rPr>
          <w:rFonts w:hint="default" w:ascii="Times New Roman" w:hAnsi="Times New Roman" w:eastAsia="方正仿宋_GBK" w:cs="Times New Roman"/>
          <w:color w:val="auto"/>
          <w:sz w:val="32"/>
          <w:szCs w:val="32"/>
          <w:highlight w:val="none"/>
          <w:shd w:val="clear" w:color="auto" w:fill="FFFFFF"/>
        </w:rPr>
        <w:t>%，较年初预算数增加5.40万元，增长46.27%，主要原因是S410桩号K2至K35+800水毁恢复重建</w:t>
      </w:r>
      <w:r>
        <w:rPr>
          <w:rFonts w:hint="eastAsia" w:ascii="Times New Roman" w:hAnsi="Times New Roman" w:eastAsia="方正仿宋_GBK" w:cs="Times New Roman"/>
          <w:color w:val="auto"/>
          <w:sz w:val="32"/>
          <w:szCs w:val="32"/>
          <w:highlight w:val="none"/>
          <w:shd w:val="clear" w:color="auto" w:fill="FFFFFF"/>
          <w:lang w:eastAsia="zh-CN"/>
        </w:rPr>
        <w:t>项目年中纳入预算导致</w:t>
      </w:r>
      <w:r>
        <w:rPr>
          <w:rFonts w:hint="default" w:ascii="Times New Roman" w:hAnsi="Times New Roman" w:eastAsia="方正仿宋_GBK" w:cs="Times New Roman"/>
          <w:color w:val="auto"/>
          <w:sz w:val="32"/>
          <w:szCs w:val="32"/>
          <w:highlight w:val="none"/>
          <w:shd w:val="clear" w:color="auto" w:fill="FFFFFF"/>
        </w:rPr>
        <w:t>交通运输支出较年初预算数增加5.40万元</w:t>
      </w:r>
      <w:r>
        <w:rPr>
          <w:rFonts w:hint="eastAsia"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（1</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）资源勘探信息等支出</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%，较年初预算数减少8</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万元，下降100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本年度实际无</w:t>
      </w:r>
      <w:r>
        <w:rPr>
          <w:rFonts w:hint="default" w:ascii="Times New Roman" w:hAnsi="Times New Roman" w:eastAsia="方正仿宋_GBK" w:cs="Times New Roman"/>
          <w:color w:val="auto"/>
          <w:sz w:val="32"/>
          <w:szCs w:val="32"/>
          <w:highlight w:val="none"/>
          <w:shd w:val="clear" w:color="auto" w:fill="FFFFFF"/>
        </w:rPr>
        <w:t>资源勘探信息等支出</w:t>
      </w:r>
      <w:r>
        <w:rPr>
          <w:rFonts w:hint="eastAsia"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）商业服务业等支出</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本年度实际无</w:t>
      </w:r>
      <w:r>
        <w:rPr>
          <w:rFonts w:hint="default" w:ascii="Times New Roman" w:hAnsi="Times New Roman" w:eastAsia="方正仿宋_GBK" w:cs="Times New Roman"/>
          <w:color w:val="auto"/>
          <w:sz w:val="32"/>
          <w:szCs w:val="32"/>
          <w:highlight w:val="none"/>
          <w:shd w:val="clear" w:color="auto" w:fill="FFFFFF"/>
        </w:rPr>
        <w:t>商业服务业等支出</w:t>
      </w:r>
      <w:r>
        <w:rPr>
          <w:rFonts w:hint="eastAsia"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自然资源海洋气象等支出89.97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6.46</w:t>
      </w:r>
      <w:r>
        <w:rPr>
          <w:rFonts w:hint="default" w:ascii="Times New Roman" w:hAnsi="Times New Roman" w:eastAsia="方正仿宋_GBK" w:cs="Times New Roman"/>
          <w:color w:val="auto"/>
          <w:sz w:val="32"/>
          <w:szCs w:val="32"/>
          <w:highlight w:val="none"/>
          <w:shd w:val="clear" w:color="auto" w:fill="FFFFFF"/>
        </w:rPr>
        <w:t>%，较年初预算数增加89.97万元，增长100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%，主要原因是新增耕地指标款安排2021年耕地流出问题恢复补足工作奖补资金</w:t>
      </w:r>
      <w:r>
        <w:rPr>
          <w:rFonts w:hint="eastAsia" w:ascii="Times New Roman" w:hAnsi="Times New Roman" w:eastAsia="方正仿宋_GBK" w:cs="Times New Roman"/>
          <w:color w:val="auto"/>
          <w:sz w:val="32"/>
          <w:szCs w:val="32"/>
          <w:highlight w:val="none"/>
          <w:shd w:val="clear" w:color="auto" w:fill="FFFFFF"/>
          <w:lang w:eastAsia="zh-CN"/>
        </w:rPr>
        <w:t>、新增耕地指标安排2022年度在建土地整理项目工作经费、2023年耕地恢复补足工作奖补资金---秀山财政建〔2023〕148号等项目年中纳入预算导致</w:t>
      </w:r>
      <w:r>
        <w:rPr>
          <w:rFonts w:hint="default" w:ascii="Times New Roman" w:hAnsi="Times New Roman" w:eastAsia="方正仿宋_GBK" w:cs="Times New Roman"/>
          <w:color w:val="auto"/>
          <w:sz w:val="32"/>
          <w:szCs w:val="32"/>
          <w:highlight w:val="none"/>
        </w:rPr>
        <w:t>自然资源海洋气象等支出</w:t>
      </w:r>
      <w:r>
        <w:rPr>
          <w:rFonts w:hint="default" w:ascii="Times New Roman" w:hAnsi="Times New Roman" w:eastAsia="方正仿宋_GBK" w:cs="Times New Roman"/>
          <w:color w:val="auto"/>
          <w:sz w:val="32"/>
          <w:szCs w:val="32"/>
          <w:highlight w:val="none"/>
          <w:shd w:val="clear" w:color="auto" w:fill="FFFFFF"/>
        </w:rPr>
        <w:t>较年初预算数增加89.97万元</w:t>
      </w:r>
      <w:r>
        <w:rPr>
          <w:rFonts w:hint="eastAsia"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住房保障支出35.26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2.53</w:t>
      </w:r>
      <w:r>
        <w:rPr>
          <w:rFonts w:hint="default" w:ascii="Times New Roman" w:hAnsi="Times New Roman" w:eastAsia="方正仿宋_GBK" w:cs="Times New Roman"/>
          <w:color w:val="auto"/>
          <w:sz w:val="32"/>
          <w:szCs w:val="32"/>
          <w:highlight w:val="none"/>
          <w:shd w:val="clear" w:color="auto" w:fill="FFFFFF"/>
        </w:rPr>
        <w:t>%，较年初预算数增加3.49万元，增长10.99%，主要原因是农村危房改造项目</w:t>
      </w:r>
      <w:r>
        <w:rPr>
          <w:rFonts w:hint="eastAsia" w:ascii="Times New Roman" w:hAnsi="Times New Roman" w:eastAsia="方正仿宋_GBK" w:cs="Times New Roman"/>
          <w:color w:val="auto"/>
          <w:sz w:val="32"/>
          <w:szCs w:val="32"/>
          <w:highlight w:val="none"/>
          <w:shd w:val="clear" w:color="auto" w:fill="FFFFFF"/>
          <w:lang w:eastAsia="zh-CN"/>
        </w:rPr>
        <w:t>、补发退休、病亡、调出县外等人员公积金配套基数调整增资经费、补缴1999年至2007年欠缴职工住房公积金项目年中纳入预算导致</w:t>
      </w:r>
      <w:r>
        <w:rPr>
          <w:rFonts w:hint="default" w:ascii="Times New Roman" w:hAnsi="Times New Roman" w:eastAsia="方正仿宋_GBK" w:cs="Times New Roman"/>
          <w:color w:val="auto"/>
          <w:sz w:val="32"/>
          <w:szCs w:val="32"/>
          <w:highlight w:val="none"/>
        </w:rPr>
        <w:t>住房保障支出</w:t>
      </w:r>
      <w:r>
        <w:rPr>
          <w:rFonts w:hint="default" w:ascii="Times New Roman" w:hAnsi="Times New Roman" w:eastAsia="方正仿宋_GBK" w:cs="Times New Roman"/>
          <w:color w:val="auto"/>
          <w:sz w:val="32"/>
          <w:szCs w:val="32"/>
          <w:highlight w:val="none"/>
          <w:shd w:val="clear" w:color="auto" w:fill="FFFFFF"/>
        </w:rPr>
        <w:t>较年初预算数增加3.49万元。</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16</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灾害防治及应急管理支出34.76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2.49</w:t>
      </w:r>
      <w:r>
        <w:rPr>
          <w:rFonts w:hint="default" w:ascii="Times New Roman" w:hAnsi="Times New Roman" w:eastAsia="方正仿宋_GBK" w:cs="Times New Roman"/>
          <w:color w:val="auto"/>
          <w:sz w:val="32"/>
          <w:szCs w:val="32"/>
          <w:highlight w:val="none"/>
          <w:shd w:val="clear" w:color="auto" w:fill="FFFFFF"/>
        </w:rPr>
        <w:t>%，较年初预算数增加12.76万元，增长58</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%，主要原因是2022年中央自然灾害救灾资金（干旱灾害）——渝财环〔2022〕82号</w:t>
      </w:r>
      <w:r>
        <w:rPr>
          <w:rFonts w:hint="eastAsia" w:ascii="Times New Roman" w:hAnsi="Times New Roman" w:eastAsia="方正仿宋_GBK" w:cs="Times New Roman"/>
          <w:color w:val="auto"/>
          <w:sz w:val="32"/>
          <w:szCs w:val="32"/>
          <w:highlight w:val="none"/>
          <w:shd w:val="clear" w:color="auto" w:fill="FFFFFF"/>
          <w:lang w:eastAsia="zh-CN"/>
        </w:rPr>
        <w:t>、乡镇专职消防队专项经费等项目本年度实际支出较年初预算数增加</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（四）一般公共预算财政拨款基本支出决算情况说明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690.02</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551.01</w:t>
      </w:r>
      <w:r>
        <w:rPr>
          <w:rFonts w:hint="default" w:ascii="Times New Roman" w:hAnsi="Times New Roman" w:eastAsia="方正仿宋_GBK" w:cs="Times New Roman"/>
          <w:color w:val="auto"/>
          <w:sz w:val="32"/>
          <w:szCs w:val="32"/>
          <w:highlight w:val="none"/>
          <w:shd w:val="clear" w:color="auto" w:fill="FFFFFF"/>
        </w:rPr>
        <w:t>万元，较上年决算数减少538.07万元，下降49.41%，主要原因是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与部门合并编报决算，按照市财政局要求，2023年度独立编报决算，故与上年对比下降49.41%。人员经费用途主要包括</w:t>
      </w:r>
      <w:r>
        <w:rPr>
          <w:rFonts w:hint="eastAsia" w:ascii="Times New Roman" w:hAnsi="Times New Roman" w:eastAsia="方正仿宋_GBK" w:cs="Times New Roman"/>
          <w:color w:val="auto"/>
          <w:sz w:val="32"/>
          <w:szCs w:val="32"/>
          <w:highlight w:val="none"/>
          <w:shd w:val="clear" w:color="auto" w:fill="FFFFFF"/>
          <w:lang w:eastAsia="zh-CN"/>
        </w:rPr>
        <w:t>职工基本工资、社保配套、遗属补助、补发退休、病亡、调出县外等人员公积金配套基数调整增资经费、补发退休、调出等人员年终一次性奖金、离退休人员体检费、年度考核奖等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139.01</w:t>
      </w:r>
      <w:r>
        <w:rPr>
          <w:rFonts w:hint="default" w:ascii="Times New Roman" w:hAnsi="Times New Roman" w:eastAsia="方正仿宋_GBK" w:cs="Times New Roman"/>
          <w:color w:val="auto"/>
          <w:sz w:val="32"/>
          <w:szCs w:val="32"/>
          <w:highlight w:val="none"/>
          <w:shd w:val="clear" w:color="auto" w:fill="FFFFFF"/>
        </w:rPr>
        <w:t>万元，较上年决算数减少13.72万元，下降8.98%，主要原因是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与部门合并编报决算，按照市财政局要求，2023年度独立编报决算，故与上年对比下降8.98%。公用经费用途主要包括</w:t>
      </w:r>
      <w:r>
        <w:rPr>
          <w:rFonts w:hint="eastAsia" w:ascii="Times New Roman" w:hAnsi="Times New Roman" w:eastAsia="方正仿宋_GBK" w:cs="Times New Roman"/>
          <w:color w:val="auto"/>
          <w:sz w:val="32"/>
          <w:szCs w:val="32"/>
          <w:highlight w:val="none"/>
          <w:shd w:val="clear" w:color="auto" w:fill="FFFFFF"/>
          <w:lang w:eastAsia="zh-CN"/>
        </w:rPr>
        <w:t>办公开支、食堂开支、政府水电费、报刊费、公务用车运行维护费、通讯费、教育经费、职工福利费等。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2023年度政府性基金预算财政拨款年初结转结余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万元，年末结转结余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万元。本年收入</w:t>
      </w:r>
      <w:r>
        <w:rPr>
          <w:rFonts w:hint="default" w:ascii="Times New Roman" w:hAnsi="Times New Roman" w:eastAsia="方正仿宋_GBK" w:cs="Times New Roman"/>
          <w:color w:val="auto"/>
          <w:sz w:val="32"/>
          <w:szCs w:val="32"/>
          <w:highlight w:val="none"/>
        </w:rPr>
        <w:t>67.47</w:t>
      </w:r>
      <w:r>
        <w:rPr>
          <w:rFonts w:hint="default" w:ascii="Times New Roman" w:hAnsi="Times New Roman" w:eastAsia="方正仿宋_GBK" w:cs="Times New Roman"/>
          <w:color w:val="auto"/>
          <w:sz w:val="32"/>
          <w:szCs w:val="32"/>
          <w:highlight w:val="none"/>
          <w:shd w:val="clear" w:color="auto" w:fill="FFFFFF"/>
        </w:rPr>
        <w:t>万元，较上年决算数增加63.47万元，增长1586.75%，主要原因是秀山县石耶镇西大居委会山坪塘维修工程-渝财农〔2022〕162号</w:t>
      </w:r>
      <w:r>
        <w:rPr>
          <w:rFonts w:hint="eastAsia" w:ascii="Times New Roman" w:hAnsi="Times New Roman" w:eastAsia="方正仿宋_GBK" w:cs="Times New Roman"/>
          <w:color w:val="auto"/>
          <w:sz w:val="32"/>
          <w:szCs w:val="32"/>
          <w:highlight w:val="none"/>
          <w:shd w:val="clear" w:color="auto" w:fill="FFFFFF"/>
          <w:lang w:eastAsia="zh-CN"/>
        </w:rPr>
        <w:t>、城市建设配套费安排支出、秀山县石耶镇西大居委会山坪塘维修工程-渝财农〔2022〕147号等项目纳入预算导致2023年度政府性基金预算财政拨款收入较上年增加</w:t>
      </w:r>
      <w:r>
        <w:rPr>
          <w:rFonts w:hint="default" w:ascii="Times New Roman" w:hAnsi="Times New Roman" w:eastAsia="方正仿宋_GBK" w:cs="Times New Roman"/>
          <w:color w:val="auto"/>
          <w:sz w:val="32"/>
          <w:szCs w:val="32"/>
          <w:highlight w:val="none"/>
          <w:shd w:val="clear" w:color="auto" w:fill="FFFFFF"/>
        </w:rPr>
        <w:t>。本年支出</w:t>
      </w:r>
      <w:r>
        <w:rPr>
          <w:rFonts w:hint="default" w:ascii="Times New Roman" w:hAnsi="Times New Roman" w:eastAsia="方正仿宋_GBK" w:cs="Times New Roman"/>
          <w:color w:val="auto"/>
          <w:sz w:val="32"/>
          <w:szCs w:val="32"/>
          <w:highlight w:val="none"/>
        </w:rPr>
        <w:t>67.47</w:t>
      </w:r>
      <w:r>
        <w:rPr>
          <w:rFonts w:hint="default" w:ascii="Times New Roman" w:hAnsi="Times New Roman" w:eastAsia="方正仿宋_GBK" w:cs="Times New Roman"/>
          <w:color w:val="auto"/>
          <w:sz w:val="32"/>
          <w:szCs w:val="32"/>
          <w:highlight w:val="none"/>
          <w:shd w:val="clear" w:color="auto" w:fill="FFFFFF"/>
        </w:rPr>
        <w:t>万元，较上年决算数增加63.47万元，增长1586.75%，主要原因是</w:t>
      </w:r>
      <w:r>
        <w:rPr>
          <w:rFonts w:hint="eastAsia" w:ascii="Times New Roman" w:hAnsi="Times New Roman" w:eastAsia="方正仿宋_GBK" w:cs="Times New Roman"/>
          <w:color w:val="auto"/>
          <w:sz w:val="32"/>
          <w:szCs w:val="32"/>
          <w:highlight w:val="none"/>
          <w:shd w:val="clear" w:color="auto" w:fill="FFFFFF"/>
          <w:lang w:eastAsia="zh-CN"/>
        </w:rPr>
        <w:t>秀</w:t>
      </w:r>
      <w:r>
        <w:rPr>
          <w:rFonts w:hint="default" w:ascii="Times New Roman" w:hAnsi="Times New Roman" w:eastAsia="方正仿宋_GBK" w:cs="Times New Roman"/>
          <w:color w:val="auto"/>
          <w:sz w:val="32"/>
          <w:szCs w:val="32"/>
          <w:highlight w:val="none"/>
          <w:shd w:val="clear" w:color="auto" w:fill="FFFFFF"/>
        </w:rPr>
        <w:t>山县石耶镇西大居委会山坪塘维修工程-渝财农〔2022〕162号</w:t>
      </w:r>
      <w:r>
        <w:rPr>
          <w:rFonts w:hint="eastAsia" w:ascii="Times New Roman" w:hAnsi="Times New Roman" w:eastAsia="方正仿宋_GBK" w:cs="Times New Roman"/>
          <w:color w:val="auto"/>
          <w:sz w:val="32"/>
          <w:szCs w:val="32"/>
          <w:highlight w:val="none"/>
          <w:shd w:val="clear" w:color="auto" w:fill="FFFFFF"/>
          <w:lang w:eastAsia="zh-CN"/>
        </w:rPr>
        <w:t>、城市建设配套费安排支出、秀山县石耶镇西大居委会山坪塘维修工程-渝财农〔2022〕147号等项目纳入预算导致2023年度政府性基金预算财政拨款支出较上年增加</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rPr>
      </w:pPr>
      <w:r>
        <w:rPr>
          <w:rStyle w:val="10"/>
          <w:rFonts w:hint="eastAsia" w:ascii="方正楷体_GBK" w:hAnsi="方正楷体_GBK" w:eastAsia="方正楷体_GBK" w:cs="方正楷体_GBK"/>
          <w:b w:val="0"/>
          <w:bCs/>
          <w:color w:val="auto"/>
          <w:sz w:val="32"/>
          <w:szCs w:val="32"/>
          <w:highlight w:val="none"/>
          <w:shd w:val="clear" w:color="auto" w:fill="FFFFFF"/>
          <w:lang w:eastAsia="zh-CN"/>
        </w:rPr>
        <w:t>（六）</w:t>
      </w:r>
      <w:r>
        <w:rPr>
          <w:rStyle w:val="10"/>
          <w:rFonts w:hint="default" w:ascii="方正楷体_GBK" w:hAnsi="方正楷体_GBK" w:eastAsia="方正楷体_GBK" w:cs="方正楷体_GBK"/>
          <w:b w:val="0"/>
          <w:bCs/>
          <w:color w:val="auto"/>
          <w:sz w:val="32"/>
          <w:szCs w:val="32"/>
          <w:highlight w:val="none"/>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本部门2023年度无国有资本经营预算财政拨款支出。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三、</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default" w:ascii="方正黑体_GBK" w:hAnsi="方正黑体_GBK" w:eastAsia="方正黑体_GBK" w:cs="方正黑体_GBK"/>
          <w:b w:val="0"/>
          <w:bCs/>
          <w:color w:val="auto"/>
          <w:sz w:val="32"/>
          <w:szCs w:val="32"/>
          <w:highlight w:val="none"/>
          <w:shd w:val="clear" w:color="auto" w:fill="FFFFFF"/>
        </w:rPr>
        <w:t>三公</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default" w:ascii="方正黑体_GBK" w:hAnsi="方正黑体_GBK" w:eastAsia="方正黑体_GBK" w:cs="方正黑体_GBK"/>
          <w:b w:val="0"/>
          <w:bCs/>
          <w:color w:val="auto"/>
          <w:sz w:val="32"/>
          <w:szCs w:val="32"/>
          <w:highlight w:val="none"/>
          <w:shd w:val="clear" w:color="auto" w:fill="FFFFFF"/>
        </w:rPr>
        <w:t>经费情况说明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（一）</w:t>
      </w:r>
      <w:r>
        <w:rPr>
          <w:rStyle w:val="10"/>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三公</w:t>
      </w:r>
      <w:r>
        <w:rPr>
          <w:rStyle w:val="10"/>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三公</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rPr>
        <w:t>9.89</w:t>
      </w:r>
      <w:r>
        <w:rPr>
          <w:rFonts w:hint="default" w:ascii="Times New Roman" w:hAnsi="Times New Roman" w:eastAsia="方正仿宋_GBK" w:cs="Times New Roman"/>
          <w:color w:val="auto"/>
          <w:sz w:val="32"/>
          <w:szCs w:val="32"/>
          <w:highlight w:val="none"/>
          <w:shd w:val="clear" w:color="auto" w:fill="FFFFFF"/>
        </w:rPr>
        <w:t>万元，较年初预算数减少0.11万元，下降1.10%，主要原因是贯彻落实</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过紧日子</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要求，公务用车运行维护费实际支出减少。较上年支出数增加4.89万元，增长97.80%，主要原因是</w:t>
      </w:r>
      <w:r>
        <w:rPr>
          <w:rFonts w:hint="eastAsia" w:ascii="Times New Roman" w:hAnsi="Times New Roman" w:eastAsia="方正仿宋_GBK" w:cs="Times New Roman"/>
          <w:color w:val="auto"/>
          <w:sz w:val="32"/>
          <w:szCs w:val="32"/>
          <w:highlight w:val="none"/>
          <w:shd w:val="clear" w:color="auto" w:fill="FFFFFF"/>
          <w:lang w:val="en-US" w:eastAsia="zh-CN"/>
        </w:rPr>
        <w:t>2022年新购入公务用车且纳入公务用车维护预算，导致2023年公务用车运行维护费增长</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三公</w:t>
      </w:r>
      <w:r>
        <w:rPr>
          <w:rStyle w:val="10"/>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经费分项支出情况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2023年度本单位因公出国（境）费用0.00万元，主要是用于单位工作人员因公务出国（境）期间产生的差旅费、伙食补助费等。费用支出较年初预算数无增减，主要原因是未产生相关支出。较上年支出数无增减，主要原因是未产生相关支出。</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 公务车购置费0.00万元，主要用于单位用车的购置费及租用费、燃料费、维修费等。费用支出较年初预算数无增减，主要原因是未有相关支出。较上年支出数无增减，主要原因是未有相关支出。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9.89</w:t>
      </w:r>
      <w:r>
        <w:rPr>
          <w:rFonts w:hint="default"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主要用于石耶镇人民政府（本级）公务用车洗车、加油、维修、保险费等</w:t>
      </w:r>
      <w:r>
        <w:rPr>
          <w:rFonts w:hint="default" w:ascii="Times New Roman" w:hAnsi="Times New Roman" w:eastAsia="方正仿宋_GBK" w:cs="Times New Roman"/>
          <w:color w:val="auto"/>
          <w:sz w:val="32"/>
          <w:szCs w:val="32"/>
          <w:highlight w:val="none"/>
          <w:shd w:val="clear" w:color="auto" w:fill="FFFFFF"/>
        </w:rPr>
        <w:t>。费用支出较年初预算数减少0.11万元，下降1.10%，主要原因是贯彻落实</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过紧日子</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要求，公务用车运行维护费实际支出减少。较上年支出数增加4.89万元，增长97.80%，主要原因是</w:t>
      </w:r>
      <w:r>
        <w:rPr>
          <w:rFonts w:hint="eastAsia" w:ascii="Times New Roman" w:hAnsi="Times New Roman" w:eastAsia="方正仿宋_GBK" w:cs="Times New Roman"/>
          <w:color w:val="auto"/>
          <w:sz w:val="32"/>
          <w:szCs w:val="32"/>
          <w:highlight w:val="none"/>
          <w:shd w:val="clear" w:color="auto" w:fill="FFFFFF"/>
          <w:lang w:val="en-US" w:eastAsia="zh-CN"/>
        </w:rPr>
        <w:t>2022年新购入公务用车且纳入公务用车维护预算，导致2023年公务用车运行维护费增长</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公务接待费0.00万元，主要用于接待单位为执行公务和开展业务需要而进行的合理接待支出。费用支出较年初预算数无增减，主要原因是无相关支出。较上年支出数无增减，主要原因是无相关支出。</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（三）</w:t>
      </w:r>
      <w:r>
        <w:rPr>
          <w:rStyle w:val="10"/>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三公</w:t>
      </w:r>
      <w:r>
        <w:rPr>
          <w:rStyle w:val="10"/>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w:t>
      </w:r>
      <w:r>
        <w:rPr>
          <w:rFonts w:hint="eastAsia"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w:t>
      </w:r>
      <w:r>
        <w:rPr>
          <w:rFonts w:hint="eastAsia"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1.65</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楷体" w:cs="Times New Roman"/>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（一）财政拨款会议费和培训费情况说明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1.42</w:t>
      </w:r>
      <w:r>
        <w:rPr>
          <w:rFonts w:hint="default" w:ascii="Times New Roman" w:hAnsi="Times New Roman" w:eastAsia="方正仿宋_GBK" w:cs="Times New Roman"/>
          <w:color w:val="auto"/>
          <w:sz w:val="32"/>
          <w:szCs w:val="32"/>
          <w:highlight w:val="none"/>
          <w:shd w:val="clear" w:color="auto" w:fill="FFFFFF"/>
        </w:rPr>
        <w:t>万元，较上年决算数减少1.13万元，下降44.31%，主要原因是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与部门合并编报决算，按照市财政局要求，2023年度独立编报决算，故与上年对比下降44.31%。</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机关运行经费支出</w:t>
      </w:r>
      <w:r>
        <w:rPr>
          <w:rFonts w:hint="default" w:ascii="Times New Roman" w:hAnsi="Times New Roman" w:eastAsia="方正仿宋_GBK" w:cs="Times New Roman"/>
          <w:color w:val="auto"/>
          <w:sz w:val="32"/>
          <w:szCs w:val="32"/>
          <w:highlight w:val="none"/>
        </w:rPr>
        <w:t>139.01</w:t>
      </w:r>
      <w:r>
        <w:rPr>
          <w:rFonts w:hint="default" w:ascii="Times New Roman" w:hAnsi="Times New Roman" w:eastAsia="方正仿宋_GBK" w:cs="Times New Roman"/>
          <w:color w:val="auto"/>
          <w:sz w:val="32"/>
          <w:szCs w:val="32"/>
          <w:highlight w:val="none"/>
          <w:shd w:val="clear" w:color="auto" w:fill="FFFFFF"/>
        </w:rPr>
        <w:t>万元，机关运行经费主要用于开支</w:t>
      </w:r>
      <w:r>
        <w:rPr>
          <w:rFonts w:hint="default" w:ascii="Times New Roman" w:hAnsi="Times New Roman" w:eastAsia="方正仿宋_GBK" w:cs="Times New Roman"/>
          <w:kern w:val="0"/>
          <w:sz w:val="32"/>
          <w:szCs w:val="32"/>
          <w:shd w:val="clear" w:color="auto" w:fill="FFFFFF"/>
        </w:rPr>
        <w:t>办公及印刷费、邮电费、差旅费、培训费、福利费等</w:t>
      </w:r>
      <w:r>
        <w:rPr>
          <w:rFonts w:hint="default" w:ascii="Times New Roman" w:hAnsi="Times New Roman" w:eastAsia="方正仿宋_GBK" w:cs="Times New Roman"/>
          <w:color w:val="auto"/>
          <w:sz w:val="32"/>
          <w:szCs w:val="32"/>
          <w:highlight w:val="none"/>
          <w:shd w:val="clear" w:color="auto" w:fill="FFFFFF"/>
        </w:rPr>
        <w:t>。机关运行经费较上年支出数减少13.72万元，下降8.98%，主要原因是</w:t>
      </w:r>
      <w:r>
        <w:rPr>
          <w:rFonts w:hint="default" w:ascii="Times New Roman" w:hAnsi="Times New Roman" w:eastAsia="方正仿宋_GBK" w:cs="Times New Roman"/>
          <w:kern w:val="0"/>
          <w:sz w:val="32"/>
          <w:szCs w:val="32"/>
          <w:shd w:val="clear" w:color="auto" w:fill="FFFFFF"/>
        </w:rPr>
        <w:t>政策调整差旅费减少及落实过</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紧日子</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要求，缩减机关运行支出。</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（三）国有资产占用情况说明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w:t>
      </w:r>
      <w:r>
        <w:rPr>
          <w:rFonts w:hint="eastAsia"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共有车辆</w:t>
      </w: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pPr>
      <w:r>
        <w:rPr>
          <w:rStyle w:val="10"/>
          <w:rFonts w:hint="default" w:ascii="方正楷体_GBK" w:hAnsi="方正楷体_GBK" w:eastAsia="方正楷体_GBK" w:cs="方正楷体_GBK"/>
          <w:b w:val="0"/>
          <w:bCs/>
          <w:color w:val="auto"/>
          <w:sz w:val="32"/>
          <w:szCs w:val="32"/>
          <w:highlight w:val="none"/>
          <w:shd w:val="clear" w:color="auto" w:fill="FFFFFF"/>
          <w:lang w:val="en-US" w:eastAsia="zh-CN" w:bidi="ar-SA"/>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未发生政府采购事项，无相关经费支出。</w:t>
      </w: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对</w:t>
      </w:r>
      <w:r>
        <w:rPr>
          <w:rFonts w:hint="eastAsia" w:ascii="Times New Roman" w:hAnsi="Times New Roman" w:eastAsia="方正仿宋_GBK" w:cs="Times New Roman"/>
          <w:color w:val="auto"/>
          <w:sz w:val="32"/>
          <w:szCs w:val="32"/>
          <w:highlight w:val="none"/>
          <w:shd w:val="clear" w:color="auto" w:fill="FFFFFF"/>
          <w:lang w:val="en-US" w:eastAsia="zh-CN"/>
        </w:rPr>
        <w:t>67个二级</w:t>
      </w:r>
      <w:r>
        <w:rPr>
          <w:rFonts w:hint="default" w:ascii="Times New Roman" w:hAnsi="Times New Roman" w:eastAsia="方正仿宋_GBK" w:cs="Times New Roman"/>
          <w:color w:val="auto"/>
          <w:sz w:val="32"/>
          <w:szCs w:val="32"/>
          <w:highlight w:val="none"/>
          <w:shd w:val="clear" w:color="auto" w:fill="FFFFFF"/>
        </w:rPr>
        <w:t>项目开展了绩效自评，涉及财政拨款项目支出资金</w:t>
      </w:r>
      <w:r>
        <w:rPr>
          <w:rFonts w:hint="eastAsia" w:ascii="Times New Roman" w:hAnsi="Times New Roman" w:eastAsia="方正仿宋_GBK" w:cs="Times New Roman"/>
          <w:color w:val="auto"/>
          <w:sz w:val="32"/>
          <w:szCs w:val="32"/>
          <w:highlight w:val="none"/>
          <w:shd w:val="clear" w:color="auto" w:fill="FFFFFF"/>
          <w:lang w:val="en-US" w:eastAsia="zh-CN"/>
        </w:rPr>
        <w:t>771.24</w:t>
      </w:r>
      <w:r>
        <w:rPr>
          <w:rFonts w:hint="default"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bookmarkStart w:id="0" w:name="_GoBack"/>
      <w:bookmarkEnd w:id="0"/>
    </w:p>
    <w:tbl>
      <w:tblPr>
        <w:tblStyle w:val="11"/>
        <w:tblW w:w="8533" w:type="dxa"/>
        <w:jc w:val="center"/>
        <w:tblInd w:w="93" w:type="dxa"/>
        <w:tblLayout w:type="fixed"/>
        <w:tblCellMar>
          <w:top w:w="0" w:type="dxa"/>
          <w:left w:w="108" w:type="dxa"/>
          <w:bottom w:w="0" w:type="dxa"/>
          <w:right w:w="108" w:type="dxa"/>
        </w:tblCellMar>
      </w:tblPr>
      <w:tblGrid>
        <w:gridCol w:w="600"/>
        <w:gridCol w:w="750"/>
        <w:gridCol w:w="1433"/>
        <w:gridCol w:w="390"/>
        <w:gridCol w:w="795"/>
        <w:gridCol w:w="382"/>
        <w:gridCol w:w="705"/>
        <w:gridCol w:w="945"/>
        <w:gridCol w:w="983"/>
        <w:gridCol w:w="735"/>
        <w:gridCol w:w="815"/>
      </w:tblGrid>
      <w:tr>
        <w:tblPrEx>
          <w:tblLayout w:type="fixed"/>
          <w:tblCellMar>
            <w:top w:w="0" w:type="dxa"/>
            <w:left w:w="108" w:type="dxa"/>
            <w:bottom w:w="0" w:type="dxa"/>
            <w:right w:w="108" w:type="dxa"/>
          </w:tblCellMar>
        </w:tblPrEx>
        <w:trPr>
          <w:trHeight w:val="780" w:hRule="atLeast"/>
          <w:jc w:val="center"/>
        </w:trPr>
        <w:tc>
          <w:tcPr>
            <w:tcW w:w="8533"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kern w:val="0"/>
                <w:sz w:val="32"/>
                <w:szCs w:val="32"/>
                <w:shd w:val="clear" w:color="auto" w:fill="FFFFFF"/>
                <w:lang w:val="en-US" w:eastAsia="zh-CN" w:bidi="ar"/>
              </w:rPr>
            </w:pPr>
            <w:r>
              <w:rPr>
                <w:rFonts w:hint="default" w:ascii="Times New Roman" w:hAnsi="Times New Roman" w:eastAsia="方正小标宋_GBK" w:cs="Times New Roman"/>
                <w:b w:val="0"/>
                <w:bCs/>
                <w:kern w:val="0"/>
                <w:sz w:val="32"/>
                <w:szCs w:val="32"/>
                <w:shd w:val="clear" w:color="auto" w:fill="FFFFFF"/>
                <w:lang w:val="en-US" w:eastAsia="zh-CN" w:bidi="ar"/>
              </w:rPr>
              <w:t>秀山土家族苗族自治县石耶镇人民政府</w:t>
            </w: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b w:val="0"/>
                <w:bCs/>
                <w:kern w:val="0"/>
                <w:sz w:val="32"/>
                <w:szCs w:val="32"/>
                <w:shd w:val="clear" w:color="auto" w:fill="FFFFFF"/>
                <w:lang w:val="en-US" w:eastAsia="zh-CN" w:bidi="ar"/>
              </w:rPr>
              <w:t>2023年度项目支出绩效自评表（二级项目）</w:t>
            </w:r>
          </w:p>
        </w:tc>
      </w:tr>
      <w:tr>
        <w:tblPrEx>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项目名称</w:t>
            </w:r>
          </w:p>
        </w:tc>
        <w:tc>
          <w:tcPr>
            <w:tcW w:w="14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指标名称</w:t>
            </w:r>
          </w:p>
        </w:tc>
        <w:tc>
          <w:tcPr>
            <w:tcW w:w="3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指标性质</w:t>
            </w:r>
          </w:p>
        </w:tc>
        <w:tc>
          <w:tcPr>
            <w:tcW w:w="7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指标值</w:t>
            </w:r>
          </w:p>
        </w:tc>
        <w:tc>
          <w:tcPr>
            <w:tcW w:w="38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计量单位</w:t>
            </w:r>
          </w:p>
        </w:tc>
        <w:tc>
          <w:tcPr>
            <w:tcW w:w="70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指标权重</w:t>
            </w:r>
          </w:p>
        </w:tc>
        <w:tc>
          <w:tcPr>
            <w:tcW w:w="9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全年完成值</w:t>
            </w:r>
          </w:p>
        </w:tc>
        <w:tc>
          <w:tcPr>
            <w:tcW w:w="98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指标得分</w:t>
            </w:r>
          </w:p>
        </w:tc>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说明</w:t>
            </w:r>
          </w:p>
        </w:tc>
        <w:tc>
          <w:tcPr>
            <w:tcW w:w="8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自评得分</w:t>
            </w:r>
          </w:p>
        </w:tc>
      </w:tr>
      <w:tr>
        <w:tblPrEx>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1</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乡镇环保专项</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垃圾转运次数</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次</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rPr>
            </w:pPr>
          </w:p>
        </w:tc>
        <w:tc>
          <w:tcPr>
            <w:tcW w:w="8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涉及集镇数量</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资金规模</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万元</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集镇环境美化率</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环境美化可持续发展率</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（二）单位绩效评价情况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jc w:val="both"/>
        <w:textAlignment w:val="auto"/>
        <w:rPr>
          <w:rFonts w:hint="eastAsia" w:ascii="方正仿宋" w:hAnsi="方正仿宋" w:eastAsia="方正仿宋" w:cs="方正仿宋"/>
          <w:color w:val="auto"/>
          <w:sz w:val="32"/>
          <w:szCs w:val="32"/>
          <w:highlight w:val="none"/>
          <w:shd w:val="clear" w:color="auto" w:fill="FFFFFF"/>
          <w:lang w:val="en-US" w:eastAsia="zh-CN"/>
        </w:rPr>
      </w:pPr>
      <w:r>
        <w:rPr>
          <w:rFonts w:hint="eastAsia" w:ascii="方正仿宋" w:hAnsi="方正仿宋" w:eastAsia="方正仿宋" w:cs="方正仿宋"/>
          <w:color w:val="auto"/>
          <w:sz w:val="32"/>
          <w:szCs w:val="32"/>
          <w:highlight w:val="none"/>
          <w:shd w:val="clear" w:color="auto" w:fill="FFFFFF"/>
          <w:lang w:val="en-US" w:eastAsia="zh-CN"/>
        </w:rPr>
        <w:t>我单位未组织开展绩效评价。</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outlineLvl w:val="9"/>
        <w:rPr>
          <w:rFonts w:hint="default"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lang w:eastAsia="zh-CN"/>
        </w:rPr>
        <w:t>（三）</w:t>
      </w:r>
      <w:r>
        <w:rPr>
          <w:rFonts w:hint="default" w:ascii="方正楷体_GBK" w:hAnsi="方正楷体_GBK" w:eastAsia="方正楷体_GBK" w:cs="方正楷体_GBK"/>
          <w:b w:val="0"/>
          <w:bCs w:val="0"/>
          <w:color w:val="auto"/>
          <w:sz w:val="32"/>
          <w:szCs w:val="32"/>
          <w:highlight w:val="none"/>
          <w:shd w:val="clear" w:color="auto" w:fill="FFFFFF"/>
        </w:rPr>
        <w:t>财政绩效评价情况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县</w:t>
      </w:r>
      <w:r>
        <w:rPr>
          <w:rFonts w:hint="default" w:ascii="Times New Roman" w:hAnsi="Times New Roman" w:eastAsia="方正仿宋_GBK" w:cs="Times New Roman"/>
          <w:color w:val="auto"/>
          <w:sz w:val="32"/>
          <w:szCs w:val="32"/>
          <w:highlight w:val="none"/>
          <w:shd w:val="clear" w:color="auto" w:fill="FFFFFF"/>
          <w:lang w:val="en-US" w:eastAsia="zh-CN" w:bidi="ar-SA"/>
        </w:rPr>
        <w:t>财政局未委托第三方对</w:t>
      </w:r>
      <w:r>
        <w:rPr>
          <w:rFonts w:hint="eastAsia" w:ascii="Times New Roman" w:hAnsi="Times New Roman" w:eastAsia="方正仿宋_GBK" w:cs="Times New Roman"/>
          <w:color w:val="auto"/>
          <w:sz w:val="32"/>
          <w:szCs w:val="32"/>
          <w:highlight w:val="none"/>
          <w:shd w:val="clear" w:color="auto" w:fill="FFFFFF"/>
          <w:lang w:val="en-US" w:eastAsia="zh-CN" w:bidi="ar-SA"/>
        </w:rPr>
        <w:t>我单位</w:t>
      </w:r>
      <w:r>
        <w:rPr>
          <w:rFonts w:hint="default" w:ascii="Times New Roman" w:hAnsi="Times New Roman" w:eastAsia="方正仿宋_GBK" w:cs="Times New Roman"/>
          <w:color w:val="auto"/>
          <w:sz w:val="32"/>
          <w:szCs w:val="32"/>
          <w:highlight w:val="none"/>
          <w:shd w:val="clear" w:color="auto" w:fill="FFFFFF"/>
          <w:lang w:val="en-US" w:eastAsia="zh-CN" w:bidi="ar-SA"/>
        </w:rPr>
        <w:t>开展绩效评价。</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  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 （二）事业收入</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（四）其他收入：</w:t>
      </w:r>
      <w:r>
        <w:rPr>
          <w:rFonts w:hint="default" w:ascii="Times New Roman" w:hAnsi="Times New Roman" w:eastAsia="方正仿宋_GBK" w:cs="Times New Roman"/>
          <w:color w:val="auto"/>
          <w:sz w:val="32"/>
          <w:szCs w:val="32"/>
          <w:highlight w:val="none"/>
          <w:shd w:val="clear" w:color="auto" w:fill="FFFFFF"/>
        </w:rPr>
        <w:t>指单位取得的除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公用经费指政府收支分类经济科目中除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（十二）</w:t>
      </w:r>
      <w:r>
        <w:rPr>
          <w:rStyle w:val="10"/>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0"/>
          <w:rFonts w:hint="default" w:ascii="方正楷体_GBK" w:hAnsi="方正楷体_GBK" w:eastAsia="方正楷体_GBK" w:cs="方正楷体_GBK"/>
          <w:b w:val="0"/>
          <w:bCs/>
          <w:color w:val="auto"/>
          <w:sz w:val="32"/>
          <w:szCs w:val="32"/>
          <w:highlight w:val="none"/>
          <w:shd w:val="clear" w:color="auto" w:fill="FFFFFF"/>
        </w:rPr>
        <w:t>三公</w:t>
      </w:r>
      <w:r>
        <w:rPr>
          <w:rStyle w:val="10"/>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0"/>
          <w:rFonts w:hint="default" w:ascii="方正楷体_GBK" w:hAnsi="方正楷体_GBK" w:eastAsia="方正楷体_GBK" w:cs="方正楷体_GBK"/>
          <w:b w:val="0"/>
          <w:bCs/>
          <w:color w:val="auto"/>
          <w:sz w:val="32"/>
          <w:szCs w:val="32"/>
          <w:highlight w:val="none"/>
          <w:shd w:val="clear" w:color="auto" w:fill="FFFFFF"/>
        </w:rPr>
        <w:t>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 （十七）其他资本性支出（支出经济分类科目类级）：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w:t>
      </w:r>
      <w:r>
        <w:rPr>
          <w:rFonts w:hint="default" w:ascii="Times New Roman" w:hAnsi="Times New Roman" w:eastAsia="方正仿宋_GBK" w:cs="Times New Roman"/>
          <w:b w:val="0"/>
          <w:bCs w:val="0"/>
          <w:color w:val="auto"/>
          <w:sz w:val="32"/>
          <w:szCs w:val="32"/>
          <w:highlight w:val="none"/>
          <w:shd w:val="clear" w:color="auto" w:fill="FFFFFF"/>
        </w:rPr>
        <w:t>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outlineLvl w:val="9"/>
        <w:rPr>
          <w:rStyle w:val="10"/>
          <w:rFonts w:hint="eastAsia" w:ascii="方正黑体_GBK" w:hAnsi="方正黑体_GBK" w:eastAsia="方正黑体_GBK" w:cs="方正黑体_GBK"/>
          <w:b w:val="0"/>
          <w:bCs w:val="0"/>
          <w:color w:val="auto"/>
          <w:sz w:val="32"/>
          <w:szCs w:val="32"/>
          <w:highlight w:val="none"/>
          <w:shd w:val="clear" w:color="auto" w:fill="FFFFFF"/>
        </w:rPr>
      </w:pPr>
      <w:r>
        <w:rPr>
          <w:rStyle w:val="10"/>
          <w:rFonts w:hint="eastAsia" w:ascii="方正黑体_GBK" w:hAnsi="方正黑体_GBK" w:eastAsia="方正黑体_GBK" w:cs="方正黑体_GBK"/>
          <w:b w:val="0"/>
          <w:bCs w:val="0"/>
          <w:color w:val="auto"/>
          <w:sz w:val="32"/>
          <w:szCs w:val="32"/>
          <w:highlight w:val="none"/>
          <w:shd w:val="clear" w:color="auto" w:fill="FFFFFF"/>
        </w:rPr>
        <w:t>  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highlight w:val="none"/>
          <w:shd w:val="clear" w:color="auto" w:fill="FFFFFF"/>
          <w:lang w:eastAsia="zh-CN"/>
        </w:rPr>
        <w:t>石耶镇人民政府（本级）</w:t>
      </w:r>
      <w:r>
        <w:rPr>
          <w:rFonts w:hint="default" w:ascii="Times New Roman" w:hAnsi="Times New Roman" w:eastAsia="方正仿宋_GBK" w:cs="Times New Roman"/>
          <w:color w:val="auto"/>
          <w:sz w:val="32"/>
          <w:szCs w:val="32"/>
          <w:highlight w:val="none"/>
          <w:shd w:val="clear" w:color="auto" w:fill="FFFFFF"/>
        </w:rPr>
        <w:t>决算公开信息反馈和联系方</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eastAsia" w:ascii="Times New Roman" w:hAnsi="Times New Roman" w:eastAsia="方正仿宋_GBK" w:cs="Times New Roman"/>
          <w:color w:val="auto"/>
          <w:sz w:val="32"/>
          <w:szCs w:val="32"/>
          <w:highlight w:val="none"/>
          <w:shd w:val="clear" w:color="auto" w:fill="FFFFFF"/>
          <w:lang w:eastAsia="zh-CN"/>
        </w:rPr>
        <w:t>肖军胜</w:t>
      </w:r>
      <w:r>
        <w:rPr>
          <w:rFonts w:hint="eastAsia" w:ascii="Times New Roman" w:hAnsi="Times New Roman" w:eastAsia="方正仿宋_GBK" w:cs="Times New Roman"/>
          <w:color w:val="auto"/>
          <w:sz w:val="32"/>
          <w:szCs w:val="32"/>
          <w:highlight w:val="none"/>
          <w:shd w:val="clear" w:color="auto" w:fill="FFFFFF"/>
          <w:lang w:val="en-US" w:eastAsia="zh-CN"/>
        </w:rPr>
        <w:t xml:space="preserve">  023-76624008</w:t>
      </w:r>
    </w:p>
    <w:p>
      <w:pPr>
        <w:keepNext w:val="0"/>
        <w:keepLines w:val="0"/>
        <w:pageBreakBefore w:val="0"/>
        <w:widowControl/>
        <w:kinsoku/>
        <w:overflowPunct/>
        <w:topLinePunct w:val="0"/>
        <w:autoSpaceDN/>
        <w:bidi w:val="0"/>
        <w:adjustRightInd/>
        <w:spacing w:beforeAutospacing="0" w:afterAutospacing="0" w:line="560" w:lineRule="exact"/>
        <w:ind w:right="0" w:rightChars="0"/>
        <w:outlineLvl w:val="9"/>
        <w:rPr>
          <w:rFonts w:hint="default" w:ascii="Times New Roman" w:hAnsi="Times New Roman" w:cs="Times New Roman"/>
          <w:color w:val="auto"/>
          <w:sz w:val="21"/>
          <w:szCs w:val="21"/>
          <w:highlight w:val="none"/>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重庆市秀山土家族苗族自治县石耶镇人民政府（本级）</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386.88</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547.86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67.47</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155.13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39.56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58.54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79.46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377.19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17.07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35.26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34.76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454.35</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461.26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6.91</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461.26</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461.26</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454.35</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454.35</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547.86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547.86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2059999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155.13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155.13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112.93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112.93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54.76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54.76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38.78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38.78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0.20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0.20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小型水库移民扶助基金安排的支出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其他小型水库移民扶助基金支出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39.56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39.56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21.80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21.80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17.76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17.76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其他天然林保护支出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79.46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79.46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其他城乡社区公共设施支出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377.19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377.19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89.18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89.18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26.46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26.46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194.25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194.25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116.63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116.63</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21366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大中型水库库区基金安排的支出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2136601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基础设施建设和经济发展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35.26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35.26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32.65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32.65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消防救援事务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消防应急救援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hanging="600" w:hangingChars="30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重庆市秀山土家族苗族自治县石耶镇人民政府（本级）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461.26</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690.02</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771.24</w:t>
            </w: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547.86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516.60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31.26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5.90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465.60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2059999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体育场馆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155.13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113.13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112.93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112.93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54.76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54.76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38.78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38.78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0.20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0.20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小型水库移民扶助基金安排的支出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其他小型水库移民扶助基金支出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39.56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18.56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21.80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0.80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17.76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17.76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其他天然林保护支出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79.46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79.46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其他城乡社区公共设施支出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377.19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9.08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368.11</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89.18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89.18</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26.46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26.46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194.25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9.08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185.18</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116.63</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9.08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107.55</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21366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大中型水库库区基金安排的支出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2136601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基础设施建设和经济发展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35.26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32.65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32.65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消防救援事务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消防应急救援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70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重庆市秀山土家族苗族自治县石耶镇人民政府（本级）</w:t>
            </w:r>
          </w:p>
        </w:tc>
        <w:tc>
          <w:tcPr>
            <w:tcW w:w="33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70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675"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34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2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386.88</w:t>
            </w: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547.86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547.86</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67.47</w:t>
            </w: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12.96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12.96</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1.50</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1.50</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155.13</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113.13</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42</w:t>
            </w: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39.56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39.56</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58.54</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58.54</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79.46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74.46</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377.19</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356.71</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20.47</w:t>
            </w: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17.07</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17.07</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89.97</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89.97</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35.26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35.26</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34.76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34.76</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454.35</w:t>
            </w: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461.26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393.79</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67.47</w:t>
            </w: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6.91</w:t>
            </w: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6.91</w:t>
            </w: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461.26</w:t>
            </w:r>
            <w:r>
              <w:rPr>
                <w:rFonts w:hint="default" w:ascii="Times New Roman" w:hAnsi="Times New Roman" w:cs="Times New Roman"/>
                <w:color w:val="auto"/>
                <w:sz w:val="18"/>
                <w:highlight w:val="none"/>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461.26</w:t>
            </w:r>
            <w:r>
              <w:rPr>
                <w:rFonts w:hint="default" w:ascii="Times New Roman" w:hAnsi="Times New Roman" w:cs="Times New Roman"/>
                <w:color w:val="auto"/>
                <w:sz w:val="18"/>
                <w:highlight w:val="none"/>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393.79</w:t>
            </w:r>
            <w:r>
              <w:rPr>
                <w:rFonts w:hint="default" w:ascii="Times New Roman" w:hAnsi="Times New Roman" w:cs="Times New Roman"/>
                <w:color w:val="auto"/>
                <w:sz w:val="18"/>
                <w:highlight w:val="none"/>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67.47</w:t>
            </w:r>
            <w:r>
              <w:rPr>
                <w:rFonts w:hint="default" w:ascii="Times New Roman" w:hAnsi="Times New Roman" w:cs="Times New Roman"/>
                <w:color w:val="auto"/>
                <w:sz w:val="18"/>
                <w:highlight w:val="none"/>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393.79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690.02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703.77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547.86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516.60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31.26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51</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5.90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465.60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信访事务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2059999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体育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体育场馆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113.13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113.13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112.93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112.93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54.76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54.76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38.78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38.78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19.39</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19.39</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0.20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0.20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0.20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39.56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18.56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21.80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0.80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17.76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17.76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17.76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17.76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其他天然林保护支出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74.46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74.46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其他城乡社区公共设施支出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356.71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9.08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347.64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89.18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89.18</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农村合作经济</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26.46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26.46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防汛</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194.25</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9.08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185.18</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116.63</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9.08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107.55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35.26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农村危房改造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32.65</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32.65</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32.65</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消防救援事务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消防应急救援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630" w:firstLineChars="3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重庆市秀山土家族苗族自治县石耶镇人民政府（本级）</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447.79</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139.01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97.84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76.32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93.04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0.30</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127.47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38.78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19.39</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8.41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17.76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10.99</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37.71</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4.80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103.22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95.30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12.87</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7.72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9.89</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19.31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551.01</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139.01</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4"/>
        <w:gridCol w:w="3504"/>
        <w:gridCol w:w="1291"/>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3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重庆市秀山土家族苗族自治县石耶镇人民政府（本级）</w:t>
            </w:r>
          </w:p>
        </w:tc>
        <w:tc>
          <w:tcPr>
            <w:tcW w:w="12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53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2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53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9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2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5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2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535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67.47</w:t>
            </w: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67.47</w:t>
            </w: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67.47</w:t>
            </w: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470"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208</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社会保障和就业支出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42</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42</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42</w:t>
            </w:r>
            <w:r>
              <w:rPr>
                <w:rFonts w:hint="default" w:ascii="Times New Roman" w:hAnsi="Times New Roman" w:cs="Times New Roman"/>
                <w:b/>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0"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20823</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小型水库移民扶助基金安排的支出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42</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42</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42</w:t>
            </w:r>
            <w:r>
              <w:rPr>
                <w:rFonts w:hint="default" w:ascii="Times New Roman" w:hAnsi="Times New Roman" w:cs="Times New Roman"/>
                <w:b/>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95"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2082399</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其他小型水库移民扶助基金支出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42</w:t>
            </w: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42</w:t>
            </w: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42</w:t>
            </w:r>
            <w:r>
              <w:rPr>
                <w:rFonts w:hint="default" w:ascii="Times New Roman" w:hAnsi="Times New Roman" w:cs="Times New Roman"/>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425"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212</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城乡社区支出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5</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5</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5</w:t>
            </w:r>
            <w:r>
              <w:rPr>
                <w:rFonts w:hint="default" w:ascii="Times New Roman" w:hAnsi="Times New Roman" w:cs="Times New Roman"/>
                <w:b/>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21208</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国有土地使用权出让收入安排的支出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5</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5</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5</w:t>
            </w:r>
            <w:r>
              <w:rPr>
                <w:rFonts w:hint="default" w:ascii="Times New Roman" w:hAnsi="Times New Roman" w:cs="Times New Roman"/>
                <w:b/>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2120899</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其他国有土地使用权出让收入安排的支出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5</w:t>
            </w: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5</w:t>
            </w: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5</w:t>
            </w:r>
            <w:r>
              <w:rPr>
                <w:rFonts w:hint="default" w:ascii="Times New Roman" w:hAnsi="Times New Roman" w:cs="Times New Roman"/>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213</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农林水支出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20.47</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20.47</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20.47</w:t>
            </w:r>
            <w:r>
              <w:rPr>
                <w:rFonts w:hint="default" w:ascii="Times New Roman" w:hAnsi="Times New Roman" w:cs="Times New Roman"/>
                <w:b/>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21366</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大中型水库库区基金安排的支出</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20.47</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20.47</w:t>
            </w:r>
            <w:r>
              <w:rPr>
                <w:rFonts w:hint="default" w:ascii="Times New Roman" w:hAnsi="Times New Roman" w:cs="Times New Roman"/>
                <w:b/>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20.47</w:t>
            </w:r>
            <w:r>
              <w:rPr>
                <w:rFonts w:hint="default" w:ascii="Times New Roman" w:hAnsi="Times New Roman" w:cs="Times New Roman"/>
                <w:b/>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2136601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both"/>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基础设施建设和经济发展</w:t>
            </w:r>
          </w:p>
        </w:tc>
        <w:tc>
          <w:tcPr>
            <w:tcW w:w="1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20.47</w:t>
            </w: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20.47</w:t>
            </w:r>
            <w:r>
              <w:rPr>
                <w:rFonts w:hint="default" w:ascii="Times New Roman" w:hAnsi="Times New Roman" w:cs="Times New Roman"/>
                <w:color w:val="auto"/>
                <w:sz w:val="18"/>
                <w:szCs w:val="2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2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color w:val="auto"/>
                <w:sz w:val="18"/>
                <w:szCs w:val="18"/>
                <w:highlight w:val="none"/>
              </w:rPr>
              <w:t>20.47</w:t>
            </w:r>
            <w:r>
              <w:rPr>
                <w:rFonts w:hint="default" w:ascii="Times New Roman" w:hAnsi="Times New Roman" w:cs="Times New Roman"/>
                <w:color w:val="auto"/>
                <w:sz w:val="18"/>
                <w:szCs w:val="2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备注：1.本表反映单位本年度政府性基金预算财政拨款收入支出及结转和结余情况。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重庆市秀山土家族苗族自治县石耶镇人民政府（本级）</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w:t>
      </w:r>
      <w:r>
        <w:rPr>
          <w:rFonts w:hint="eastAsia" w:ascii="Times New Roman" w:hAnsi="Times New Roman" w:cs="Times New Roman"/>
          <w:color w:val="auto"/>
          <w:sz w:val="20"/>
          <w:szCs w:val="20"/>
          <w:highlight w:val="none"/>
          <w:lang w:eastAsia="zh-CN"/>
        </w:rPr>
        <w:t>石耶镇人民政府（本级）</w:t>
      </w:r>
      <w:r>
        <w:rPr>
          <w:rFonts w:hint="default" w:ascii="Times New Roman" w:hAnsi="Times New Roman" w:cs="Times New Roman"/>
          <w:color w:val="auto"/>
          <w:sz w:val="20"/>
          <w:szCs w:val="20"/>
          <w:highlight w:val="none"/>
        </w:rPr>
        <w:t>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280" w:type="dxa"/>
        <w:tblInd w:w="0" w:type="dxa"/>
        <w:tblLayout w:type="fixed"/>
        <w:tblCellMar>
          <w:top w:w="0" w:type="dxa"/>
          <w:left w:w="0" w:type="dxa"/>
          <w:bottom w:w="0" w:type="dxa"/>
          <w:right w:w="0" w:type="dxa"/>
        </w:tblCellMar>
      </w:tblPr>
      <w:tblGrid>
        <w:gridCol w:w="4141"/>
        <w:gridCol w:w="2221"/>
        <w:gridCol w:w="2171"/>
        <w:gridCol w:w="4630"/>
        <w:gridCol w:w="2117"/>
      </w:tblGrid>
      <w:tr>
        <w:tblPrEx>
          <w:tblLayout w:type="fixed"/>
          <w:tblCellMar>
            <w:top w:w="0" w:type="dxa"/>
            <w:left w:w="0" w:type="dxa"/>
            <w:bottom w:w="0" w:type="dxa"/>
            <w:right w:w="0" w:type="dxa"/>
          </w:tblCellMar>
        </w:tblPrEx>
        <w:trPr>
          <w:trHeight w:val="598" w:hRule="atLeast"/>
        </w:trPr>
        <w:tc>
          <w:tcPr>
            <w:tcW w:w="1528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306" w:hRule="atLeast"/>
        </w:trPr>
        <w:tc>
          <w:tcPr>
            <w:tcW w:w="41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2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6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598" w:hRule="atLeast"/>
        </w:trPr>
        <w:tc>
          <w:tcPr>
            <w:tcW w:w="414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重庆市秀山土家族苗族自治县石耶镇人民政府（本级）</w:t>
            </w:r>
          </w:p>
        </w:tc>
        <w:tc>
          <w:tcPr>
            <w:tcW w:w="222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highlight w:val="none"/>
              </w:rPr>
            </w:pPr>
          </w:p>
        </w:tc>
        <w:tc>
          <w:tcPr>
            <w:tcW w:w="217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c>
          <w:tcPr>
            <w:tcW w:w="463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1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22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7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139.01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139.01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15"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324" w:hRule="atLeast"/>
        </w:trPr>
        <w:tc>
          <w:tcPr>
            <w:tcW w:w="41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1.42</w:t>
            </w:r>
            <w:r>
              <w:rPr>
                <w:rFonts w:hint="default" w:ascii="Times New Roman" w:hAnsi="Times New Roman" w:cs="Times New Roman"/>
                <w:color w:val="auto"/>
                <w:sz w:val="20"/>
                <w:highlight w:val="none"/>
                <w:u w:color="auto"/>
              </w:rPr>
              <w:t xml:space="preserve"> </w:t>
            </w:r>
          </w:p>
        </w:tc>
        <w:tc>
          <w:tcPr>
            <w:tcW w:w="46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经费支出预决算情况。其中，预算数为</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经费全年预算数，反映按规定程序调整后的预算数；决算数为包括本年度财政拨款和以前年度结转资金安排的实际支出。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E0EE6E"/>
    <w:multiLevelType w:val="singleLevel"/>
    <w:tmpl w:val="66E0EE6E"/>
    <w:lvl w:ilvl="0" w:tentative="0">
      <w:start w:val="1"/>
      <w:numFmt w:val="decimal"/>
      <w:suff w:val="nothing"/>
      <w:lvlText w:val="（%1）"/>
      <w:lvlJc w:val="left"/>
    </w:lvl>
  </w:abstractNum>
  <w:abstractNum w:abstractNumId="2">
    <w:nsid w:val="66F39D6A"/>
    <w:multiLevelType w:val="singleLevel"/>
    <w:tmpl w:val="66F39D6A"/>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81516C"/>
    <w:rsid w:val="06A2550B"/>
    <w:rsid w:val="06F80EE2"/>
    <w:rsid w:val="07001CCA"/>
    <w:rsid w:val="075678DB"/>
    <w:rsid w:val="079340E1"/>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BA3895"/>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1974D0"/>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31964"/>
    <w:rsid w:val="21556F04"/>
    <w:rsid w:val="22403BD3"/>
    <w:rsid w:val="24B92327"/>
    <w:rsid w:val="24C14514"/>
    <w:rsid w:val="2533755C"/>
    <w:rsid w:val="25791755"/>
    <w:rsid w:val="26396DF4"/>
    <w:rsid w:val="27167136"/>
    <w:rsid w:val="271B442C"/>
    <w:rsid w:val="27B23302"/>
    <w:rsid w:val="27C8609F"/>
    <w:rsid w:val="29310A5F"/>
    <w:rsid w:val="29C37A35"/>
    <w:rsid w:val="2A076083"/>
    <w:rsid w:val="2A73162E"/>
    <w:rsid w:val="2B167953"/>
    <w:rsid w:val="2B200583"/>
    <w:rsid w:val="2B8209DE"/>
    <w:rsid w:val="2C636760"/>
    <w:rsid w:val="2C6762A3"/>
    <w:rsid w:val="2E357C9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3248A"/>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3839FA"/>
    <w:rsid w:val="40BD5482"/>
    <w:rsid w:val="411B6CE5"/>
    <w:rsid w:val="412070D7"/>
    <w:rsid w:val="41314E40"/>
    <w:rsid w:val="41E0734B"/>
    <w:rsid w:val="422F6902"/>
    <w:rsid w:val="426C1EA8"/>
    <w:rsid w:val="42736402"/>
    <w:rsid w:val="42942B6E"/>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110522"/>
    <w:rsid w:val="4A263DF2"/>
    <w:rsid w:val="4A6F6675"/>
    <w:rsid w:val="4B135857"/>
    <w:rsid w:val="4B7951CB"/>
    <w:rsid w:val="4B7C315C"/>
    <w:rsid w:val="4C8F0324"/>
    <w:rsid w:val="4DAC4ACA"/>
    <w:rsid w:val="4DBE01D2"/>
    <w:rsid w:val="4F0C6BA3"/>
    <w:rsid w:val="4F186D58"/>
    <w:rsid w:val="50F06B6E"/>
    <w:rsid w:val="51D21804"/>
    <w:rsid w:val="52234D33"/>
    <w:rsid w:val="522F6E0C"/>
    <w:rsid w:val="52463BA1"/>
    <w:rsid w:val="52F163D4"/>
    <w:rsid w:val="530C2973"/>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993272"/>
    <w:rsid w:val="5F2D4A41"/>
    <w:rsid w:val="60C74F6C"/>
    <w:rsid w:val="61025A59"/>
    <w:rsid w:val="610D0796"/>
    <w:rsid w:val="613D5BBC"/>
    <w:rsid w:val="61536C39"/>
    <w:rsid w:val="628A251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C22560"/>
    <w:rsid w:val="6B474EF5"/>
    <w:rsid w:val="6C0A5AC5"/>
    <w:rsid w:val="6C560CAE"/>
    <w:rsid w:val="6C576495"/>
    <w:rsid w:val="6D903FF5"/>
    <w:rsid w:val="6DA955B8"/>
    <w:rsid w:val="6DE346AB"/>
    <w:rsid w:val="6DE5391A"/>
    <w:rsid w:val="6E7E417A"/>
    <w:rsid w:val="6EFD1324"/>
    <w:rsid w:val="6F5A53AC"/>
    <w:rsid w:val="6FAC003D"/>
    <w:rsid w:val="6FE55E12"/>
    <w:rsid w:val="6FFA7E33"/>
    <w:rsid w:val="6FFB2E76"/>
    <w:rsid w:val="708F6F7F"/>
    <w:rsid w:val="70D94BD3"/>
    <w:rsid w:val="718B0AC8"/>
    <w:rsid w:val="71C34D91"/>
    <w:rsid w:val="7270031C"/>
    <w:rsid w:val="72DB435C"/>
    <w:rsid w:val="72E2613A"/>
    <w:rsid w:val="72F771F4"/>
    <w:rsid w:val="73934AD2"/>
    <w:rsid w:val="750837F0"/>
    <w:rsid w:val="754758CF"/>
    <w:rsid w:val="760D5466"/>
    <w:rsid w:val="764F62AB"/>
    <w:rsid w:val="765C45EC"/>
    <w:rsid w:val="768A7619"/>
    <w:rsid w:val="772E1EBA"/>
    <w:rsid w:val="781926BC"/>
    <w:rsid w:val="796D60A4"/>
    <w:rsid w:val="79A031D5"/>
    <w:rsid w:val="7A1525F7"/>
    <w:rsid w:val="7B190FEF"/>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2024-10-08T12:17:47Z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