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kinsoku/>
        <w:overflowPunct/>
        <w:topLinePunct w:val="0"/>
        <w:autoSpaceDN/>
        <w:bidi w:val="0"/>
        <w:adjustRightInd/>
        <w:spacing w:before="0" w:beforeAutospacing="0" w:after="0" w:afterAutospacing="0" w:line="560" w:lineRule="exact"/>
        <w:ind w:right="0" w:rightChars="0"/>
        <w:jc w:val="center"/>
        <w:outlineLvl w:val="9"/>
        <w:rPr>
          <w:rFonts w:hint="default" w:ascii="Times New Roman" w:hAnsi="Times New Roman" w:eastAsia="方正小标宋_GBK" w:cs="Times New Roman"/>
          <w:color w:val="auto"/>
          <w:sz w:val="36"/>
          <w:szCs w:val="36"/>
          <w:highlight w:val="none"/>
        </w:rPr>
      </w:pPr>
      <w:r>
        <w:rPr>
          <w:rFonts w:hint="default" w:ascii="Times New Roman" w:hAnsi="Times New Roman" w:eastAsia="方正小标宋_GBK" w:cs="Times New Roman"/>
          <w:color w:val="auto"/>
          <w:sz w:val="36"/>
          <w:szCs w:val="36"/>
          <w:highlight w:val="none"/>
        </w:rPr>
        <w:t>重庆市秀山土家族苗族自治县石耶镇人民政府</w:t>
      </w:r>
    </w:p>
    <w:p>
      <w:pPr>
        <w:pStyle w:val="9"/>
        <w:keepNext w:val="0"/>
        <w:keepLines w:val="0"/>
        <w:pageBreakBefore w:val="0"/>
        <w:widowControl/>
        <w:kinsoku/>
        <w:overflowPunct/>
        <w:topLinePunct w:val="0"/>
        <w:autoSpaceDN/>
        <w:bidi w:val="0"/>
        <w:adjustRightInd/>
        <w:spacing w:before="0" w:beforeAutospacing="0" w:after="0" w:afterAutospacing="0" w:line="560" w:lineRule="exact"/>
        <w:ind w:right="0" w:rightChars="0"/>
        <w:jc w:val="center"/>
        <w:outlineLvl w:val="9"/>
        <w:rPr>
          <w:rFonts w:hint="default" w:ascii="Times New Roman" w:hAnsi="Times New Roman" w:eastAsia="方正小标宋_GBK" w:cs="Times New Roman"/>
          <w:color w:val="auto"/>
          <w:sz w:val="36"/>
          <w:szCs w:val="36"/>
          <w:highlight w:val="none"/>
          <w:shd w:val="clear" w:color="auto" w:fill="FFFFFF"/>
        </w:rPr>
      </w:pPr>
      <w:r>
        <w:rPr>
          <w:rFonts w:hint="default" w:ascii="Times New Roman" w:hAnsi="Times New Roman" w:eastAsia="方正小标宋_GBK" w:cs="Times New Roman"/>
          <w:color w:val="auto"/>
          <w:sz w:val="36"/>
          <w:szCs w:val="36"/>
          <w:highlight w:val="none"/>
          <w:shd w:val="clear" w:color="auto" w:fill="FFFFFF"/>
        </w:rPr>
        <w:t>2023年度决算公开说明</w:t>
      </w:r>
    </w:p>
    <w:p>
      <w:pPr>
        <w:pStyle w:val="9"/>
        <w:keepNext w:val="0"/>
        <w:keepLines w:val="0"/>
        <w:pageBreakBefore w:val="0"/>
        <w:widowControl/>
        <w:kinsoku/>
        <w:overflowPunct/>
        <w:topLinePunct w:val="0"/>
        <w:autoSpaceDN/>
        <w:bidi w:val="0"/>
        <w:adjustRightInd/>
        <w:spacing w:before="0" w:beforeAutospacing="0" w:after="0" w:afterAutospacing="0" w:line="560" w:lineRule="exact"/>
        <w:ind w:right="0" w:rightChars="0"/>
        <w:jc w:val="center"/>
        <w:outlineLvl w:val="9"/>
        <w:rPr>
          <w:rFonts w:hint="default" w:ascii="Times New Roman" w:hAnsi="Times New Roman" w:eastAsia="方正小标宋_GBK" w:cs="Times New Roman"/>
          <w:color w:val="auto"/>
          <w:sz w:val="36"/>
          <w:szCs w:val="36"/>
          <w:highlight w:val="none"/>
          <w:shd w:val="clear" w:color="auto" w:fill="FFFFFF"/>
        </w:rPr>
      </w:pPr>
      <w:bookmarkStart w:id="0" w:name="_GoBack"/>
      <w:bookmarkEnd w:id="0"/>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方正黑体_GBK" w:hAnsi="方正黑体_GBK" w:eastAsia="方正黑体_GBK" w:cs="方正黑体_GBK"/>
          <w:b w:val="0"/>
          <w:bCs/>
          <w:color w:val="auto"/>
          <w:sz w:val="32"/>
          <w:szCs w:val="32"/>
          <w:highlight w:val="none"/>
        </w:rPr>
      </w:pPr>
      <w:r>
        <w:rPr>
          <w:rStyle w:val="11"/>
          <w:rFonts w:hint="eastAsia" w:ascii="方正黑体_GBK" w:hAnsi="方正黑体_GBK" w:eastAsia="方正黑体_GBK" w:cs="方正黑体_GBK"/>
          <w:b w:val="0"/>
          <w:bCs/>
          <w:color w:val="auto"/>
          <w:sz w:val="32"/>
          <w:szCs w:val="32"/>
          <w:highlight w:val="none"/>
          <w:shd w:val="clear" w:color="auto" w:fill="FFFFFF"/>
        </w:rPr>
        <w:t>一、部门基本情况</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方正楷体_GBK" w:hAnsi="方正楷体_GBK" w:eastAsia="方正楷体_GBK" w:cs="方正楷体_GBK"/>
          <w:b w:val="0"/>
          <w:bCs/>
          <w:color w:val="auto"/>
          <w:sz w:val="32"/>
          <w:szCs w:val="32"/>
          <w:highlight w:val="none"/>
        </w:rPr>
      </w:pPr>
      <w:r>
        <w:rPr>
          <w:rStyle w:val="11"/>
          <w:rFonts w:hint="eastAsia" w:ascii="方正楷体_GBK" w:hAnsi="方正楷体_GBK" w:eastAsia="方正楷体_GBK" w:cs="方正楷体_GBK"/>
          <w:b w:val="0"/>
          <w:bCs/>
          <w:color w:val="auto"/>
          <w:sz w:val="32"/>
          <w:szCs w:val="32"/>
          <w:highlight w:val="none"/>
          <w:shd w:val="clear" w:color="auto" w:fill="FFFFFF"/>
        </w:rPr>
        <w:t>（一）职能职责</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0"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石耶镇人民政府是秀山县政府的派出机构</w:t>
      </w:r>
      <w:r>
        <w:rPr>
          <w:rFonts w:hint="eastAsia"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受县政府领导</w:t>
      </w:r>
      <w:r>
        <w:rPr>
          <w:rFonts w:hint="eastAsia"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依据法律、法规</w:t>
      </w:r>
      <w:r>
        <w:rPr>
          <w:rFonts w:hint="eastAsia"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在辖区内行使政府的管理职能。</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0" w:right="0" w:rightChars="0" w:firstLine="643" w:firstLineChars="200"/>
        <w:jc w:val="both"/>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b/>
          <w:bCs/>
          <w:color w:val="auto"/>
          <w:kern w:val="0"/>
          <w:sz w:val="32"/>
          <w:szCs w:val="32"/>
          <w:highlight w:val="none"/>
        </w:rPr>
        <w:t>1.</w:t>
      </w:r>
      <w:r>
        <w:rPr>
          <w:rFonts w:hint="default" w:ascii="Times New Roman" w:hAnsi="Times New Roman" w:eastAsia="方正仿宋_GBK" w:cs="Times New Roman"/>
          <w:color w:val="auto"/>
          <w:kern w:val="0"/>
          <w:sz w:val="32"/>
          <w:szCs w:val="32"/>
          <w:highlight w:val="none"/>
        </w:rPr>
        <w:t>贯彻执行法律、法规、规章和县人民政府的决策部署、依法管理本辖区内公共事务。</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0" w:right="0" w:rightChars="0" w:firstLine="643" w:firstLineChars="200"/>
        <w:jc w:val="both"/>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b/>
          <w:bCs/>
          <w:color w:val="auto"/>
          <w:kern w:val="0"/>
          <w:sz w:val="32"/>
          <w:szCs w:val="32"/>
          <w:highlight w:val="none"/>
        </w:rPr>
        <w:t>2</w:t>
      </w:r>
      <w:r>
        <w:rPr>
          <w:b/>
          <w:bCs/>
        </w:rPr>
        <w:t>.</w:t>
      </w:r>
      <w:r>
        <w:rPr>
          <w:rFonts w:hint="default" w:ascii="Times New Roman" w:hAnsi="Times New Roman" w:eastAsia="方正仿宋_GBK" w:cs="Times New Roman"/>
          <w:color w:val="auto"/>
          <w:kern w:val="0"/>
          <w:sz w:val="32"/>
          <w:szCs w:val="32"/>
          <w:highlight w:val="none"/>
        </w:rPr>
        <w:t>协助依法履行安全生产、消防安全、食品安全、环境保护、劳动保障、流动人口及出租房屋监督管理工作，承担辖区应急、防汛和防灾减灾工作。</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0" w:right="0" w:rightChars="0" w:firstLine="643" w:firstLineChars="200"/>
        <w:jc w:val="both"/>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b/>
          <w:bCs/>
          <w:color w:val="auto"/>
          <w:kern w:val="0"/>
          <w:sz w:val="32"/>
          <w:szCs w:val="32"/>
          <w:highlight w:val="none"/>
        </w:rPr>
        <w:t>3</w:t>
      </w:r>
      <w:r>
        <w:rPr>
          <w:rFonts w:hint="eastAsia" w:ascii="Times New Roman" w:hAnsi="Times New Roman" w:eastAsia="方正仿宋_GBK" w:cs="Times New Roman"/>
          <w:b/>
          <w:bCs/>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负责本辖区的城市管理工作，承担辖区市容环境卫生、绿化美化的管理工作，推进街巷、河长制工作，组织</w:t>
      </w:r>
      <w:r>
        <w:rPr>
          <w:rFonts w:hint="eastAsia"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协调城市管理综合执法和环境秩序综合治理工作，推进城市精细化管理。</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0" w:right="0" w:rightChars="0" w:firstLine="643" w:firstLineChars="200"/>
        <w:jc w:val="both"/>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b/>
          <w:bCs/>
          <w:color w:val="auto"/>
          <w:kern w:val="0"/>
          <w:sz w:val="32"/>
          <w:szCs w:val="32"/>
          <w:highlight w:val="none"/>
        </w:rPr>
        <w:t>4</w:t>
      </w:r>
      <w:r>
        <w:rPr>
          <w:rFonts w:hint="eastAsia" w:ascii="Times New Roman" w:hAnsi="Times New Roman" w:eastAsia="方正仿宋_GBK" w:cs="Times New Roman"/>
          <w:b/>
          <w:bCs/>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协同建设主管部门监督施工单位依法施工、防治施工扬尘、扰民</w:t>
      </w:r>
      <w:r>
        <w:rPr>
          <w:rFonts w:hint="eastAsia"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配合建设、施工单位做好居民工作</w:t>
      </w:r>
      <w:r>
        <w:rPr>
          <w:rFonts w:hint="eastAsia"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维护施工秩序。</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0" w:right="0" w:rightChars="0" w:firstLine="643" w:firstLineChars="200"/>
        <w:jc w:val="both"/>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b/>
          <w:bCs/>
          <w:color w:val="auto"/>
          <w:kern w:val="0"/>
          <w:sz w:val="32"/>
          <w:szCs w:val="32"/>
          <w:highlight w:val="none"/>
        </w:rPr>
        <w:t>5</w:t>
      </w:r>
      <w:r>
        <w:rPr>
          <w:rFonts w:hint="eastAsia" w:ascii="Times New Roman" w:hAnsi="Times New Roman" w:eastAsia="方正仿宋_GBK" w:cs="Times New Roman"/>
          <w:b/>
          <w:bCs/>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协助有关部门对居住小区的物业管理进行指导和监督检查。</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0" w:right="0" w:rightChars="0" w:firstLine="643" w:firstLineChars="200"/>
        <w:jc w:val="both"/>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b/>
          <w:bCs/>
          <w:color w:val="auto"/>
          <w:kern w:val="0"/>
          <w:sz w:val="32"/>
          <w:szCs w:val="32"/>
          <w:highlight w:val="none"/>
        </w:rPr>
        <w:t>6</w:t>
      </w:r>
      <w:r>
        <w:rPr>
          <w:rFonts w:hint="eastAsia" w:ascii="Times New Roman" w:hAnsi="Times New Roman" w:eastAsia="方正仿宋_GBK" w:cs="Times New Roman"/>
          <w:b/>
          <w:bCs/>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 xml:space="preserve">抓好社区文化建设，开展文明街道、文明单位，文明小区建设活动，组织居民开展经常性的文化、娱乐、体育活动。  </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0" w:right="0" w:rightChars="0" w:firstLine="643" w:firstLineChars="200"/>
        <w:jc w:val="both"/>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b/>
          <w:bCs/>
          <w:color w:val="auto"/>
          <w:kern w:val="0"/>
          <w:sz w:val="32"/>
          <w:szCs w:val="32"/>
          <w:highlight w:val="none"/>
        </w:rPr>
        <w:t>7</w:t>
      </w:r>
      <w:r>
        <w:rPr>
          <w:rFonts w:hint="eastAsia" w:ascii="Times New Roman" w:hAnsi="Times New Roman" w:eastAsia="方正仿宋_GBK" w:cs="Times New Roman"/>
          <w:b/>
          <w:bCs/>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 xml:space="preserve">协助有关部门做好辖区拥军优属、优抚安置、社会救济、殡葬改革、残疾人就业等工作；积极开展便民利民的社区服务和社区教育工作。  </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0" w:right="0" w:rightChars="0" w:firstLine="643" w:firstLineChars="200"/>
        <w:jc w:val="both"/>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b/>
          <w:bCs/>
          <w:color w:val="auto"/>
          <w:kern w:val="0"/>
          <w:sz w:val="32"/>
          <w:szCs w:val="32"/>
          <w:highlight w:val="none"/>
        </w:rPr>
        <w:t>8</w:t>
      </w:r>
      <w:r>
        <w:rPr>
          <w:rFonts w:hint="eastAsia" w:ascii="Times New Roman" w:hAnsi="Times New Roman" w:eastAsia="方正仿宋_GBK" w:cs="Times New Roman"/>
          <w:b/>
          <w:bCs/>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会同有关部门做好辖区内常住和流动人口的管理及计划生育工作。</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0" w:right="0" w:rightChars="0" w:firstLine="643" w:firstLineChars="200"/>
        <w:jc w:val="both"/>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b/>
          <w:bCs/>
          <w:color w:val="auto"/>
          <w:kern w:val="0"/>
          <w:sz w:val="32"/>
          <w:szCs w:val="32"/>
          <w:highlight w:val="none"/>
        </w:rPr>
        <w:t>9</w:t>
      </w:r>
      <w:r>
        <w:rPr>
          <w:rFonts w:hint="eastAsia" w:ascii="Times New Roman" w:hAnsi="Times New Roman" w:eastAsia="方正仿宋_GBK" w:cs="Times New Roman"/>
          <w:b/>
          <w:bCs/>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负责街道的人民调解、治安保卫工作，加强对违法青少年的帮助教育。</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0" w:right="0" w:rightChars="0" w:firstLine="643" w:firstLineChars="200"/>
        <w:jc w:val="both"/>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b/>
          <w:bCs/>
          <w:color w:val="auto"/>
          <w:kern w:val="0"/>
          <w:sz w:val="32"/>
          <w:szCs w:val="32"/>
          <w:highlight w:val="none"/>
        </w:rPr>
        <w:t>10</w:t>
      </w:r>
      <w:r>
        <w:rPr>
          <w:rFonts w:hint="eastAsia" w:ascii="Times New Roman" w:hAnsi="Times New Roman" w:eastAsia="方正仿宋_GBK" w:cs="Times New Roman"/>
          <w:b/>
          <w:bCs/>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 xml:space="preserve">协助武装部门做好辖区民兵训练和公民服兵役工作。  </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0" w:right="0" w:rightChars="0" w:firstLine="643" w:firstLineChars="200"/>
        <w:jc w:val="both"/>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b/>
          <w:bCs/>
          <w:color w:val="auto"/>
          <w:kern w:val="0"/>
          <w:sz w:val="32"/>
          <w:szCs w:val="32"/>
          <w:highlight w:val="none"/>
        </w:rPr>
        <w:t>11</w:t>
      </w:r>
      <w:r>
        <w:rPr>
          <w:rFonts w:hint="eastAsia" w:ascii="Times New Roman" w:hAnsi="Times New Roman" w:eastAsia="方正仿宋_GBK" w:cs="Times New Roman"/>
          <w:b/>
          <w:bCs/>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 xml:space="preserve">负责在辖区开展普法教育工作，做好民事调解，开展法律咨询、服务等工作，维护居民的合法权益，搞好辖区内社会综合治理工作。  </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0" w:right="0" w:rightChars="0" w:firstLine="643" w:firstLineChars="200"/>
        <w:jc w:val="both"/>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b/>
          <w:bCs/>
          <w:color w:val="auto"/>
          <w:kern w:val="0"/>
          <w:sz w:val="32"/>
          <w:szCs w:val="32"/>
          <w:highlight w:val="none"/>
        </w:rPr>
        <w:t>12</w:t>
      </w:r>
      <w:r>
        <w:rPr>
          <w:rFonts w:hint="eastAsia" w:ascii="Times New Roman" w:hAnsi="Times New Roman" w:eastAsia="方正仿宋_GBK" w:cs="Times New Roman"/>
          <w:b/>
          <w:bCs/>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稳步推进扶贫攻坚工作，认真抓好2020年脱贫攻坚工作各项任务。</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0" w:right="0" w:rightChars="0" w:firstLine="643" w:firstLineChars="200"/>
        <w:jc w:val="both"/>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b/>
          <w:bCs/>
          <w:color w:val="auto"/>
          <w:kern w:val="0"/>
          <w:sz w:val="32"/>
          <w:szCs w:val="32"/>
          <w:highlight w:val="none"/>
        </w:rPr>
        <w:t>13</w:t>
      </w:r>
      <w:r>
        <w:rPr>
          <w:rFonts w:hint="eastAsia" w:ascii="Times New Roman" w:hAnsi="Times New Roman" w:eastAsia="方正仿宋_GBK" w:cs="Times New Roman"/>
          <w:b/>
          <w:bCs/>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配合有关部门做好辖区内征地拆迁工作。</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0" w:right="0" w:rightChars="0" w:firstLine="643" w:firstLineChars="200"/>
        <w:jc w:val="both"/>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b/>
          <w:bCs/>
          <w:color w:val="auto"/>
          <w:kern w:val="0"/>
          <w:sz w:val="32"/>
          <w:szCs w:val="32"/>
          <w:highlight w:val="none"/>
        </w:rPr>
        <w:t>14</w:t>
      </w:r>
      <w:r>
        <w:rPr>
          <w:rFonts w:hint="eastAsia" w:ascii="Times New Roman" w:hAnsi="Times New Roman" w:eastAsia="方正仿宋_GBK" w:cs="Times New Roman"/>
          <w:b/>
          <w:bCs/>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承办县政府交办的其他事项。</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11"/>
          <w:rFonts w:hint="default" w:ascii="方正楷体_GBK" w:hAnsi="方正楷体_GBK" w:eastAsia="方正楷体_GBK" w:cs="方正楷体_GBK"/>
          <w:b w:val="0"/>
          <w:bCs/>
          <w:color w:val="auto"/>
          <w:sz w:val="32"/>
          <w:szCs w:val="32"/>
          <w:highlight w:val="none"/>
          <w:shd w:val="clear" w:color="auto" w:fill="FFFFFF"/>
        </w:rPr>
      </w:pPr>
      <w:r>
        <w:rPr>
          <w:rStyle w:val="11"/>
          <w:rFonts w:hint="default" w:ascii="方正楷体_GBK" w:hAnsi="方正楷体_GBK" w:eastAsia="方正楷体_GBK" w:cs="方正楷体_GBK"/>
          <w:b w:val="0"/>
          <w:bCs/>
          <w:color w:val="auto"/>
          <w:sz w:val="32"/>
          <w:szCs w:val="32"/>
          <w:highlight w:val="none"/>
          <w:shd w:val="clear" w:color="auto" w:fill="FFFFFF"/>
        </w:rPr>
        <w:t>（二）机构设置</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统一设置综合办事机构（8个）:</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left"/>
        <w:textAlignment w:val="auto"/>
        <w:outlineLvl w:val="9"/>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b/>
          <w:bCs/>
          <w:color w:val="auto"/>
          <w:sz w:val="32"/>
          <w:szCs w:val="32"/>
          <w:highlight w:val="none"/>
          <w:shd w:val="clear" w:color="auto" w:fill="FFFFFF"/>
        </w:rPr>
        <w:t>1.</w:t>
      </w:r>
      <w:r>
        <w:rPr>
          <w:rFonts w:hint="default" w:ascii="Times New Roman" w:hAnsi="Times New Roman" w:eastAsia="方正仿宋_GBK" w:cs="Times New Roman"/>
          <w:color w:val="auto"/>
          <w:sz w:val="32"/>
          <w:szCs w:val="32"/>
          <w:highlight w:val="none"/>
          <w:shd w:val="clear" w:color="auto" w:fill="FFFFFF"/>
        </w:rPr>
        <w:t>党政办公室。主要负责党委政府常事务和组织协调工作，负责纪律检查、宣传、统战、法治、武装、民宗侨台以及综合协调、文秘等职责，负责机要、保密、信息及办公室自动化建设等工作。</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left"/>
        <w:textAlignment w:val="auto"/>
        <w:outlineLvl w:val="9"/>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b/>
          <w:bCs/>
          <w:color w:val="auto"/>
          <w:sz w:val="32"/>
          <w:szCs w:val="32"/>
          <w:highlight w:val="none"/>
          <w:shd w:val="clear" w:color="auto" w:fill="FFFFFF"/>
        </w:rPr>
        <w:t>2.</w:t>
      </w:r>
      <w:r>
        <w:rPr>
          <w:rFonts w:hint="default" w:ascii="Times New Roman" w:hAnsi="Times New Roman" w:eastAsia="方正仿宋_GBK" w:cs="Times New Roman"/>
          <w:color w:val="auto"/>
          <w:sz w:val="32"/>
          <w:szCs w:val="32"/>
          <w:highlight w:val="none"/>
          <w:shd w:val="clear" w:color="auto" w:fill="FFFFFF"/>
        </w:rPr>
        <w:t>党建工作办公室。主要负责党的建设、城市基层党建、组织人事、机构编制、群团等工作。</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left"/>
        <w:textAlignment w:val="auto"/>
        <w:outlineLvl w:val="9"/>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b/>
          <w:bCs/>
          <w:color w:val="auto"/>
          <w:sz w:val="32"/>
          <w:szCs w:val="32"/>
          <w:highlight w:val="none"/>
          <w:shd w:val="clear" w:color="auto" w:fill="FFFFFF"/>
        </w:rPr>
        <w:t>3.</w:t>
      </w:r>
      <w:r>
        <w:rPr>
          <w:rFonts w:hint="default" w:ascii="Times New Roman" w:hAnsi="Times New Roman" w:eastAsia="方正仿宋_GBK" w:cs="Times New Roman"/>
          <w:color w:val="auto"/>
          <w:sz w:val="32"/>
          <w:szCs w:val="32"/>
          <w:highlight w:val="none"/>
          <w:shd w:val="clear" w:color="auto" w:fill="FFFFFF"/>
        </w:rPr>
        <w:t>经济发展办公室（挂统计办公室牌子）。主要负责经济发展规划、经营管理、乡村振兴、发展农村电商、经济社会统计、扶贫开发等职责。</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left"/>
        <w:textAlignment w:val="auto"/>
        <w:outlineLvl w:val="9"/>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b/>
          <w:bCs/>
          <w:color w:val="auto"/>
          <w:sz w:val="32"/>
          <w:szCs w:val="32"/>
          <w:highlight w:val="none"/>
          <w:shd w:val="clear" w:color="auto" w:fill="FFFFFF"/>
        </w:rPr>
        <w:t>4.</w:t>
      </w:r>
      <w:r>
        <w:rPr>
          <w:rFonts w:hint="default" w:ascii="Times New Roman" w:hAnsi="Times New Roman" w:eastAsia="方正仿宋_GBK" w:cs="Times New Roman"/>
          <w:color w:val="auto"/>
          <w:sz w:val="32"/>
          <w:szCs w:val="32"/>
          <w:highlight w:val="none"/>
          <w:shd w:val="clear" w:color="auto" w:fill="FFFFFF"/>
        </w:rPr>
        <w:t>民政和社会事务办公室（挂卫生健康办公室）。主要负责民政、教育、卫生、老龄事业、文化、体育、社会救助、残疾人事业、物业管理、劳动就业、社会保障等职责。</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left"/>
        <w:textAlignment w:val="auto"/>
        <w:outlineLvl w:val="9"/>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b/>
          <w:bCs/>
          <w:color w:val="auto"/>
          <w:sz w:val="32"/>
          <w:szCs w:val="32"/>
          <w:highlight w:val="none"/>
          <w:shd w:val="clear" w:color="auto" w:fill="FFFFFF"/>
        </w:rPr>
        <w:t>5.</w:t>
      </w:r>
      <w:r>
        <w:rPr>
          <w:rFonts w:hint="default" w:ascii="Times New Roman" w:hAnsi="Times New Roman" w:eastAsia="方正仿宋_GBK" w:cs="Times New Roman"/>
          <w:color w:val="auto"/>
          <w:sz w:val="32"/>
          <w:szCs w:val="32"/>
          <w:highlight w:val="none"/>
          <w:shd w:val="clear" w:color="auto" w:fill="FFFFFF"/>
        </w:rPr>
        <w:t>平安建设办公室。主要负责信访、人民调解、社会治安综合治理、防范和处理邪教等职责。</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left"/>
        <w:textAlignment w:val="auto"/>
        <w:outlineLvl w:val="9"/>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b/>
          <w:bCs/>
          <w:color w:val="auto"/>
          <w:sz w:val="32"/>
          <w:szCs w:val="32"/>
          <w:highlight w:val="none"/>
          <w:shd w:val="clear" w:color="auto" w:fill="FFFFFF"/>
        </w:rPr>
        <w:t>6.</w:t>
      </w:r>
      <w:r>
        <w:rPr>
          <w:rFonts w:hint="default" w:ascii="Times New Roman" w:hAnsi="Times New Roman" w:eastAsia="方正仿宋_GBK" w:cs="Times New Roman"/>
          <w:color w:val="auto"/>
          <w:sz w:val="32"/>
          <w:szCs w:val="32"/>
          <w:highlight w:val="none"/>
          <w:shd w:val="clear" w:color="auto" w:fill="FFFFFF"/>
        </w:rPr>
        <w:t>规划建设管理环保办公室。主要负责辖区内城乡规划建设、市政公用、市容环卫、生态环境等职责。</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left"/>
        <w:textAlignment w:val="auto"/>
        <w:outlineLvl w:val="9"/>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b/>
          <w:bCs/>
          <w:color w:val="auto"/>
          <w:sz w:val="32"/>
          <w:szCs w:val="32"/>
          <w:highlight w:val="none"/>
          <w:shd w:val="clear" w:color="auto" w:fill="FFFFFF"/>
        </w:rPr>
        <w:t>7.</w:t>
      </w:r>
      <w:r>
        <w:rPr>
          <w:rFonts w:hint="default" w:ascii="Times New Roman" w:hAnsi="Times New Roman" w:eastAsia="方正仿宋_GBK" w:cs="Times New Roman"/>
          <w:color w:val="auto"/>
          <w:sz w:val="32"/>
          <w:szCs w:val="32"/>
          <w:highlight w:val="none"/>
          <w:shd w:val="clear" w:color="auto" w:fill="FFFFFF"/>
        </w:rPr>
        <w:t>财政办公室。主要负责财政收支、预决算、总会计、惠农资金兑付、财政资金监督检查、绩效评价、村级财务管理等职责。</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left"/>
        <w:textAlignment w:val="auto"/>
        <w:outlineLvl w:val="9"/>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b/>
          <w:bCs/>
          <w:color w:val="auto"/>
          <w:sz w:val="32"/>
          <w:szCs w:val="32"/>
          <w:highlight w:val="none"/>
          <w:shd w:val="clear" w:color="auto" w:fill="FFFFFF"/>
        </w:rPr>
        <w:t>8.</w:t>
      </w:r>
      <w:r>
        <w:rPr>
          <w:rFonts w:hint="default" w:ascii="Times New Roman" w:hAnsi="Times New Roman" w:eastAsia="方正仿宋_GBK" w:cs="Times New Roman"/>
          <w:color w:val="auto"/>
          <w:sz w:val="32"/>
          <w:szCs w:val="32"/>
          <w:highlight w:val="none"/>
          <w:shd w:val="clear" w:color="auto" w:fill="FFFFFF"/>
        </w:rPr>
        <w:t>应急管理办公室。主要负责安全生产综合监管、应急管理，协助煤矿、非煤矿山、危险化学品、食品药品、烟花爆竹、消防等安全生产日常监管工作。</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统一设置乡镇事业站所（4个）:</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left"/>
        <w:textAlignment w:val="auto"/>
        <w:outlineLvl w:val="9"/>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b/>
          <w:bCs/>
          <w:color w:val="auto"/>
          <w:sz w:val="32"/>
          <w:szCs w:val="32"/>
          <w:highlight w:val="none"/>
          <w:shd w:val="clear" w:color="auto" w:fill="FFFFFF"/>
        </w:rPr>
        <w:t>1.</w:t>
      </w:r>
      <w:r>
        <w:rPr>
          <w:rFonts w:hint="default" w:ascii="Times New Roman" w:hAnsi="Times New Roman" w:eastAsia="方正仿宋_GBK" w:cs="Times New Roman"/>
          <w:color w:val="auto"/>
          <w:sz w:val="32"/>
          <w:szCs w:val="32"/>
          <w:highlight w:val="none"/>
          <w:shd w:val="clear" w:color="auto" w:fill="FFFFFF"/>
        </w:rPr>
        <w:t>农业服务中心。主要职责：承担农技、农机、畜牧、水利水产等方面的技术推广、信息服务、水土保持、灾害防治、土地规模经营管理、农产品质量安全监管，农业综合服务等工作。</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left"/>
        <w:textAlignment w:val="auto"/>
        <w:outlineLvl w:val="9"/>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b/>
          <w:bCs/>
          <w:color w:val="auto"/>
          <w:sz w:val="32"/>
          <w:szCs w:val="32"/>
          <w:highlight w:val="none"/>
          <w:shd w:val="clear" w:color="auto" w:fill="FFFFFF"/>
        </w:rPr>
        <w:t>2.</w:t>
      </w:r>
      <w:r>
        <w:rPr>
          <w:rFonts w:hint="default" w:ascii="Times New Roman" w:hAnsi="Times New Roman" w:eastAsia="方正仿宋_GBK" w:cs="Times New Roman"/>
          <w:color w:val="auto"/>
          <w:sz w:val="32"/>
          <w:szCs w:val="32"/>
          <w:highlight w:val="none"/>
          <w:shd w:val="clear" w:color="auto" w:fill="FFFFFF"/>
        </w:rPr>
        <w:t>文化服务中心。主要承担文化、宣传、体育、科技培训、旅游等方面服务工作。</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left"/>
        <w:textAlignment w:val="auto"/>
        <w:outlineLvl w:val="9"/>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b/>
          <w:bCs/>
          <w:color w:val="auto"/>
          <w:sz w:val="32"/>
          <w:szCs w:val="32"/>
          <w:highlight w:val="none"/>
          <w:shd w:val="clear" w:color="auto" w:fill="FFFFFF"/>
        </w:rPr>
        <w:t>3.</w:t>
      </w:r>
      <w:r>
        <w:rPr>
          <w:rFonts w:hint="default" w:ascii="Times New Roman" w:hAnsi="Times New Roman" w:eastAsia="方正仿宋_GBK" w:cs="Times New Roman"/>
          <w:color w:val="auto"/>
          <w:sz w:val="32"/>
          <w:szCs w:val="32"/>
          <w:highlight w:val="none"/>
          <w:shd w:val="clear" w:color="auto" w:fill="FFFFFF"/>
        </w:rPr>
        <w:t>劳动就业和社会保障服务所。主要承担就业、再就业以及农村富余劳动力转移，受社会保险经办机构的委托，负责办理辖区内养老、失业、医疗、工伤、生育保险等社会保障工作，负责辖区内劳动关系协调处理，受理劳动保障监察案件举报投诉和初步调查处理等工作。</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left"/>
        <w:textAlignment w:val="auto"/>
        <w:outlineLvl w:val="9"/>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b/>
          <w:bCs/>
          <w:color w:val="auto"/>
          <w:sz w:val="32"/>
          <w:szCs w:val="32"/>
          <w:highlight w:val="none"/>
          <w:shd w:val="clear" w:color="auto" w:fill="FFFFFF"/>
        </w:rPr>
        <w:t>4.</w:t>
      </w:r>
      <w:r>
        <w:rPr>
          <w:rFonts w:hint="default" w:ascii="Times New Roman" w:hAnsi="Times New Roman" w:eastAsia="方正仿宋_GBK" w:cs="Times New Roman"/>
          <w:color w:val="auto"/>
          <w:sz w:val="32"/>
          <w:szCs w:val="32"/>
          <w:highlight w:val="none"/>
          <w:shd w:val="clear" w:color="auto" w:fill="FFFFFF"/>
        </w:rPr>
        <w:t>退役军人服务站。负责做好面对面、个性化、一对一服务退役军人工作，做好关系转接、联络接待、困难帮扶、信息采集、情况反映、立功喜报、悬挂光荣牌和</w:t>
      </w:r>
      <w:r>
        <w:rPr>
          <w:rFonts w:hint="eastAsia" w:ascii="Times New Roman" w:hAnsi="Times New Roman" w:eastAsia="方正仿宋_GBK" w:cs="Times New Roman"/>
          <w:color w:val="auto"/>
          <w:sz w:val="32"/>
          <w:szCs w:val="32"/>
          <w:highlight w:val="none"/>
          <w:shd w:val="clear" w:color="auto" w:fill="FFFFFF"/>
          <w:lang w:val="en-US" w:eastAsia="zh-CN"/>
        </w:rPr>
        <w:t>“</w:t>
      </w:r>
      <w:r>
        <w:rPr>
          <w:rFonts w:hint="default" w:ascii="Times New Roman" w:hAnsi="Times New Roman" w:eastAsia="方正仿宋_GBK" w:cs="Times New Roman"/>
          <w:color w:val="auto"/>
          <w:sz w:val="32"/>
          <w:szCs w:val="32"/>
          <w:highlight w:val="none"/>
          <w:shd w:val="clear" w:color="auto" w:fill="FFFFFF"/>
        </w:rPr>
        <w:t>八一</w:t>
      </w:r>
      <w:r>
        <w:rPr>
          <w:rFonts w:hint="eastAsia" w:ascii="Times New Roman" w:hAnsi="Times New Roman" w:eastAsia="方正仿宋_GBK" w:cs="Times New Roman"/>
          <w:color w:val="auto"/>
          <w:sz w:val="32"/>
          <w:szCs w:val="32"/>
          <w:highlight w:val="none"/>
          <w:shd w:val="clear" w:color="auto" w:fill="FFFFFF"/>
          <w:lang w:val="en-US" w:eastAsia="zh-CN"/>
        </w:rPr>
        <w:t>”</w:t>
      </w:r>
      <w:r>
        <w:rPr>
          <w:rFonts w:hint="default" w:ascii="Times New Roman" w:hAnsi="Times New Roman" w:eastAsia="方正仿宋_GBK" w:cs="Times New Roman"/>
          <w:color w:val="auto"/>
          <w:sz w:val="32"/>
          <w:szCs w:val="32"/>
          <w:highlight w:val="none"/>
          <w:shd w:val="clear" w:color="auto" w:fill="FFFFFF"/>
        </w:rPr>
        <w:t>、春节等节日以及重大变故走访慰问等具体事务，搭建政策咨询、帮扶援助、沟通联系、学习交流等活动场所把党和政府的关怀温暖送到每一个退役军人身边；完成上级交办的其他任务。</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left"/>
        <w:textAlignment w:val="auto"/>
        <w:outlineLvl w:val="9"/>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b/>
          <w:bCs/>
          <w:color w:val="auto"/>
          <w:sz w:val="32"/>
          <w:szCs w:val="32"/>
          <w:highlight w:val="none"/>
          <w:shd w:val="clear" w:color="auto" w:fill="FFFFFF"/>
        </w:rPr>
        <w:t>5.</w:t>
      </w:r>
      <w:r>
        <w:rPr>
          <w:rFonts w:hint="default" w:ascii="Times New Roman" w:hAnsi="Times New Roman" w:eastAsia="方正仿宋_GBK" w:cs="Times New Roman"/>
          <w:color w:val="auto"/>
          <w:sz w:val="32"/>
          <w:szCs w:val="32"/>
          <w:highlight w:val="none"/>
          <w:shd w:val="clear" w:color="auto" w:fill="FFFFFF"/>
        </w:rPr>
        <w:t>综合行政执法大队。受综合行政执法办公室委托，行使依法授权或委托的农林水利、规划建设、生态环境、卫生健康、文化旅游、民政管理等领域的行政执法权。建立与城市管理、食品药品安全监管等方面的联合执法机制。综合行政执法大队与综合行政执法办公室统筹运行。</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机关人员编制数行政22人(其中公务员编制21人，工勤人员1人)。年末实有行政人员19人，(其中公务员18人，工勤人员1人)。事业编制26人（其中有3人为参公管理人员），年末实有人数为25人（其中有3人为参公管理人员）。退休人员为32人。</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11"/>
          <w:rFonts w:hint="default" w:ascii="方正黑体_GBK" w:hAnsi="方正黑体_GBK" w:eastAsia="方正黑体_GBK" w:cs="方正黑体_GBK"/>
          <w:b w:val="0"/>
          <w:bCs/>
          <w:color w:val="auto"/>
          <w:sz w:val="32"/>
          <w:szCs w:val="32"/>
          <w:highlight w:val="none"/>
          <w:shd w:val="clear" w:color="auto" w:fill="FFFFFF"/>
        </w:rPr>
      </w:pPr>
      <w:r>
        <w:rPr>
          <w:rStyle w:val="11"/>
          <w:rFonts w:hint="default" w:ascii="方正黑体_GBK" w:hAnsi="方正黑体_GBK" w:eastAsia="方正黑体_GBK" w:cs="方正黑体_GBK"/>
          <w:b w:val="0"/>
          <w:bCs/>
          <w:color w:val="auto"/>
          <w:sz w:val="32"/>
          <w:szCs w:val="32"/>
          <w:highlight w:val="none"/>
          <w:shd w:val="clear" w:color="auto" w:fill="FFFFFF"/>
        </w:rPr>
        <w:t>二、部门决算情况说明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11"/>
          <w:rFonts w:hint="default" w:ascii="方正楷体_GBK" w:hAnsi="方正楷体_GBK" w:eastAsia="方正楷体_GBK" w:cs="方正楷体_GBK"/>
          <w:b w:val="0"/>
          <w:bCs/>
          <w:color w:val="auto"/>
          <w:sz w:val="32"/>
          <w:szCs w:val="32"/>
          <w:highlight w:val="none"/>
          <w:shd w:val="clear" w:color="auto" w:fill="FFFFFF"/>
        </w:rPr>
      </w:pPr>
      <w:r>
        <w:rPr>
          <w:rStyle w:val="11"/>
          <w:rFonts w:hint="default" w:ascii="方正楷体_GBK" w:hAnsi="方正楷体_GBK" w:eastAsia="方正楷体_GBK" w:cs="方正楷体_GBK"/>
          <w:b w:val="0"/>
          <w:bCs/>
          <w:color w:val="auto"/>
          <w:sz w:val="32"/>
          <w:szCs w:val="32"/>
          <w:highlight w:val="none"/>
          <w:shd w:val="clear" w:color="auto" w:fill="FFFFFF"/>
        </w:rPr>
        <w:t>（一）收入支出决算总体情况说明</w:t>
      </w:r>
    </w:p>
    <w:p>
      <w:pPr>
        <w:pStyle w:val="9"/>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right="0" w:rightChars="0" w:firstLine="643" w:firstLineChars="200"/>
        <w:outlineLvl w:val="9"/>
        <w:rPr>
          <w:rFonts w:hint="default" w:ascii="Times New Roman" w:hAnsi="Times New Roman" w:eastAsia="方正仿宋_GBK" w:cs="Times New Roman"/>
          <w:color w:val="auto"/>
          <w:sz w:val="32"/>
          <w:szCs w:val="32"/>
          <w:highlight w:val="none"/>
        </w:rPr>
      </w:pPr>
      <w:r>
        <w:rPr>
          <w:rStyle w:val="11"/>
          <w:rFonts w:hint="default" w:ascii="Times New Roman" w:hAnsi="Times New Roman" w:eastAsia="方正仿宋_GBK" w:cs="Times New Roman"/>
          <w:color w:val="auto"/>
          <w:sz w:val="32"/>
          <w:szCs w:val="32"/>
          <w:highlight w:val="none"/>
          <w:shd w:val="clear" w:color="auto" w:fill="FFFFFF"/>
        </w:rPr>
        <w:t>1.总体情况。</w:t>
      </w:r>
      <w:r>
        <w:rPr>
          <w:rFonts w:hint="default" w:ascii="Times New Roman" w:hAnsi="Times New Roman" w:eastAsia="方正仿宋_GBK" w:cs="Times New Roman"/>
          <w:color w:val="auto"/>
          <w:sz w:val="32"/>
          <w:szCs w:val="32"/>
          <w:highlight w:val="none"/>
          <w:shd w:val="clear" w:color="auto" w:fill="FFFFFF"/>
        </w:rPr>
        <w:t>2023年度收入总计2201.58万元，支出总计</w:t>
      </w:r>
      <w:r>
        <w:rPr>
          <w:rFonts w:hint="default" w:ascii="Times New Roman" w:hAnsi="Times New Roman" w:eastAsia="方正仿宋_GBK" w:cs="Times New Roman"/>
          <w:color w:val="auto"/>
          <w:sz w:val="32"/>
          <w:szCs w:val="32"/>
          <w:highlight w:val="none"/>
        </w:rPr>
        <w:t>2201.58</w:t>
      </w:r>
      <w:r>
        <w:rPr>
          <w:rFonts w:hint="default" w:ascii="Times New Roman" w:hAnsi="Times New Roman" w:eastAsia="方正仿宋_GBK" w:cs="Times New Roman"/>
          <w:color w:val="auto"/>
          <w:sz w:val="32"/>
          <w:szCs w:val="32"/>
          <w:highlight w:val="none"/>
          <w:shd w:val="clear" w:color="auto" w:fill="FFFFFF"/>
        </w:rPr>
        <w:t>万元。收支较上年决算数减少470.95万元，下降17.62%，主要原因是</w:t>
      </w:r>
      <w:r>
        <w:rPr>
          <w:rFonts w:hint="default" w:ascii="Times New Roman" w:hAnsi="Times New Roman" w:eastAsia="方正仿宋_GBK" w:cs="Times New Roman"/>
          <w:color w:val="auto"/>
          <w:sz w:val="32"/>
          <w:szCs w:val="32"/>
          <w:highlight w:val="none"/>
          <w:shd w:val="clear" w:color="auto" w:fill="FFFFFF"/>
          <w:lang w:eastAsia="zh-CN"/>
        </w:rPr>
        <w:t>人员经费、公用经费、项目支出等实际收支较上年决算减少</w:t>
      </w:r>
      <w:r>
        <w:rPr>
          <w:rFonts w:hint="default" w:ascii="Times New Roman" w:hAnsi="Times New Roman" w:eastAsia="方正仿宋_GBK" w:cs="Times New Roman"/>
          <w:color w:val="auto"/>
          <w:sz w:val="32"/>
          <w:szCs w:val="32"/>
          <w:highlight w:val="none"/>
          <w:shd w:val="clear" w:color="auto" w:fill="FFFFFF"/>
        </w:rPr>
        <w:t>。</w:t>
      </w:r>
    </w:p>
    <w:p>
      <w:pPr>
        <w:pStyle w:val="9"/>
        <w:keepNext w:val="0"/>
        <w:keepLines w:val="0"/>
        <w:pageBreakBefore w:val="0"/>
        <w:widowControl/>
        <w:kinsoku/>
        <w:overflowPunct/>
        <w:topLinePunct w:val="0"/>
        <w:autoSpaceDN/>
        <w:bidi w:val="0"/>
        <w:adjustRightInd/>
        <w:snapToGrid w:val="0"/>
        <w:spacing w:before="0" w:beforeAutospacing="0" w:after="0" w:afterAutospacing="0" w:line="560" w:lineRule="exact"/>
        <w:ind w:right="0" w:rightChars="0" w:firstLine="643" w:firstLineChars="200"/>
        <w:jc w:val="both"/>
        <w:outlineLvl w:val="9"/>
        <w:rPr>
          <w:rFonts w:hint="default" w:ascii="Times New Roman" w:hAnsi="Times New Roman" w:eastAsia="方正仿宋_GBK" w:cs="Times New Roman"/>
          <w:color w:val="auto"/>
          <w:sz w:val="32"/>
          <w:szCs w:val="32"/>
          <w:highlight w:val="none"/>
          <w:shd w:val="clear" w:color="auto" w:fill="FFFFFF"/>
        </w:rPr>
      </w:pPr>
      <w:r>
        <w:rPr>
          <w:rStyle w:val="11"/>
          <w:rFonts w:hint="default" w:ascii="Times New Roman" w:hAnsi="Times New Roman" w:eastAsia="方正仿宋_GBK" w:cs="Times New Roman"/>
          <w:color w:val="auto"/>
          <w:sz w:val="32"/>
          <w:szCs w:val="32"/>
          <w:highlight w:val="none"/>
          <w:shd w:val="clear" w:color="auto" w:fill="FFFFFF"/>
        </w:rPr>
        <w:t>2.收入情况。</w:t>
      </w:r>
      <w:r>
        <w:rPr>
          <w:rFonts w:hint="default" w:ascii="Times New Roman" w:hAnsi="Times New Roman" w:eastAsia="方正仿宋_GBK" w:cs="Times New Roman"/>
          <w:color w:val="auto"/>
          <w:sz w:val="32"/>
          <w:szCs w:val="32"/>
          <w:highlight w:val="none"/>
          <w:shd w:val="clear" w:color="auto" w:fill="FFFFFF"/>
        </w:rPr>
        <w:t>2023年度收入合计2194.68万元，较上年决算数减少333.15万元，下降13.18%，主要原因是</w:t>
      </w:r>
      <w:r>
        <w:rPr>
          <w:rFonts w:hint="default" w:ascii="Times New Roman" w:hAnsi="Times New Roman" w:eastAsia="方正仿宋_GBK" w:cs="Times New Roman"/>
          <w:color w:val="auto"/>
          <w:sz w:val="32"/>
          <w:szCs w:val="32"/>
          <w:highlight w:val="none"/>
          <w:shd w:val="clear" w:color="auto" w:fill="FFFFFF"/>
          <w:lang w:eastAsia="zh-CN"/>
        </w:rPr>
        <w:t>一般公共预算财政拨款收入减少</w:t>
      </w:r>
      <w:r>
        <w:rPr>
          <w:rFonts w:hint="default" w:ascii="Times New Roman" w:hAnsi="Times New Roman" w:eastAsia="方正仿宋_GBK" w:cs="Times New Roman"/>
          <w:color w:val="auto"/>
          <w:sz w:val="32"/>
          <w:szCs w:val="32"/>
          <w:highlight w:val="none"/>
          <w:shd w:val="clear" w:color="auto" w:fill="FFFFFF"/>
          <w:lang w:val="en-US" w:eastAsia="zh-CN"/>
        </w:rPr>
        <w:t>396.93万元，政府性基金预算财政拨款收入较年增加63.47万元</w:t>
      </w:r>
      <w:r>
        <w:rPr>
          <w:rFonts w:hint="default" w:ascii="Times New Roman" w:hAnsi="Times New Roman" w:eastAsia="方正仿宋_GBK" w:cs="Times New Roman"/>
          <w:color w:val="auto"/>
          <w:sz w:val="32"/>
          <w:szCs w:val="32"/>
          <w:highlight w:val="none"/>
          <w:shd w:val="clear" w:color="auto" w:fill="FFFFFF"/>
        </w:rPr>
        <w:t>。其中：财政拨款收入2194.68万元，占100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%；事业收入0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万元，占0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%；经营收入0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万元，占0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%；其他收入0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万元，占0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%。此外，使用非财政拨款结余和专用结余0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万元，年初结转和结余6.91万元。</w:t>
      </w:r>
    </w:p>
    <w:p>
      <w:pPr>
        <w:pStyle w:val="9"/>
        <w:keepNext w:val="0"/>
        <w:keepLines w:val="0"/>
        <w:pageBreakBefore w:val="0"/>
        <w:widowControl/>
        <w:kinsoku/>
        <w:overflowPunct/>
        <w:topLinePunct w:val="0"/>
        <w:autoSpaceDN/>
        <w:bidi w:val="0"/>
        <w:adjustRightInd/>
        <w:snapToGrid w:val="0"/>
        <w:spacing w:before="0" w:beforeAutospacing="0" w:after="0" w:afterAutospacing="0" w:line="560" w:lineRule="exact"/>
        <w:ind w:right="0" w:rightChars="0" w:firstLine="643" w:firstLineChars="200"/>
        <w:jc w:val="both"/>
        <w:outlineLvl w:val="9"/>
        <w:rPr>
          <w:rFonts w:hint="default" w:ascii="Times New Roman" w:hAnsi="Times New Roman" w:eastAsia="方正仿宋_GBK" w:cs="Times New Roman"/>
          <w:color w:val="auto"/>
          <w:sz w:val="32"/>
          <w:szCs w:val="32"/>
          <w:highlight w:val="none"/>
          <w:shd w:val="clear" w:color="auto" w:fill="FFFFFF"/>
        </w:rPr>
      </w:pPr>
      <w:r>
        <w:rPr>
          <w:rStyle w:val="11"/>
          <w:rFonts w:hint="default" w:ascii="Times New Roman" w:hAnsi="Times New Roman" w:eastAsia="方正仿宋_GBK" w:cs="Times New Roman"/>
          <w:color w:val="auto"/>
          <w:sz w:val="32"/>
          <w:szCs w:val="32"/>
          <w:highlight w:val="none"/>
          <w:shd w:val="clear" w:color="auto" w:fill="FFFFFF"/>
        </w:rPr>
        <w:t>3.支出情况。</w:t>
      </w:r>
      <w:r>
        <w:rPr>
          <w:rFonts w:hint="default" w:ascii="Times New Roman" w:hAnsi="Times New Roman" w:eastAsia="方正仿宋_GBK" w:cs="Times New Roman"/>
          <w:color w:val="auto"/>
          <w:sz w:val="32"/>
          <w:szCs w:val="32"/>
          <w:highlight w:val="none"/>
          <w:shd w:val="clear" w:color="auto" w:fill="FFFFFF"/>
        </w:rPr>
        <w:t>2023年度支出合计</w:t>
      </w:r>
      <w:r>
        <w:rPr>
          <w:rFonts w:hint="default" w:ascii="Times New Roman" w:hAnsi="Times New Roman" w:eastAsia="方正仿宋_GBK" w:cs="Times New Roman"/>
          <w:color w:val="auto"/>
          <w:sz w:val="32"/>
          <w:szCs w:val="32"/>
          <w:highlight w:val="none"/>
        </w:rPr>
        <w:t>2152.02</w:t>
      </w:r>
      <w:r>
        <w:rPr>
          <w:rFonts w:hint="default" w:ascii="Times New Roman" w:hAnsi="Times New Roman" w:eastAsia="方正仿宋_GBK" w:cs="Times New Roman"/>
          <w:color w:val="auto"/>
          <w:sz w:val="32"/>
          <w:szCs w:val="32"/>
          <w:highlight w:val="none"/>
          <w:shd w:val="clear" w:color="auto" w:fill="FFFFFF"/>
        </w:rPr>
        <w:t>万元，较上年决算数减少520.51万元，下降19.48%，主要原因是</w:t>
      </w:r>
      <w:r>
        <w:rPr>
          <w:rFonts w:hint="default" w:ascii="Times New Roman" w:hAnsi="Times New Roman" w:eastAsia="方正仿宋_GBK" w:cs="Times New Roman"/>
          <w:color w:val="auto"/>
          <w:sz w:val="32"/>
          <w:szCs w:val="32"/>
          <w:highlight w:val="none"/>
          <w:shd w:val="clear" w:color="auto" w:fill="FFFFFF"/>
          <w:lang w:eastAsia="zh-CN"/>
        </w:rPr>
        <w:t>人员经费、公用经费、项目支出等实际收支较上年决算减少</w:t>
      </w:r>
      <w:r>
        <w:rPr>
          <w:rFonts w:hint="default" w:ascii="Times New Roman" w:hAnsi="Times New Roman" w:eastAsia="方正仿宋_GBK" w:cs="Times New Roman"/>
          <w:color w:val="auto"/>
          <w:sz w:val="32"/>
          <w:szCs w:val="32"/>
          <w:highlight w:val="none"/>
          <w:shd w:val="clear" w:color="auto" w:fill="FFFFFF"/>
        </w:rPr>
        <w:t>。其中：基本支出1320.07万元，占61.34%；项目支出831.94万元，占38.66%；经营支出0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万元，占0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%。此外，结余分配0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万元。</w:t>
      </w:r>
    </w:p>
    <w:p>
      <w:pPr>
        <w:pStyle w:val="9"/>
        <w:keepNext w:val="0"/>
        <w:keepLines w:val="0"/>
        <w:pageBreakBefore w:val="0"/>
        <w:widowControl/>
        <w:kinsoku/>
        <w:overflowPunct/>
        <w:topLinePunct w:val="0"/>
        <w:autoSpaceDN/>
        <w:bidi w:val="0"/>
        <w:adjustRightInd/>
        <w:snapToGrid w:val="0"/>
        <w:spacing w:before="0" w:beforeAutospacing="0" w:after="0" w:afterAutospacing="0" w:line="560" w:lineRule="exact"/>
        <w:ind w:right="0" w:rightChars="0" w:firstLine="643" w:firstLineChars="200"/>
        <w:jc w:val="both"/>
        <w:outlineLvl w:val="9"/>
        <w:rPr>
          <w:rFonts w:hint="default" w:ascii="Times New Roman" w:hAnsi="Times New Roman" w:eastAsia="方正仿宋_GBK" w:cs="Times New Roman"/>
          <w:color w:val="auto"/>
          <w:sz w:val="32"/>
          <w:szCs w:val="32"/>
          <w:highlight w:val="none"/>
        </w:rPr>
      </w:pPr>
      <w:r>
        <w:rPr>
          <w:rStyle w:val="11"/>
          <w:rFonts w:hint="default" w:ascii="Times New Roman" w:hAnsi="Times New Roman" w:eastAsia="方正仿宋_GBK" w:cs="Times New Roman"/>
          <w:color w:val="auto"/>
          <w:sz w:val="32"/>
          <w:szCs w:val="32"/>
          <w:highlight w:val="none"/>
          <w:shd w:val="clear" w:color="auto" w:fill="FFFFFF"/>
        </w:rPr>
        <w:t>4.结转结余情况。</w:t>
      </w:r>
      <w:r>
        <w:rPr>
          <w:rFonts w:hint="default" w:ascii="Times New Roman" w:hAnsi="Times New Roman" w:eastAsia="方正仿宋_GBK" w:cs="Times New Roman"/>
          <w:color w:val="auto"/>
          <w:sz w:val="32"/>
          <w:szCs w:val="32"/>
          <w:highlight w:val="none"/>
          <w:shd w:val="clear" w:color="auto" w:fill="FFFFFF"/>
        </w:rPr>
        <w:t>2023年度年末结转和结余</w:t>
      </w:r>
      <w:r>
        <w:rPr>
          <w:rFonts w:hint="default" w:ascii="Times New Roman" w:hAnsi="Times New Roman" w:eastAsia="方正仿宋_GBK" w:cs="Times New Roman"/>
          <w:color w:val="auto"/>
          <w:sz w:val="32"/>
          <w:szCs w:val="32"/>
          <w:highlight w:val="none"/>
        </w:rPr>
        <w:t>49.57</w:t>
      </w:r>
      <w:r>
        <w:rPr>
          <w:rFonts w:hint="default" w:ascii="Times New Roman" w:hAnsi="Times New Roman" w:eastAsia="方正仿宋_GBK" w:cs="Times New Roman"/>
          <w:color w:val="auto"/>
          <w:sz w:val="32"/>
          <w:szCs w:val="32"/>
          <w:highlight w:val="none"/>
          <w:shd w:val="clear" w:color="auto" w:fill="FFFFFF"/>
        </w:rPr>
        <w:t>万元，较上年决算数增加49.57万元，增长100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%，主要原因是2022年度事业人员超额绩效清算</w:t>
      </w:r>
      <w:r>
        <w:rPr>
          <w:rFonts w:hint="default" w:ascii="Times New Roman" w:hAnsi="Times New Roman" w:eastAsia="方正仿宋_GBK" w:cs="Times New Roman"/>
          <w:color w:val="auto"/>
          <w:sz w:val="32"/>
          <w:szCs w:val="32"/>
          <w:highlight w:val="none"/>
          <w:shd w:val="clear" w:color="auto" w:fill="FFFFFF"/>
          <w:lang w:eastAsia="zh-CN"/>
        </w:rPr>
        <w:t>项目49</w:t>
      </w:r>
      <w:r>
        <w:rPr>
          <w:rFonts w:hint="default" w:ascii="Times New Roman" w:hAnsi="Times New Roman" w:eastAsia="方正仿宋_GBK" w:cs="Times New Roman"/>
          <w:color w:val="auto"/>
          <w:sz w:val="32"/>
          <w:szCs w:val="32"/>
          <w:highlight w:val="none"/>
          <w:shd w:val="clear" w:color="auto" w:fill="FFFFFF"/>
          <w:lang w:val="en-US" w:eastAsia="zh-CN"/>
        </w:rPr>
        <w:t>.</w:t>
      </w:r>
      <w:r>
        <w:rPr>
          <w:rFonts w:hint="default" w:ascii="Times New Roman" w:hAnsi="Times New Roman" w:eastAsia="方正仿宋_GBK" w:cs="Times New Roman"/>
          <w:color w:val="auto"/>
          <w:sz w:val="32"/>
          <w:szCs w:val="32"/>
          <w:highlight w:val="none"/>
          <w:shd w:val="clear" w:color="auto" w:fill="FFFFFF"/>
          <w:lang w:eastAsia="zh-CN"/>
        </w:rPr>
        <w:t>57万元结转至</w:t>
      </w:r>
      <w:r>
        <w:rPr>
          <w:rFonts w:hint="default" w:ascii="Times New Roman" w:hAnsi="Times New Roman" w:eastAsia="方正仿宋_GBK" w:cs="Times New Roman"/>
          <w:color w:val="auto"/>
          <w:sz w:val="32"/>
          <w:szCs w:val="32"/>
          <w:highlight w:val="none"/>
          <w:shd w:val="clear" w:color="auto" w:fill="FFFFFF"/>
          <w:lang w:val="en-US" w:eastAsia="zh-CN"/>
        </w:rPr>
        <w:t>2024年支付</w:t>
      </w:r>
      <w:r>
        <w:rPr>
          <w:rFonts w:hint="default" w:ascii="Times New Roman" w:hAnsi="Times New Roman" w:eastAsia="方正仿宋_GBK" w:cs="Times New Roman"/>
          <w:color w:val="auto"/>
          <w:sz w:val="32"/>
          <w:szCs w:val="32"/>
          <w:highlight w:val="none"/>
          <w:shd w:val="clear" w:color="auto" w:fill="FFFFFF"/>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11"/>
          <w:rFonts w:hint="default" w:ascii="方正楷体_GBK" w:hAnsi="方正楷体_GBK" w:eastAsia="方正楷体_GBK" w:cs="方正楷体_GBK"/>
          <w:b w:val="0"/>
          <w:bCs/>
          <w:color w:val="auto"/>
          <w:sz w:val="32"/>
          <w:szCs w:val="32"/>
          <w:highlight w:val="none"/>
          <w:shd w:val="clear" w:color="auto" w:fill="FFFFFF"/>
        </w:rPr>
      </w:pPr>
      <w:r>
        <w:rPr>
          <w:rStyle w:val="11"/>
          <w:rFonts w:hint="default" w:ascii="方正楷体_GBK" w:hAnsi="方正楷体_GBK" w:eastAsia="方正楷体_GBK" w:cs="方正楷体_GBK"/>
          <w:b w:val="0"/>
          <w:bCs/>
          <w:color w:val="auto"/>
          <w:sz w:val="32"/>
          <w:szCs w:val="32"/>
          <w:highlight w:val="none"/>
          <w:shd w:val="clear" w:color="auto" w:fill="FFFFFF"/>
        </w:rPr>
        <w:t>（二）财政拨款收入支出决算总体情况说明</w:t>
      </w:r>
    </w:p>
    <w:p>
      <w:pPr>
        <w:pStyle w:val="9"/>
        <w:keepNext w:val="0"/>
        <w:keepLines w:val="0"/>
        <w:pageBreakBefore w:val="0"/>
        <w:widowControl/>
        <w:kinsoku/>
        <w:overflowPunct/>
        <w:topLinePunct w:val="0"/>
        <w:autoSpaceDN/>
        <w:bidi w:val="0"/>
        <w:adjustRightInd/>
        <w:snapToGrid w:val="0"/>
        <w:spacing w:before="0" w:beforeAutospacing="0" w:after="0" w:afterAutospacing="0" w:line="560" w:lineRule="exact"/>
        <w:ind w:right="0" w:rightChars="0" w:firstLine="640" w:firstLineChars="200"/>
        <w:jc w:val="both"/>
        <w:outlineLvl w:val="9"/>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2023年度财政拨款收、支总计2201.58万元。与2022年相比，财政拨款收、支总计各减少326.25万元，下降12.91%。主要原因是</w:t>
      </w:r>
      <w:r>
        <w:rPr>
          <w:rFonts w:hint="default" w:ascii="Times New Roman" w:hAnsi="Times New Roman" w:eastAsia="方正仿宋_GBK" w:cs="Times New Roman"/>
          <w:color w:val="auto"/>
          <w:sz w:val="32"/>
          <w:szCs w:val="32"/>
          <w:highlight w:val="none"/>
          <w:shd w:val="clear" w:color="auto" w:fill="FFFFFF"/>
          <w:lang w:eastAsia="zh-CN"/>
        </w:rPr>
        <w:t>贯彻落实过</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lang w:eastAsia="zh-CN"/>
        </w:rPr>
        <w:t>紧日子</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lang w:eastAsia="zh-CN"/>
        </w:rPr>
        <w:t>要求，人员经费、公用经费、项目支出较</w:t>
      </w:r>
      <w:r>
        <w:rPr>
          <w:rFonts w:hint="default" w:ascii="Times New Roman" w:hAnsi="Times New Roman" w:eastAsia="方正仿宋_GBK" w:cs="Times New Roman"/>
          <w:color w:val="auto"/>
          <w:sz w:val="32"/>
          <w:szCs w:val="32"/>
          <w:highlight w:val="none"/>
          <w:shd w:val="clear" w:color="auto" w:fill="FFFFFF"/>
          <w:lang w:val="en-US" w:eastAsia="zh-CN"/>
        </w:rPr>
        <w:t>2022年收支减少</w:t>
      </w:r>
      <w:r>
        <w:rPr>
          <w:rFonts w:hint="default" w:ascii="Times New Roman" w:hAnsi="Times New Roman" w:eastAsia="方正仿宋_GBK" w:cs="Times New Roman"/>
          <w:color w:val="auto"/>
          <w:sz w:val="32"/>
          <w:szCs w:val="32"/>
          <w:highlight w:val="none"/>
          <w:shd w:val="clear" w:color="auto" w:fill="FFFFFF"/>
        </w:rPr>
        <w:t>。</w:t>
      </w:r>
    </w:p>
    <w:p>
      <w:pPr>
        <w:pStyle w:val="9"/>
        <w:keepNext w:val="0"/>
        <w:keepLines w:val="0"/>
        <w:pageBreakBefore w:val="0"/>
        <w:widowControl/>
        <w:kinsoku/>
        <w:overflowPunct/>
        <w:topLinePunct w:val="0"/>
        <w:autoSpaceDN/>
        <w:bidi w:val="0"/>
        <w:adjustRightInd/>
        <w:snapToGrid w:val="0"/>
        <w:spacing w:before="0" w:beforeAutospacing="0" w:after="0" w:afterAutospacing="0" w:line="560" w:lineRule="exact"/>
        <w:ind w:right="0" w:rightChars="0" w:firstLine="640" w:firstLineChars="200"/>
        <w:jc w:val="both"/>
        <w:outlineLvl w:val="9"/>
        <w:rPr>
          <w:rFonts w:hint="default" w:ascii="Times New Roman" w:hAnsi="Times New Roman" w:eastAsia="方正仿宋_GBK" w:cs="Times New Roman"/>
          <w:color w:val="auto"/>
          <w:sz w:val="32"/>
          <w:szCs w:val="32"/>
          <w:highlight w:val="none"/>
          <w:shd w:val="clear" w:color="auto" w:fill="FFFFFF"/>
        </w:rPr>
      </w:pP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11"/>
          <w:rFonts w:hint="default" w:ascii="方正楷体_GBK" w:hAnsi="方正楷体_GBK" w:eastAsia="方正楷体_GBK" w:cs="方正楷体_GBK"/>
          <w:b w:val="0"/>
          <w:bCs/>
          <w:color w:val="auto"/>
          <w:sz w:val="32"/>
          <w:szCs w:val="32"/>
          <w:highlight w:val="none"/>
          <w:shd w:val="clear" w:color="auto" w:fill="FFFFFF"/>
        </w:rPr>
      </w:pPr>
      <w:r>
        <w:rPr>
          <w:rStyle w:val="11"/>
          <w:rFonts w:hint="default" w:ascii="方正楷体_GBK" w:hAnsi="方正楷体_GBK" w:eastAsia="方正楷体_GBK" w:cs="方正楷体_GBK"/>
          <w:b w:val="0"/>
          <w:bCs/>
          <w:color w:val="auto"/>
          <w:sz w:val="32"/>
          <w:szCs w:val="32"/>
          <w:highlight w:val="none"/>
          <w:shd w:val="clear" w:color="auto" w:fill="FFFFFF"/>
        </w:rPr>
        <w:t>（三）一般公共预算财政拨款收入支出决算情况说明</w:t>
      </w:r>
    </w:p>
    <w:p>
      <w:pPr>
        <w:pStyle w:val="9"/>
        <w:keepNext w:val="0"/>
        <w:keepLines w:val="0"/>
        <w:pageBreakBefore w:val="0"/>
        <w:widowControl/>
        <w:kinsoku/>
        <w:overflowPunct/>
        <w:topLinePunct w:val="0"/>
        <w:autoSpaceDN/>
        <w:bidi w:val="0"/>
        <w:adjustRightInd/>
        <w:snapToGrid w:val="0"/>
        <w:spacing w:before="0" w:beforeAutospacing="0" w:after="0" w:afterAutospacing="0" w:line="560" w:lineRule="exact"/>
        <w:ind w:right="0" w:rightChars="0" w:firstLine="643" w:firstLineChars="200"/>
        <w:jc w:val="both"/>
        <w:outlineLvl w:val="9"/>
        <w:rPr>
          <w:rFonts w:hint="default" w:ascii="Times New Roman" w:hAnsi="Times New Roman" w:eastAsia="方正仿宋_GBK" w:cs="Times New Roman"/>
          <w:color w:val="auto"/>
          <w:sz w:val="32"/>
          <w:szCs w:val="32"/>
          <w:highlight w:val="none"/>
        </w:rPr>
      </w:pPr>
      <w:r>
        <w:rPr>
          <w:rStyle w:val="11"/>
          <w:rFonts w:hint="default" w:ascii="Times New Roman" w:hAnsi="Times New Roman" w:eastAsia="方正仿宋_GBK" w:cs="Times New Roman"/>
          <w:color w:val="auto"/>
          <w:sz w:val="32"/>
          <w:szCs w:val="32"/>
          <w:highlight w:val="none"/>
          <w:shd w:val="clear" w:color="auto" w:fill="FFFFFF"/>
        </w:rPr>
        <w:t>1.收入情况。</w:t>
      </w:r>
      <w:r>
        <w:rPr>
          <w:rFonts w:hint="default" w:ascii="Times New Roman" w:hAnsi="Times New Roman" w:eastAsia="方正仿宋_GBK" w:cs="Times New Roman"/>
          <w:color w:val="auto"/>
          <w:sz w:val="32"/>
          <w:szCs w:val="32"/>
          <w:highlight w:val="none"/>
          <w:shd w:val="clear" w:color="auto" w:fill="FFFFFF"/>
        </w:rPr>
        <w:t>2023年度一般公共预算财政拨款收入</w:t>
      </w:r>
      <w:r>
        <w:rPr>
          <w:rFonts w:hint="default" w:ascii="Times New Roman" w:hAnsi="Times New Roman" w:eastAsia="方正仿宋_GBK" w:cs="Times New Roman"/>
          <w:color w:val="auto"/>
          <w:sz w:val="32"/>
          <w:szCs w:val="32"/>
          <w:highlight w:val="none"/>
        </w:rPr>
        <w:t>2127.21</w:t>
      </w:r>
      <w:r>
        <w:rPr>
          <w:rFonts w:hint="default" w:ascii="Times New Roman" w:hAnsi="Times New Roman" w:eastAsia="方正仿宋_GBK" w:cs="Times New Roman"/>
          <w:color w:val="auto"/>
          <w:sz w:val="32"/>
          <w:szCs w:val="32"/>
          <w:highlight w:val="none"/>
          <w:shd w:val="clear" w:color="auto" w:fill="FFFFFF"/>
        </w:rPr>
        <w:t>万元，较上年决算数减少396.62万元，下降15.72%。主要原因是</w:t>
      </w:r>
      <w:r>
        <w:rPr>
          <w:rFonts w:hint="default" w:ascii="Times New Roman" w:hAnsi="Times New Roman" w:eastAsia="方正仿宋_GBK" w:cs="Times New Roman"/>
          <w:color w:val="auto"/>
          <w:sz w:val="32"/>
          <w:szCs w:val="32"/>
          <w:highlight w:val="none"/>
          <w:shd w:val="clear" w:color="auto" w:fill="FFFFFF"/>
          <w:lang w:eastAsia="zh-CN"/>
        </w:rPr>
        <w:t>贯彻落实过</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lang w:eastAsia="zh-CN"/>
        </w:rPr>
        <w:t>紧日子</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lang w:eastAsia="zh-CN"/>
        </w:rPr>
        <w:t>要求，</w:t>
      </w:r>
      <w:r>
        <w:rPr>
          <w:rFonts w:hint="default" w:ascii="Times New Roman" w:hAnsi="Times New Roman" w:eastAsia="方正仿宋_GBK" w:cs="Times New Roman"/>
          <w:color w:val="auto"/>
          <w:sz w:val="32"/>
          <w:szCs w:val="32"/>
          <w:highlight w:val="none"/>
          <w:shd w:val="clear" w:color="auto" w:fill="FFFFFF"/>
          <w:lang w:val="en-US" w:eastAsia="zh-CN"/>
        </w:rPr>
        <w:t>2</w:t>
      </w:r>
      <w:r>
        <w:rPr>
          <w:rFonts w:hint="default" w:ascii="Times New Roman" w:hAnsi="Times New Roman" w:eastAsia="方正仿宋_GBK" w:cs="Times New Roman"/>
          <w:color w:val="auto"/>
          <w:sz w:val="32"/>
          <w:szCs w:val="32"/>
          <w:highlight w:val="none"/>
          <w:shd w:val="clear" w:color="auto" w:fill="FFFFFF"/>
        </w:rPr>
        <w:t>023年度一般公共预算财政拨款收入</w:t>
      </w:r>
      <w:r>
        <w:rPr>
          <w:rFonts w:hint="default" w:ascii="Times New Roman" w:hAnsi="Times New Roman" w:eastAsia="方正仿宋_GBK" w:cs="Times New Roman"/>
          <w:color w:val="auto"/>
          <w:sz w:val="32"/>
          <w:szCs w:val="32"/>
          <w:highlight w:val="none"/>
          <w:shd w:val="clear" w:color="auto" w:fill="FFFFFF"/>
          <w:lang w:eastAsia="zh-CN"/>
        </w:rPr>
        <w:t>减少</w:t>
      </w:r>
      <w:r>
        <w:rPr>
          <w:rFonts w:hint="default" w:ascii="Times New Roman" w:hAnsi="Times New Roman" w:eastAsia="方正仿宋_GBK" w:cs="Times New Roman"/>
          <w:color w:val="auto"/>
          <w:sz w:val="32"/>
          <w:szCs w:val="32"/>
          <w:highlight w:val="none"/>
          <w:shd w:val="clear" w:color="auto" w:fill="FFFFFF"/>
        </w:rPr>
        <w:t>。较年初预算数增加726.52万元，增长51.87%。主要原因是2023年乡村治理积分制推广项目（2023年齐河帮扶）</w:t>
      </w:r>
      <w:r>
        <w:rPr>
          <w:rFonts w:hint="default" w:ascii="Times New Roman" w:hAnsi="Times New Roman" w:eastAsia="方正仿宋_GBK" w:cs="Times New Roman"/>
          <w:color w:val="auto"/>
          <w:sz w:val="32"/>
          <w:szCs w:val="32"/>
          <w:highlight w:val="none"/>
          <w:shd w:val="clear" w:color="auto" w:fill="FFFFFF"/>
          <w:lang w:eastAsia="zh-CN"/>
        </w:rPr>
        <w:t>、石耶镇2023年余庆村人居环境整治项目（2023年第三批农行广东分行捐赠）、秀山县2023年油茶生产建设（一）-渝财农〔2022〕128号&amp;129号、石耶镇2023年西大居委会白沙井至岩坪高标油茶基地产业路建设项目（一）-渝财农〔2022〕142号、秀山县石耶镇西大居委会山坪塘维修工程-渝财农〔2022〕147号等项目年中纳入预算导致</w:t>
      </w:r>
      <w:r>
        <w:rPr>
          <w:rFonts w:hint="default" w:ascii="Times New Roman" w:hAnsi="Times New Roman" w:eastAsia="方正仿宋_GBK" w:cs="Times New Roman"/>
          <w:color w:val="auto"/>
          <w:sz w:val="32"/>
          <w:szCs w:val="32"/>
          <w:highlight w:val="none"/>
          <w:shd w:val="clear" w:color="auto" w:fill="FFFFFF"/>
        </w:rPr>
        <w:t>一般公共预算财政拨款收入</w:t>
      </w:r>
      <w:r>
        <w:rPr>
          <w:rFonts w:hint="default" w:ascii="Times New Roman" w:hAnsi="Times New Roman" w:eastAsia="方正仿宋_GBK" w:cs="Times New Roman"/>
          <w:color w:val="auto"/>
          <w:sz w:val="32"/>
          <w:szCs w:val="32"/>
          <w:highlight w:val="none"/>
          <w:shd w:val="clear" w:color="auto" w:fill="FFFFFF"/>
          <w:lang w:eastAsia="zh-CN"/>
        </w:rPr>
        <w:t>决算增加</w:t>
      </w:r>
      <w:r>
        <w:rPr>
          <w:rFonts w:hint="default" w:ascii="Times New Roman" w:hAnsi="Times New Roman" w:eastAsia="方正仿宋_GBK" w:cs="Times New Roman"/>
          <w:color w:val="auto"/>
          <w:sz w:val="32"/>
          <w:szCs w:val="32"/>
          <w:highlight w:val="none"/>
          <w:shd w:val="clear" w:color="auto" w:fill="FFFFFF"/>
        </w:rPr>
        <w:t>。此外，年初财政拨款结转和结余</w:t>
      </w:r>
      <w:r>
        <w:rPr>
          <w:rFonts w:hint="default" w:ascii="Times New Roman" w:hAnsi="Times New Roman" w:eastAsia="方正仿宋_GBK" w:cs="Times New Roman"/>
          <w:color w:val="auto"/>
          <w:sz w:val="32"/>
          <w:szCs w:val="32"/>
          <w:highlight w:val="none"/>
        </w:rPr>
        <w:t>6.91</w:t>
      </w:r>
      <w:r>
        <w:rPr>
          <w:rFonts w:hint="default" w:ascii="Times New Roman" w:hAnsi="Times New Roman" w:eastAsia="方正仿宋_GBK" w:cs="Times New Roman"/>
          <w:color w:val="auto"/>
          <w:sz w:val="32"/>
          <w:szCs w:val="32"/>
          <w:highlight w:val="none"/>
          <w:shd w:val="clear" w:color="auto" w:fill="FFFFFF"/>
        </w:rPr>
        <w:t>万元。</w:t>
      </w:r>
    </w:p>
    <w:p>
      <w:pPr>
        <w:pStyle w:val="9"/>
        <w:keepNext w:val="0"/>
        <w:keepLines w:val="0"/>
        <w:pageBreakBefore w:val="0"/>
        <w:widowControl/>
        <w:kinsoku/>
        <w:overflowPunct/>
        <w:topLinePunct w:val="0"/>
        <w:autoSpaceDN/>
        <w:bidi w:val="0"/>
        <w:adjustRightInd/>
        <w:snapToGrid w:val="0"/>
        <w:spacing w:before="0" w:beforeAutospacing="0" w:after="0" w:afterAutospacing="0" w:line="560" w:lineRule="exact"/>
        <w:ind w:right="0" w:rightChars="0" w:firstLine="643" w:firstLineChars="200"/>
        <w:jc w:val="both"/>
        <w:outlineLvl w:val="9"/>
        <w:rPr>
          <w:rFonts w:hint="default" w:ascii="Times New Roman" w:hAnsi="Times New Roman" w:eastAsia="方正仿宋_GBK" w:cs="Times New Roman"/>
          <w:color w:val="auto"/>
          <w:sz w:val="32"/>
          <w:szCs w:val="32"/>
          <w:highlight w:val="none"/>
        </w:rPr>
      </w:pPr>
      <w:r>
        <w:rPr>
          <w:rStyle w:val="11"/>
          <w:rFonts w:hint="default" w:ascii="Times New Roman" w:hAnsi="Times New Roman" w:eastAsia="方正仿宋_GBK" w:cs="Times New Roman"/>
          <w:color w:val="auto"/>
          <w:sz w:val="32"/>
          <w:szCs w:val="32"/>
          <w:highlight w:val="none"/>
          <w:shd w:val="clear" w:color="auto" w:fill="FFFFFF"/>
        </w:rPr>
        <w:t>2.支出情况。</w:t>
      </w:r>
      <w:r>
        <w:rPr>
          <w:rFonts w:hint="default" w:ascii="Times New Roman" w:hAnsi="Times New Roman" w:eastAsia="方正仿宋_GBK" w:cs="Times New Roman"/>
          <w:color w:val="auto"/>
          <w:sz w:val="32"/>
          <w:szCs w:val="32"/>
          <w:highlight w:val="none"/>
          <w:shd w:val="clear" w:color="auto" w:fill="FFFFFF"/>
        </w:rPr>
        <w:t>2023年度一般公共预算财政拨款支出</w:t>
      </w:r>
      <w:r>
        <w:rPr>
          <w:rFonts w:hint="default" w:ascii="Times New Roman" w:hAnsi="Times New Roman" w:eastAsia="方正仿宋_GBK" w:cs="Times New Roman"/>
          <w:color w:val="auto"/>
          <w:sz w:val="32"/>
          <w:szCs w:val="32"/>
          <w:highlight w:val="none"/>
        </w:rPr>
        <w:t>2084.54</w:t>
      </w:r>
      <w:r>
        <w:rPr>
          <w:rFonts w:hint="default" w:ascii="Times New Roman" w:hAnsi="Times New Roman" w:eastAsia="方正仿宋_GBK" w:cs="Times New Roman"/>
          <w:color w:val="auto"/>
          <w:sz w:val="32"/>
          <w:szCs w:val="32"/>
          <w:highlight w:val="none"/>
          <w:shd w:val="clear" w:color="auto" w:fill="FFFFFF"/>
        </w:rPr>
        <w:t>万元，较上年决算数减少439.29万元，下降17.41%。主要原因是较年初预算数增加349万元，增长20.11%。主要原因是一般公共预算财政拨款</w:t>
      </w:r>
      <w:r>
        <w:rPr>
          <w:rFonts w:hint="eastAsia" w:ascii="Times New Roman" w:hAnsi="Times New Roman" w:eastAsia="方正仿宋_GBK" w:cs="Times New Roman"/>
          <w:color w:val="auto"/>
          <w:sz w:val="32"/>
          <w:szCs w:val="32"/>
          <w:highlight w:val="none"/>
          <w:shd w:val="clear" w:color="auto" w:fill="FFFFFF"/>
          <w:lang w:eastAsia="zh-CN"/>
        </w:rPr>
        <w:t>收入减少</w:t>
      </w:r>
      <w:r>
        <w:rPr>
          <w:rFonts w:hint="default" w:ascii="Times New Roman" w:hAnsi="Times New Roman" w:eastAsia="方正仿宋_GBK" w:cs="Times New Roman"/>
          <w:color w:val="auto"/>
          <w:sz w:val="32"/>
          <w:szCs w:val="32"/>
          <w:highlight w:val="none"/>
          <w:shd w:val="clear" w:color="auto" w:fill="FFFFFF"/>
        </w:rPr>
        <w:t>。</w:t>
      </w:r>
    </w:p>
    <w:p>
      <w:pPr>
        <w:pStyle w:val="9"/>
        <w:keepNext w:val="0"/>
        <w:keepLines w:val="0"/>
        <w:pageBreakBefore w:val="0"/>
        <w:widowControl/>
        <w:kinsoku/>
        <w:overflowPunct/>
        <w:topLinePunct w:val="0"/>
        <w:autoSpaceDN/>
        <w:bidi w:val="0"/>
        <w:adjustRightInd/>
        <w:snapToGrid w:val="0"/>
        <w:spacing w:before="0" w:beforeAutospacing="0" w:after="0" w:afterAutospacing="0" w:line="560" w:lineRule="exact"/>
        <w:ind w:right="0" w:rightChars="0" w:firstLine="643" w:firstLineChars="200"/>
        <w:jc w:val="both"/>
        <w:outlineLvl w:val="9"/>
        <w:rPr>
          <w:rFonts w:hint="default" w:ascii="Times New Roman" w:hAnsi="Times New Roman" w:eastAsia="方正仿宋_GBK" w:cs="Times New Roman"/>
          <w:color w:val="auto"/>
          <w:sz w:val="32"/>
          <w:szCs w:val="32"/>
          <w:highlight w:val="none"/>
        </w:rPr>
      </w:pPr>
      <w:r>
        <w:rPr>
          <w:rStyle w:val="11"/>
          <w:rFonts w:hint="default" w:ascii="Times New Roman" w:hAnsi="Times New Roman" w:eastAsia="方正仿宋_GBK" w:cs="Times New Roman"/>
          <w:color w:val="auto"/>
          <w:sz w:val="32"/>
          <w:szCs w:val="32"/>
          <w:highlight w:val="none"/>
          <w:shd w:val="clear" w:color="auto" w:fill="FFFFFF"/>
        </w:rPr>
        <w:t>3.结转结余情况。</w:t>
      </w:r>
      <w:r>
        <w:rPr>
          <w:rFonts w:hint="default" w:ascii="Times New Roman" w:hAnsi="Times New Roman" w:eastAsia="方正仿宋_GBK" w:cs="Times New Roman"/>
          <w:color w:val="auto"/>
          <w:sz w:val="32"/>
          <w:szCs w:val="32"/>
          <w:highlight w:val="none"/>
          <w:shd w:val="clear" w:color="auto" w:fill="FFFFFF"/>
        </w:rPr>
        <w:t>2023年度年末一般公共预算财政拨款结转和结余</w:t>
      </w:r>
      <w:r>
        <w:rPr>
          <w:rFonts w:hint="default" w:ascii="Times New Roman" w:hAnsi="Times New Roman" w:eastAsia="方正仿宋_GBK" w:cs="Times New Roman"/>
          <w:color w:val="auto"/>
          <w:sz w:val="32"/>
          <w:szCs w:val="32"/>
          <w:highlight w:val="none"/>
        </w:rPr>
        <w:t>49.57</w:t>
      </w:r>
      <w:r>
        <w:rPr>
          <w:rFonts w:hint="default" w:ascii="Times New Roman" w:hAnsi="Times New Roman" w:eastAsia="方正仿宋_GBK" w:cs="Times New Roman"/>
          <w:color w:val="auto"/>
          <w:sz w:val="32"/>
          <w:szCs w:val="32"/>
          <w:highlight w:val="none"/>
          <w:shd w:val="clear" w:color="auto" w:fill="FFFFFF"/>
        </w:rPr>
        <w:t>万元，较上年决算数增加49.57万元，增长</w:t>
      </w:r>
      <w:r>
        <w:rPr>
          <w:rFonts w:hint="eastAsia" w:ascii="Times New Roman" w:hAnsi="Times New Roman" w:eastAsia="方正仿宋_GBK" w:cs="Times New Roman"/>
          <w:color w:val="auto"/>
          <w:sz w:val="32"/>
          <w:szCs w:val="32"/>
          <w:highlight w:val="none"/>
          <w:shd w:val="clear" w:color="auto" w:fill="FFFFFF"/>
          <w:lang w:eastAsia="zh-CN"/>
        </w:rPr>
        <w:t>100.00%</w:t>
      </w:r>
      <w:r>
        <w:rPr>
          <w:rFonts w:hint="default" w:ascii="Times New Roman" w:hAnsi="Times New Roman" w:eastAsia="方正仿宋_GBK" w:cs="Times New Roman"/>
          <w:color w:val="auto"/>
          <w:sz w:val="32"/>
          <w:szCs w:val="32"/>
          <w:highlight w:val="none"/>
          <w:shd w:val="clear" w:color="auto" w:fill="FFFFFF"/>
        </w:rPr>
        <w:t>，主要原因是一般公共服务支出</w:t>
      </w:r>
      <w:r>
        <w:rPr>
          <w:rFonts w:hint="default" w:ascii="Times New Roman" w:hAnsi="Times New Roman" w:eastAsia="方正仿宋_GBK" w:cs="Times New Roman"/>
          <w:color w:val="auto"/>
          <w:sz w:val="32"/>
          <w:szCs w:val="32"/>
          <w:highlight w:val="none"/>
          <w:shd w:val="clear" w:color="auto" w:fill="FFFFFF"/>
          <w:lang w:eastAsia="zh-CN"/>
        </w:rPr>
        <w:t>增加</w:t>
      </w:r>
      <w:r>
        <w:rPr>
          <w:rFonts w:hint="default" w:ascii="Times New Roman" w:hAnsi="Times New Roman" w:eastAsia="方正仿宋_GBK" w:cs="Times New Roman"/>
          <w:color w:val="auto"/>
          <w:sz w:val="32"/>
          <w:szCs w:val="32"/>
          <w:highlight w:val="none"/>
          <w:shd w:val="clear" w:color="auto" w:fill="FFFFFF"/>
          <w:lang w:val="en-US" w:eastAsia="zh-CN"/>
        </w:rPr>
        <w:t>35.3</w:t>
      </w:r>
      <w:r>
        <w:rPr>
          <w:rFonts w:hint="eastAsia" w:ascii="Times New Roman" w:hAnsi="Times New Roman" w:eastAsia="方正仿宋_GBK" w:cs="Times New Roman"/>
          <w:color w:val="auto"/>
          <w:sz w:val="32"/>
          <w:szCs w:val="32"/>
          <w:highlight w:val="none"/>
          <w:shd w:val="clear" w:color="auto" w:fill="FFFFFF"/>
          <w:lang w:val="en-US" w:eastAsia="zh-CN"/>
        </w:rPr>
        <w:t>0</w:t>
      </w:r>
      <w:r>
        <w:rPr>
          <w:rFonts w:hint="default" w:ascii="Times New Roman" w:hAnsi="Times New Roman" w:eastAsia="方正仿宋_GBK" w:cs="Times New Roman"/>
          <w:color w:val="auto"/>
          <w:sz w:val="32"/>
          <w:szCs w:val="32"/>
          <w:highlight w:val="none"/>
          <w:shd w:val="clear" w:color="auto" w:fill="FFFFFF"/>
          <w:lang w:val="en-US" w:eastAsia="zh-CN"/>
        </w:rPr>
        <w:t>万元、文化旅游体育与传媒支出增加6.88万元、社会保障和就业支出增加1.48万元、卫生健康支出增加21.06万元、节能环保支出增加8.54万元、城乡社区支出减少0.45万元、农林水支出增加208.9</w:t>
      </w:r>
      <w:r>
        <w:rPr>
          <w:rFonts w:hint="eastAsia" w:ascii="Times New Roman" w:hAnsi="Times New Roman" w:eastAsia="方正仿宋_GBK" w:cs="Times New Roman"/>
          <w:color w:val="auto"/>
          <w:sz w:val="32"/>
          <w:szCs w:val="32"/>
          <w:highlight w:val="none"/>
          <w:shd w:val="clear" w:color="auto" w:fill="FFFFFF"/>
          <w:lang w:val="en-US" w:eastAsia="zh-CN"/>
        </w:rPr>
        <w:t>0</w:t>
      </w:r>
      <w:r>
        <w:rPr>
          <w:rFonts w:hint="default" w:ascii="Times New Roman" w:hAnsi="Times New Roman" w:eastAsia="方正仿宋_GBK" w:cs="Times New Roman"/>
          <w:color w:val="auto"/>
          <w:sz w:val="32"/>
          <w:szCs w:val="32"/>
          <w:highlight w:val="none"/>
          <w:shd w:val="clear" w:color="auto" w:fill="FFFFFF"/>
          <w:lang w:val="en-US" w:eastAsia="zh-CN"/>
        </w:rPr>
        <w:t>万元、交通运输支出增加5.4</w:t>
      </w:r>
      <w:r>
        <w:rPr>
          <w:rFonts w:hint="eastAsia" w:ascii="Times New Roman" w:hAnsi="Times New Roman" w:eastAsia="方正仿宋_GBK" w:cs="Times New Roman"/>
          <w:color w:val="auto"/>
          <w:sz w:val="32"/>
          <w:szCs w:val="32"/>
          <w:highlight w:val="none"/>
          <w:shd w:val="clear" w:color="auto" w:fill="FFFFFF"/>
          <w:lang w:val="en-US" w:eastAsia="zh-CN"/>
        </w:rPr>
        <w:t>0</w:t>
      </w:r>
      <w:r>
        <w:rPr>
          <w:rFonts w:hint="default" w:ascii="Times New Roman" w:hAnsi="Times New Roman" w:eastAsia="方正仿宋_GBK" w:cs="Times New Roman"/>
          <w:color w:val="auto"/>
          <w:sz w:val="32"/>
          <w:szCs w:val="32"/>
          <w:highlight w:val="none"/>
          <w:shd w:val="clear" w:color="auto" w:fill="FFFFFF"/>
          <w:lang w:val="en-US" w:eastAsia="zh-CN"/>
        </w:rPr>
        <w:t>万元等</w:t>
      </w:r>
      <w:r>
        <w:rPr>
          <w:rFonts w:hint="default" w:ascii="Times New Roman" w:hAnsi="Times New Roman" w:eastAsia="方正仿宋_GBK" w:cs="Times New Roman"/>
          <w:color w:val="auto"/>
          <w:sz w:val="32"/>
          <w:szCs w:val="32"/>
          <w:highlight w:val="none"/>
          <w:shd w:val="clear" w:color="auto" w:fill="FFFFFF"/>
        </w:rPr>
        <w:t>。</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方正仿宋_GBK" w:cs="Times New Roman"/>
          <w:color w:val="auto"/>
          <w:sz w:val="32"/>
          <w:szCs w:val="32"/>
          <w:highlight w:val="none"/>
          <w:shd w:val="clear" w:color="auto" w:fill="FFFFFF"/>
        </w:rPr>
      </w:pPr>
      <w:r>
        <w:rPr>
          <w:rStyle w:val="11"/>
          <w:rFonts w:hint="default" w:ascii="Times New Roman" w:hAnsi="Times New Roman" w:eastAsia="方正仿宋_GBK" w:cs="Times New Roman"/>
          <w:color w:val="auto"/>
          <w:sz w:val="32"/>
          <w:szCs w:val="32"/>
          <w:highlight w:val="none"/>
          <w:shd w:val="clear" w:color="auto" w:fill="FFFFFF"/>
        </w:rPr>
        <w:t>4.比较情况。</w:t>
      </w:r>
      <w:r>
        <w:rPr>
          <w:rFonts w:hint="default" w:ascii="Times New Roman" w:hAnsi="Times New Roman" w:eastAsia="方正仿宋_GBK" w:cs="Times New Roman"/>
          <w:color w:val="auto"/>
          <w:sz w:val="32"/>
          <w:szCs w:val="32"/>
          <w:highlight w:val="none"/>
          <w:shd w:val="clear" w:color="auto" w:fill="FFFFFF"/>
        </w:rPr>
        <w:t>本部门2023年度一般公共预算财政拨款支出主要用于以下几个方面：</w:t>
      </w:r>
    </w:p>
    <w:p>
      <w:pPr>
        <w:pStyle w:val="9"/>
        <w:keepNext w:val="0"/>
        <w:keepLines w:val="0"/>
        <w:pageBreakBefore w:val="0"/>
        <w:widowControl/>
        <w:kinsoku/>
        <w:overflowPunct/>
        <w:topLinePunct w:val="0"/>
        <w:autoSpaceDN/>
        <w:bidi w:val="0"/>
        <w:adjustRightInd/>
        <w:snapToGrid w:val="0"/>
        <w:spacing w:before="0" w:beforeAutospacing="0" w:after="0" w:afterAutospacing="0" w:line="560" w:lineRule="exact"/>
        <w:ind w:right="0" w:rightChars="0" w:firstLine="640" w:firstLineChars="200"/>
        <w:jc w:val="both"/>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（1）一般公共服务支出</w:t>
      </w:r>
      <w:r>
        <w:rPr>
          <w:rFonts w:hint="default" w:ascii="Times New Roman" w:hAnsi="Times New Roman" w:eastAsia="方正仿宋_GBK" w:cs="Times New Roman"/>
          <w:color w:val="auto"/>
          <w:sz w:val="32"/>
          <w:szCs w:val="32"/>
          <w:highlight w:val="none"/>
        </w:rPr>
        <w:t>587.55</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28.19</w:t>
      </w:r>
      <w:r>
        <w:rPr>
          <w:rFonts w:hint="default" w:ascii="Times New Roman" w:hAnsi="Times New Roman" w:eastAsia="方正仿宋_GBK" w:cs="Times New Roman"/>
          <w:color w:val="auto"/>
          <w:sz w:val="32"/>
          <w:szCs w:val="32"/>
          <w:highlight w:val="none"/>
          <w:shd w:val="clear" w:color="auto" w:fill="FFFFFF"/>
        </w:rPr>
        <w:t>%，较年初预算数增加35.30万元，增长6.39%，主要原因是</w:t>
      </w:r>
      <w:r>
        <w:rPr>
          <w:rFonts w:hint="default" w:ascii="Times New Roman" w:hAnsi="Times New Roman" w:eastAsia="方正仿宋_GBK" w:cs="Times New Roman"/>
          <w:kern w:val="0"/>
          <w:sz w:val="32"/>
          <w:szCs w:val="32"/>
          <w:highlight w:val="none"/>
          <w:shd w:val="clear" w:color="auto" w:fill="FFFFFF"/>
        </w:rPr>
        <w:t>人员增加，年中追加预算等</w:t>
      </w:r>
      <w:r>
        <w:rPr>
          <w:rFonts w:hint="default" w:ascii="Times New Roman" w:hAnsi="Times New Roman" w:eastAsia="方正仿宋_GBK" w:cs="Times New Roman"/>
          <w:color w:val="auto"/>
          <w:sz w:val="32"/>
          <w:szCs w:val="32"/>
          <w:highlight w:val="none"/>
          <w:shd w:val="clear" w:color="auto" w:fill="FFFFFF"/>
        </w:rPr>
        <w:t>。</w:t>
      </w:r>
    </w:p>
    <w:p>
      <w:pPr>
        <w:pStyle w:val="9"/>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lang w:val="en-US" w:eastAsia="zh-CN"/>
        </w:rPr>
        <w:t>2</w:t>
      </w:r>
      <w:r>
        <w:rPr>
          <w:rFonts w:hint="default" w:ascii="Times New Roman" w:hAnsi="Times New Roman" w:eastAsia="方正仿宋_GBK" w:cs="Times New Roman"/>
          <w:color w:val="auto"/>
          <w:sz w:val="32"/>
          <w:szCs w:val="32"/>
          <w:highlight w:val="none"/>
          <w:shd w:val="clear" w:color="auto" w:fill="FFFFFF"/>
        </w:rPr>
        <w:t>）国防支出</w:t>
      </w:r>
      <w:r>
        <w:rPr>
          <w:rFonts w:hint="default" w:ascii="Times New Roman" w:hAnsi="Times New Roman" w:eastAsia="方正仿宋_GBK" w:cs="Times New Roman"/>
          <w:color w:val="auto"/>
          <w:sz w:val="32"/>
          <w:szCs w:val="32"/>
          <w:highlight w:val="none"/>
        </w:rPr>
        <w:t>3</w:t>
      </w:r>
      <w:r>
        <w:rPr>
          <w:rFonts w:hint="eastAsia" w:ascii="Times New Roman" w:hAnsi="Times New Roman" w:eastAsia="方正仿宋_GBK" w:cs="Times New Roman"/>
          <w:color w:val="auto"/>
          <w:sz w:val="32"/>
          <w:szCs w:val="32"/>
          <w:highlight w:val="none"/>
          <w:lang w:val="en-US" w:eastAsia="zh-CN"/>
        </w:rPr>
        <w:t>.00</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0.14</w:t>
      </w:r>
      <w:r>
        <w:rPr>
          <w:rFonts w:hint="default" w:ascii="Times New Roman" w:hAnsi="Times New Roman" w:eastAsia="方正仿宋_GBK" w:cs="Times New Roman"/>
          <w:color w:val="auto"/>
          <w:sz w:val="32"/>
          <w:szCs w:val="32"/>
          <w:highlight w:val="none"/>
          <w:shd w:val="clear" w:color="auto" w:fill="FFFFFF"/>
        </w:rPr>
        <w:t>%，较年初预算数增加3</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万元，增长100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%，主要原因是</w:t>
      </w:r>
      <w:r>
        <w:rPr>
          <w:rFonts w:hint="default" w:ascii="Times New Roman" w:hAnsi="Times New Roman" w:eastAsia="方正仿宋_GBK" w:cs="Times New Roman"/>
          <w:color w:val="auto"/>
          <w:sz w:val="32"/>
          <w:szCs w:val="32"/>
          <w:highlight w:val="none"/>
          <w:shd w:val="clear" w:color="auto" w:fill="FFFFFF"/>
          <w:lang w:eastAsia="zh-CN"/>
        </w:rPr>
        <w:t>年中预算调剂，导致公用经费减少，国防支出增加</w:t>
      </w:r>
      <w:r>
        <w:rPr>
          <w:rFonts w:hint="default" w:ascii="Times New Roman" w:hAnsi="Times New Roman" w:eastAsia="方正仿宋_GBK" w:cs="Times New Roman"/>
          <w:color w:val="auto"/>
          <w:sz w:val="32"/>
          <w:szCs w:val="32"/>
          <w:highlight w:val="none"/>
          <w:shd w:val="clear" w:color="auto" w:fill="FFFFFF"/>
          <w:lang w:val="en-US" w:eastAsia="zh-CN"/>
        </w:rPr>
        <w:t>3万元</w:t>
      </w:r>
      <w:r>
        <w:rPr>
          <w:rFonts w:hint="default" w:ascii="Times New Roman" w:hAnsi="Times New Roman" w:eastAsia="方正仿宋_GBK" w:cs="Times New Roman"/>
          <w:color w:val="auto"/>
          <w:sz w:val="32"/>
          <w:szCs w:val="32"/>
          <w:highlight w:val="none"/>
          <w:shd w:val="clear" w:color="auto" w:fill="FFFFFF"/>
        </w:rPr>
        <w:t>。</w:t>
      </w:r>
    </w:p>
    <w:p>
      <w:pPr>
        <w:pStyle w:val="9"/>
        <w:keepNext w:val="0"/>
        <w:keepLines w:val="0"/>
        <w:pageBreakBefore w:val="0"/>
        <w:widowControl/>
        <w:kinsoku/>
        <w:overflowPunct/>
        <w:topLinePunct w:val="0"/>
        <w:autoSpaceDN/>
        <w:bidi w:val="0"/>
        <w:adjustRightInd/>
        <w:snapToGrid w:val="0"/>
        <w:spacing w:before="0" w:beforeAutospacing="0" w:after="0" w:afterAutospacing="0" w:line="560" w:lineRule="exact"/>
        <w:ind w:right="0" w:rightChars="0" w:firstLine="640" w:firstLineChars="200"/>
        <w:jc w:val="both"/>
        <w:outlineLvl w:val="9"/>
        <w:rPr>
          <w:rFonts w:hint="default" w:ascii="Times New Roman" w:hAnsi="Times New Roman" w:eastAsia="方正仿宋_GBK" w:cs="Times New Roman"/>
          <w:color w:val="auto"/>
          <w:sz w:val="32"/>
          <w:szCs w:val="32"/>
          <w:highlight w:val="none"/>
          <w:shd w:val="clear" w:color="auto" w:fill="FFFFFF"/>
          <w:lang w:eastAsia="zh-CN"/>
        </w:rPr>
      </w:pP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lang w:val="en-US" w:eastAsia="zh-CN"/>
        </w:rPr>
        <w:t>3</w:t>
      </w:r>
      <w:r>
        <w:rPr>
          <w:rFonts w:hint="default" w:ascii="Times New Roman" w:hAnsi="Times New Roman" w:eastAsia="方正仿宋_GBK" w:cs="Times New Roman"/>
          <w:color w:val="auto"/>
          <w:sz w:val="32"/>
          <w:szCs w:val="32"/>
          <w:highlight w:val="none"/>
          <w:shd w:val="clear" w:color="auto" w:fill="FFFFFF"/>
        </w:rPr>
        <w:t>）公共安全支出</w:t>
      </w:r>
      <w:r>
        <w:rPr>
          <w:rFonts w:hint="default" w:ascii="Times New Roman" w:hAnsi="Times New Roman" w:eastAsia="方正仿宋_GBK" w:cs="Times New Roman"/>
          <w:color w:val="auto"/>
          <w:sz w:val="32"/>
          <w:szCs w:val="32"/>
          <w:highlight w:val="none"/>
        </w:rPr>
        <w:t>12.96</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0.62</w:t>
      </w:r>
      <w:r>
        <w:rPr>
          <w:rFonts w:hint="default" w:ascii="Times New Roman" w:hAnsi="Times New Roman" w:eastAsia="方正仿宋_GBK" w:cs="Times New Roman"/>
          <w:color w:val="auto"/>
          <w:sz w:val="32"/>
          <w:szCs w:val="32"/>
          <w:highlight w:val="none"/>
          <w:shd w:val="clear" w:color="auto" w:fill="FFFFFF"/>
        </w:rPr>
        <w:t>%，较年初预算数增加12.96万元，增长100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%，主要原因是</w:t>
      </w:r>
      <w:r>
        <w:rPr>
          <w:rFonts w:hint="default" w:ascii="Times New Roman" w:hAnsi="Times New Roman" w:eastAsia="方正仿宋_GBK" w:cs="Times New Roman"/>
          <w:color w:val="auto"/>
          <w:sz w:val="32"/>
          <w:szCs w:val="32"/>
          <w:highlight w:val="none"/>
          <w:shd w:val="clear" w:color="auto" w:fill="FFFFFF"/>
          <w:lang w:eastAsia="zh-CN"/>
        </w:rPr>
        <w:t>第四季度平安建设经费、2023年劝导站人员工作经费、群防群治、网格化服务管理工作考核奖补经费及创新工作经费等项目年中纳入预算，导致公共安全实际支出增加</w:t>
      </w:r>
      <w:r>
        <w:rPr>
          <w:rFonts w:hint="default" w:ascii="Times New Roman" w:hAnsi="Times New Roman" w:eastAsia="方正仿宋_GBK" w:cs="Times New Roman"/>
          <w:color w:val="auto"/>
          <w:sz w:val="32"/>
          <w:szCs w:val="32"/>
          <w:highlight w:val="none"/>
          <w:shd w:val="clear" w:color="auto" w:fill="FFFFFF"/>
          <w:lang w:val="en-US" w:eastAsia="zh-CN"/>
        </w:rPr>
        <w:t>12.96万元。</w:t>
      </w:r>
    </w:p>
    <w:p>
      <w:pPr>
        <w:pStyle w:val="9"/>
        <w:keepNext w:val="0"/>
        <w:keepLines w:val="0"/>
        <w:pageBreakBefore w:val="0"/>
        <w:widowControl/>
        <w:kinsoku/>
        <w:overflowPunct/>
        <w:topLinePunct w:val="0"/>
        <w:autoSpaceDN/>
        <w:bidi w:val="0"/>
        <w:adjustRightInd/>
        <w:snapToGrid w:val="0"/>
        <w:spacing w:before="0" w:beforeAutospacing="0" w:after="0" w:afterAutospacing="0" w:line="560" w:lineRule="exact"/>
        <w:ind w:right="0" w:rightChars="0" w:firstLine="640" w:firstLineChars="200"/>
        <w:jc w:val="both"/>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lang w:val="en-US" w:eastAsia="zh-CN"/>
        </w:rPr>
        <w:t>4</w:t>
      </w:r>
      <w:r>
        <w:rPr>
          <w:rFonts w:hint="default" w:ascii="Times New Roman" w:hAnsi="Times New Roman" w:eastAsia="方正仿宋_GBK" w:cs="Times New Roman"/>
          <w:color w:val="auto"/>
          <w:sz w:val="32"/>
          <w:szCs w:val="32"/>
          <w:highlight w:val="none"/>
          <w:shd w:val="clear" w:color="auto" w:fill="FFFFFF"/>
        </w:rPr>
        <w:t>）教育支出</w:t>
      </w:r>
      <w:r>
        <w:rPr>
          <w:rFonts w:hint="default" w:ascii="Times New Roman" w:hAnsi="Times New Roman" w:eastAsia="方正仿宋_GBK" w:cs="Times New Roman"/>
          <w:color w:val="auto"/>
          <w:sz w:val="32"/>
          <w:szCs w:val="32"/>
          <w:highlight w:val="none"/>
        </w:rPr>
        <w:t>9</w:t>
      </w:r>
      <w:r>
        <w:rPr>
          <w:rFonts w:hint="eastAsia" w:ascii="Times New Roman" w:hAnsi="Times New Roman" w:eastAsia="方正仿宋_GBK" w:cs="Times New Roman"/>
          <w:color w:val="auto"/>
          <w:sz w:val="32"/>
          <w:szCs w:val="32"/>
          <w:highlight w:val="none"/>
          <w:lang w:val="en-US" w:eastAsia="zh-CN"/>
        </w:rPr>
        <w:t>.00</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0.43</w:t>
      </w:r>
      <w:r>
        <w:rPr>
          <w:rFonts w:hint="default" w:ascii="Times New Roman" w:hAnsi="Times New Roman" w:eastAsia="方正仿宋_GBK" w:cs="Times New Roman"/>
          <w:color w:val="auto"/>
          <w:sz w:val="32"/>
          <w:szCs w:val="32"/>
          <w:highlight w:val="none"/>
          <w:shd w:val="clear" w:color="auto" w:fill="FFFFFF"/>
        </w:rPr>
        <w:t>%，较年初预算数无增减，主要原因</w:t>
      </w:r>
      <w:r>
        <w:rPr>
          <w:rFonts w:hint="default" w:ascii="Times New Roman" w:hAnsi="Times New Roman" w:eastAsia="方正仿宋_GBK" w:cs="Times New Roman"/>
          <w:color w:val="auto"/>
          <w:sz w:val="32"/>
          <w:szCs w:val="32"/>
          <w:highlight w:val="none"/>
          <w:shd w:val="clear" w:color="auto" w:fill="FFFFFF"/>
          <w:lang w:eastAsia="zh-CN"/>
        </w:rPr>
        <w:t>本年度教育实际支出和预算数持平。</w:t>
      </w:r>
    </w:p>
    <w:p>
      <w:pPr>
        <w:pStyle w:val="9"/>
        <w:keepNext w:val="0"/>
        <w:keepLines w:val="0"/>
        <w:pageBreakBefore w:val="0"/>
        <w:widowControl/>
        <w:kinsoku/>
        <w:overflowPunct/>
        <w:topLinePunct w:val="0"/>
        <w:autoSpaceDN/>
        <w:bidi w:val="0"/>
        <w:adjustRightInd/>
        <w:snapToGrid w:val="0"/>
        <w:spacing w:before="0" w:beforeAutospacing="0" w:after="0" w:afterAutospacing="0" w:line="560" w:lineRule="exact"/>
        <w:ind w:right="0" w:rightChars="0" w:firstLine="640" w:firstLineChars="200"/>
        <w:jc w:val="both"/>
        <w:outlineLvl w:val="9"/>
        <w:rPr>
          <w:rFonts w:hint="default" w:ascii="Times New Roman" w:hAnsi="Times New Roman" w:eastAsia="方正仿宋_GBK" w:cs="Times New Roman"/>
          <w:color w:val="auto"/>
          <w:sz w:val="32"/>
          <w:szCs w:val="32"/>
          <w:highlight w:val="none"/>
          <w:shd w:val="clear" w:color="auto" w:fill="FFFFFF"/>
          <w:lang w:eastAsia="zh-CN"/>
        </w:rPr>
      </w:pP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lang w:val="en-US" w:eastAsia="zh-CN"/>
        </w:rPr>
        <w:t>5</w:t>
      </w:r>
      <w:r>
        <w:rPr>
          <w:rFonts w:hint="default" w:ascii="Times New Roman" w:hAnsi="Times New Roman" w:eastAsia="方正仿宋_GBK" w:cs="Times New Roman"/>
          <w:color w:val="auto"/>
          <w:sz w:val="32"/>
          <w:szCs w:val="32"/>
          <w:highlight w:val="none"/>
          <w:shd w:val="clear" w:color="auto" w:fill="FFFFFF"/>
        </w:rPr>
        <w:t>）文化旅游体育与传媒支出</w:t>
      </w:r>
      <w:r>
        <w:rPr>
          <w:rFonts w:hint="default" w:ascii="Times New Roman" w:hAnsi="Times New Roman" w:eastAsia="方正仿宋_GBK" w:cs="Times New Roman"/>
          <w:color w:val="auto"/>
          <w:sz w:val="32"/>
          <w:szCs w:val="32"/>
          <w:highlight w:val="none"/>
        </w:rPr>
        <w:t>66.17</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3.17</w:t>
      </w:r>
      <w:r>
        <w:rPr>
          <w:rFonts w:hint="default" w:ascii="Times New Roman" w:hAnsi="Times New Roman" w:eastAsia="方正仿宋_GBK" w:cs="Times New Roman"/>
          <w:color w:val="auto"/>
          <w:sz w:val="32"/>
          <w:szCs w:val="32"/>
          <w:highlight w:val="none"/>
          <w:shd w:val="clear" w:color="auto" w:fill="FFFFFF"/>
        </w:rPr>
        <w:t>%，较年初预算数增加6.88万元，增长11.60%，主要原因是</w:t>
      </w:r>
      <w:r>
        <w:rPr>
          <w:rFonts w:hint="default" w:ascii="Times New Roman" w:hAnsi="Times New Roman" w:eastAsia="方正仿宋_GBK" w:cs="Times New Roman"/>
          <w:color w:val="auto"/>
          <w:sz w:val="32"/>
          <w:szCs w:val="32"/>
          <w:highlight w:val="none"/>
          <w:shd w:val="clear" w:color="auto" w:fill="FFFFFF"/>
          <w:lang w:eastAsia="zh-CN"/>
        </w:rPr>
        <w:t>石耶西大五人制足球场建设</w:t>
      </w:r>
      <w:r>
        <w:rPr>
          <w:rFonts w:hint="eastAsia" w:ascii="Times New Roman" w:hAnsi="Times New Roman" w:eastAsia="方正仿宋_GBK" w:cs="Times New Roman"/>
          <w:color w:val="auto"/>
          <w:sz w:val="32"/>
          <w:szCs w:val="32"/>
          <w:highlight w:val="none"/>
          <w:shd w:val="clear" w:color="auto" w:fill="FFFFFF"/>
          <w:lang w:eastAsia="zh-CN"/>
        </w:rPr>
        <w:t>项目等</w:t>
      </w:r>
      <w:r>
        <w:rPr>
          <w:rFonts w:hint="default" w:ascii="Times New Roman" w:hAnsi="Times New Roman" w:eastAsia="方正仿宋_GBK" w:cs="Times New Roman"/>
          <w:color w:val="auto"/>
          <w:sz w:val="32"/>
          <w:szCs w:val="32"/>
          <w:highlight w:val="none"/>
          <w:shd w:val="clear" w:color="auto" w:fill="FFFFFF"/>
          <w:lang w:eastAsia="zh-CN"/>
        </w:rPr>
        <w:t>年中纳入预算</w:t>
      </w:r>
      <w:r>
        <w:rPr>
          <w:rFonts w:hint="eastAsia" w:ascii="Times New Roman" w:hAnsi="Times New Roman" w:eastAsia="方正仿宋_GBK" w:cs="Times New Roman"/>
          <w:color w:val="auto"/>
          <w:sz w:val="32"/>
          <w:szCs w:val="32"/>
          <w:highlight w:val="none"/>
          <w:shd w:val="clear" w:color="auto" w:fill="FFFFFF"/>
          <w:lang w:eastAsia="zh-CN"/>
        </w:rPr>
        <w:t>导致实际支出较年初预算数增加</w:t>
      </w:r>
      <w:r>
        <w:rPr>
          <w:rFonts w:hint="default" w:ascii="Times New Roman" w:hAnsi="Times New Roman" w:eastAsia="方正仿宋_GBK" w:cs="Times New Roman"/>
          <w:color w:val="auto"/>
          <w:sz w:val="32"/>
          <w:szCs w:val="32"/>
          <w:highlight w:val="none"/>
          <w:shd w:val="clear" w:color="auto" w:fill="FFFFFF"/>
          <w:lang w:eastAsia="zh-CN"/>
        </w:rPr>
        <w:t>。</w:t>
      </w:r>
    </w:p>
    <w:p>
      <w:pPr>
        <w:pStyle w:val="9"/>
        <w:keepNext w:val="0"/>
        <w:keepLines w:val="0"/>
        <w:pageBreakBefore w:val="0"/>
        <w:widowControl/>
        <w:kinsoku/>
        <w:overflowPunct/>
        <w:topLinePunct w:val="0"/>
        <w:autoSpaceDN/>
        <w:bidi w:val="0"/>
        <w:adjustRightInd/>
        <w:snapToGrid w:val="0"/>
        <w:spacing w:before="0" w:beforeAutospacing="0" w:after="0" w:afterAutospacing="0" w:line="560" w:lineRule="exact"/>
        <w:ind w:right="0" w:rightChars="0" w:firstLine="640" w:firstLineChars="200"/>
        <w:jc w:val="both"/>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lang w:val="en-US" w:eastAsia="zh-CN"/>
        </w:rPr>
        <w:t>6</w:t>
      </w:r>
      <w:r>
        <w:rPr>
          <w:rFonts w:hint="default" w:ascii="Times New Roman" w:hAnsi="Times New Roman" w:eastAsia="方正仿宋_GBK" w:cs="Times New Roman"/>
          <w:color w:val="auto"/>
          <w:sz w:val="32"/>
          <w:szCs w:val="32"/>
          <w:highlight w:val="none"/>
          <w:shd w:val="clear" w:color="auto" w:fill="FFFFFF"/>
        </w:rPr>
        <w:t>）社会保障与就业支出</w:t>
      </w:r>
      <w:r>
        <w:rPr>
          <w:rFonts w:hint="default" w:ascii="Times New Roman" w:hAnsi="Times New Roman" w:eastAsia="方正仿宋_GBK" w:cs="Times New Roman"/>
          <w:color w:val="auto"/>
          <w:sz w:val="32"/>
          <w:szCs w:val="32"/>
          <w:highlight w:val="none"/>
        </w:rPr>
        <w:t>282.30</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13.54</w:t>
      </w:r>
      <w:r>
        <w:rPr>
          <w:rFonts w:hint="default" w:ascii="Times New Roman" w:hAnsi="Times New Roman" w:eastAsia="方正仿宋_GBK" w:cs="Times New Roman"/>
          <w:color w:val="auto"/>
          <w:sz w:val="32"/>
          <w:szCs w:val="32"/>
          <w:highlight w:val="none"/>
          <w:shd w:val="clear" w:color="auto" w:fill="FFFFFF"/>
        </w:rPr>
        <w:t>%，较年初预算数增加1.48万元，增长0.53%，主要原因是残疾人数据动态更新工作经费</w:t>
      </w:r>
      <w:r>
        <w:rPr>
          <w:rFonts w:hint="default" w:ascii="Times New Roman" w:hAnsi="Times New Roman" w:eastAsia="方正仿宋_GBK" w:cs="Times New Roman"/>
          <w:color w:val="auto"/>
          <w:sz w:val="32"/>
          <w:szCs w:val="32"/>
          <w:highlight w:val="none"/>
          <w:shd w:val="clear" w:color="auto" w:fill="FFFFFF"/>
          <w:lang w:eastAsia="zh-CN"/>
        </w:rPr>
        <w:t>、村（居）/社区助残联络员工作补贴等项目年中纳入预算，导致实际支出增加</w:t>
      </w:r>
      <w:r>
        <w:rPr>
          <w:rFonts w:hint="default" w:ascii="Times New Roman" w:hAnsi="Times New Roman" w:eastAsia="方正仿宋_GBK" w:cs="Times New Roman"/>
          <w:color w:val="auto"/>
          <w:sz w:val="32"/>
          <w:szCs w:val="32"/>
          <w:highlight w:val="none"/>
          <w:shd w:val="clear" w:color="auto" w:fill="FFFFFF"/>
        </w:rPr>
        <w:t>。</w:t>
      </w:r>
    </w:p>
    <w:p>
      <w:pPr>
        <w:pStyle w:val="9"/>
        <w:keepNext w:val="0"/>
        <w:keepLines w:val="0"/>
        <w:pageBreakBefore w:val="0"/>
        <w:widowControl/>
        <w:kinsoku/>
        <w:overflowPunct/>
        <w:topLinePunct w:val="0"/>
        <w:autoSpaceDN/>
        <w:bidi w:val="0"/>
        <w:adjustRightInd/>
        <w:snapToGrid w:val="0"/>
        <w:spacing w:before="0" w:beforeAutospacing="0" w:after="0" w:afterAutospacing="0" w:line="560" w:lineRule="exact"/>
        <w:ind w:right="0" w:rightChars="0" w:firstLine="640" w:firstLineChars="200"/>
        <w:jc w:val="both"/>
        <w:outlineLvl w:val="9"/>
        <w:rPr>
          <w:rFonts w:hint="default" w:ascii="Times New Roman" w:hAnsi="Times New Roman" w:eastAsia="方正仿宋_GBK" w:cs="Times New Roman"/>
          <w:color w:val="auto"/>
          <w:sz w:val="32"/>
          <w:szCs w:val="32"/>
          <w:highlight w:val="none"/>
          <w:shd w:val="clear" w:color="auto" w:fill="FFFFFF"/>
          <w:lang w:eastAsia="zh-CN"/>
        </w:rPr>
      </w:pP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lang w:val="en-US" w:eastAsia="zh-CN"/>
        </w:rPr>
        <w:t>7</w:t>
      </w:r>
      <w:r>
        <w:rPr>
          <w:rFonts w:hint="default" w:ascii="Times New Roman" w:hAnsi="Times New Roman" w:eastAsia="方正仿宋_GBK" w:cs="Times New Roman"/>
          <w:color w:val="auto"/>
          <w:sz w:val="32"/>
          <w:szCs w:val="32"/>
          <w:highlight w:val="none"/>
          <w:shd w:val="clear" w:color="auto" w:fill="FFFFFF"/>
        </w:rPr>
        <w:t>）卫生健康支出</w:t>
      </w:r>
      <w:r>
        <w:rPr>
          <w:rFonts w:hint="default" w:ascii="Times New Roman" w:hAnsi="Times New Roman" w:eastAsia="方正仿宋_GBK" w:cs="Times New Roman"/>
          <w:color w:val="auto"/>
          <w:sz w:val="32"/>
          <w:szCs w:val="32"/>
          <w:highlight w:val="none"/>
        </w:rPr>
        <w:t>59.37</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2.85</w:t>
      </w:r>
      <w:r>
        <w:rPr>
          <w:rFonts w:hint="default" w:ascii="Times New Roman" w:hAnsi="Times New Roman" w:eastAsia="方正仿宋_GBK" w:cs="Times New Roman"/>
          <w:color w:val="auto"/>
          <w:sz w:val="32"/>
          <w:szCs w:val="32"/>
          <w:highlight w:val="none"/>
          <w:shd w:val="clear" w:color="auto" w:fill="FFFFFF"/>
        </w:rPr>
        <w:t>%，较年初预算数增加21.06万元，增长54.97%，主要原因是严重精神障碍患者监护人奖励</w:t>
      </w:r>
      <w:r>
        <w:rPr>
          <w:rFonts w:hint="default" w:ascii="Times New Roman" w:hAnsi="Times New Roman" w:eastAsia="方正仿宋_GBK" w:cs="Times New Roman"/>
          <w:color w:val="auto"/>
          <w:sz w:val="32"/>
          <w:szCs w:val="32"/>
          <w:highlight w:val="none"/>
          <w:shd w:val="clear" w:color="auto" w:fill="FFFFFF"/>
          <w:lang w:eastAsia="zh-CN"/>
        </w:rPr>
        <w:t>、疫情防控专项经费等年中纳入预算导致</w:t>
      </w:r>
      <w:r>
        <w:rPr>
          <w:rFonts w:hint="default" w:ascii="Times New Roman" w:hAnsi="Times New Roman" w:eastAsia="方正仿宋_GBK" w:cs="Times New Roman"/>
          <w:color w:val="auto"/>
          <w:sz w:val="32"/>
          <w:szCs w:val="32"/>
          <w:highlight w:val="none"/>
          <w:shd w:val="clear" w:color="auto" w:fill="FFFFFF"/>
        </w:rPr>
        <w:t>卫生健康支出较年初预算数增加</w:t>
      </w:r>
      <w:r>
        <w:rPr>
          <w:rFonts w:hint="default" w:ascii="Times New Roman" w:hAnsi="Times New Roman" w:eastAsia="方正仿宋_GBK" w:cs="Times New Roman"/>
          <w:color w:val="auto"/>
          <w:sz w:val="32"/>
          <w:szCs w:val="32"/>
          <w:highlight w:val="none"/>
          <w:shd w:val="clear" w:color="auto" w:fill="FFFFFF"/>
          <w:lang w:eastAsia="zh-CN"/>
        </w:rPr>
        <w:t>。</w:t>
      </w:r>
    </w:p>
    <w:p>
      <w:pPr>
        <w:pStyle w:val="9"/>
        <w:keepNext w:val="0"/>
        <w:keepLines w:val="0"/>
        <w:pageBreakBefore w:val="0"/>
        <w:widowControl/>
        <w:kinsoku/>
        <w:overflowPunct/>
        <w:topLinePunct w:val="0"/>
        <w:autoSpaceDN/>
        <w:bidi w:val="0"/>
        <w:adjustRightInd/>
        <w:snapToGrid w:val="0"/>
        <w:spacing w:before="0" w:beforeAutospacing="0" w:after="0" w:afterAutospacing="0" w:line="560" w:lineRule="exact"/>
        <w:ind w:right="0" w:rightChars="0" w:firstLine="640" w:firstLineChars="200"/>
        <w:jc w:val="both"/>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lang w:val="en-US" w:eastAsia="zh-CN"/>
        </w:rPr>
        <w:t>8</w:t>
      </w:r>
      <w:r>
        <w:rPr>
          <w:rFonts w:hint="default" w:ascii="Times New Roman" w:hAnsi="Times New Roman" w:eastAsia="方正仿宋_GBK" w:cs="Times New Roman"/>
          <w:color w:val="auto"/>
          <w:sz w:val="32"/>
          <w:szCs w:val="32"/>
          <w:highlight w:val="none"/>
          <w:shd w:val="clear" w:color="auto" w:fill="FFFFFF"/>
        </w:rPr>
        <w:t>）节能环保支出</w:t>
      </w:r>
      <w:r>
        <w:rPr>
          <w:rFonts w:hint="default" w:ascii="Times New Roman" w:hAnsi="Times New Roman" w:eastAsia="方正仿宋_GBK" w:cs="Times New Roman"/>
          <w:color w:val="auto"/>
          <w:sz w:val="32"/>
          <w:szCs w:val="32"/>
          <w:highlight w:val="none"/>
        </w:rPr>
        <w:t>58.54</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2.81</w:t>
      </w:r>
      <w:r>
        <w:rPr>
          <w:rFonts w:hint="default" w:ascii="Times New Roman" w:hAnsi="Times New Roman" w:eastAsia="方正仿宋_GBK" w:cs="Times New Roman"/>
          <w:color w:val="auto"/>
          <w:sz w:val="32"/>
          <w:szCs w:val="32"/>
          <w:highlight w:val="none"/>
          <w:shd w:val="clear" w:color="auto" w:fill="FFFFFF"/>
        </w:rPr>
        <w:t>%，较年初预算数增加8.54万元，增长17.08%，主要原因是生态护林员---渝财农〔2022〕43号</w:t>
      </w:r>
      <w:r>
        <w:rPr>
          <w:rFonts w:hint="default" w:ascii="Times New Roman" w:hAnsi="Times New Roman" w:eastAsia="方正仿宋_GBK" w:cs="Times New Roman"/>
          <w:color w:val="auto"/>
          <w:sz w:val="32"/>
          <w:szCs w:val="32"/>
          <w:highlight w:val="none"/>
          <w:shd w:val="clear" w:color="auto" w:fill="FFFFFF"/>
          <w:lang w:eastAsia="zh-CN"/>
        </w:rPr>
        <w:t>、2023年天保护林员补助-渝财农〔2022〕127号项目年中纳入预算，导致实际支出增加</w:t>
      </w:r>
      <w:r>
        <w:rPr>
          <w:rFonts w:hint="default" w:ascii="Times New Roman" w:hAnsi="Times New Roman" w:eastAsia="方正仿宋_GBK" w:cs="Times New Roman"/>
          <w:color w:val="auto"/>
          <w:sz w:val="32"/>
          <w:szCs w:val="32"/>
          <w:highlight w:val="none"/>
          <w:shd w:val="clear" w:color="auto" w:fill="FFFFFF"/>
        </w:rPr>
        <w:t>。</w:t>
      </w:r>
    </w:p>
    <w:p>
      <w:pPr>
        <w:pStyle w:val="9"/>
        <w:keepNext w:val="0"/>
        <w:keepLines w:val="0"/>
        <w:pageBreakBefore w:val="0"/>
        <w:widowControl/>
        <w:kinsoku/>
        <w:overflowPunct/>
        <w:topLinePunct w:val="0"/>
        <w:autoSpaceDN/>
        <w:bidi w:val="0"/>
        <w:adjustRightInd/>
        <w:snapToGrid w:val="0"/>
        <w:spacing w:before="0" w:beforeAutospacing="0" w:after="0" w:afterAutospacing="0" w:line="560" w:lineRule="exact"/>
        <w:ind w:right="0" w:rightChars="0" w:firstLine="640" w:firstLineChars="200"/>
        <w:jc w:val="both"/>
        <w:outlineLvl w:val="9"/>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lang w:val="en-US" w:eastAsia="zh-CN"/>
        </w:rPr>
        <w:t>9</w:t>
      </w:r>
      <w:r>
        <w:rPr>
          <w:rFonts w:hint="default" w:ascii="Times New Roman" w:hAnsi="Times New Roman" w:eastAsia="方正仿宋_GBK" w:cs="Times New Roman"/>
          <w:color w:val="auto"/>
          <w:sz w:val="32"/>
          <w:szCs w:val="32"/>
          <w:highlight w:val="none"/>
          <w:shd w:val="clear" w:color="auto" w:fill="FFFFFF"/>
        </w:rPr>
        <w:t>）城乡社区支出</w:t>
      </w:r>
      <w:r>
        <w:rPr>
          <w:rFonts w:hint="default" w:ascii="Times New Roman" w:hAnsi="Times New Roman" w:eastAsia="方正仿宋_GBK" w:cs="Times New Roman"/>
          <w:color w:val="auto"/>
          <w:sz w:val="32"/>
          <w:szCs w:val="32"/>
          <w:highlight w:val="none"/>
        </w:rPr>
        <w:t>115.50</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5.54</w:t>
      </w:r>
      <w:r>
        <w:rPr>
          <w:rFonts w:hint="default" w:ascii="Times New Roman" w:hAnsi="Times New Roman" w:eastAsia="方正仿宋_GBK" w:cs="Times New Roman"/>
          <w:color w:val="auto"/>
          <w:sz w:val="32"/>
          <w:szCs w:val="32"/>
          <w:highlight w:val="none"/>
          <w:shd w:val="clear" w:color="auto" w:fill="FFFFFF"/>
        </w:rPr>
        <w:t>%，较年初预算数减少0.45万元，下降0.39%，主要原因是</w:t>
      </w:r>
      <w:r>
        <w:rPr>
          <w:rFonts w:hint="eastAsia" w:ascii="Times New Roman" w:hAnsi="Times New Roman" w:eastAsia="方正仿宋_GBK" w:cs="Times New Roman"/>
          <w:color w:val="auto"/>
          <w:sz w:val="32"/>
          <w:szCs w:val="32"/>
          <w:highlight w:val="none"/>
          <w:shd w:val="clear" w:color="auto" w:fill="FFFFFF"/>
          <w:lang w:eastAsia="zh-CN"/>
        </w:rPr>
        <w:t>贯彻落实“过紧日子”要求导致实际支出较年初预算数减少。</w:t>
      </w:r>
    </w:p>
    <w:p>
      <w:pPr>
        <w:pStyle w:val="9"/>
        <w:keepNext w:val="0"/>
        <w:keepLines w:val="0"/>
        <w:pageBreakBefore w:val="0"/>
        <w:widowControl/>
        <w:kinsoku/>
        <w:overflowPunct/>
        <w:topLinePunct w:val="0"/>
        <w:autoSpaceDN/>
        <w:bidi w:val="0"/>
        <w:adjustRightInd/>
        <w:snapToGrid w:val="0"/>
        <w:spacing w:before="0" w:beforeAutospacing="0" w:after="0" w:afterAutospacing="0" w:line="560" w:lineRule="exact"/>
        <w:ind w:right="0" w:rightChars="0" w:firstLine="640" w:firstLineChars="200"/>
        <w:jc w:val="both"/>
        <w:outlineLvl w:val="9"/>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（1</w:t>
      </w:r>
      <w:r>
        <w:rPr>
          <w:rFonts w:hint="default" w:ascii="Times New Roman" w:hAnsi="Times New Roman" w:eastAsia="方正仿宋_GBK" w:cs="Times New Roman"/>
          <w:color w:val="auto"/>
          <w:sz w:val="32"/>
          <w:szCs w:val="32"/>
          <w:highlight w:val="none"/>
          <w:shd w:val="clear" w:color="auto" w:fill="FFFFFF"/>
          <w:lang w:val="en-US" w:eastAsia="zh-CN"/>
        </w:rPr>
        <w:t>0</w:t>
      </w:r>
      <w:r>
        <w:rPr>
          <w:rFonts w:hint="default" w:ascii="Times New Roman" w:hAnsi="Times New Roman" w:eastAsia="方正仿宋_GBK" w:cs="Times New Roman"/>
          <w:color w:val="auto"/>
          <w:sz w:val="32"/>
          <w:szCs w:val="32"/>
          <w:highlight w:val="none"/>
          <w:shd w:val="clear" w:color="auto" w:fill="FFFFFF"/>
        </w:rPr>
        <w:t>）农林水支出</w:t>
      </w:r>
      <w:r>
        <w:rPr>
          <w:rFonts w:hint="default" w:ascii="Times New Roman" w:hAnsi="Times New Roman" w:eastAsia="方正仿宋_GBK" w:cs="Times New Roman"/>
          <w:color w:val="auto"/>
          <w:sz w:val="32"/>
          <w:szCs w:val="32"/>
          <w:highlight w:val="none"/>
        </w:rPr>
        <w:t>677.95</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32.52</w:t>
      </w:r>
      <w:r>
        <w:rPr>
          <w:rFonts w:hint="default" w:ascii="Times New Roman" w:hAnsi="Times New Roman" w:eastAsia="方正仿宋_GBK" w:cs="Times New Roman"/>
          <w:color w:val="auto"/>
          <w:sz w:val="32"/>
          <w:szCs w:val="32"/>
          <w:highlight w:val="none"/>
          <w:shd w:val="clear" w:color="auto" w:fill="FFFFFF"/>
        </w:rPr>
        <w:t>%，较年初预算数增加159.33万元，增长30.72%，主要原因是森林资源管护（国土绿化）、森林草原防火补助---渝财农〔2022〕129号、石耶镇2023年农村卫生厕所改造厕屋建设补助项目〔-〕-渝财农〔2022〕155号、石耶镇2023年低收入脱贫人口产业发展项目（-）-渝财农〔2022〕131号等项目年中纳入预算和往来支付增加导致农林水支出较年初预算数增加。</w:t>
      </w:r>
    </w:p>
    <w:p>
      <w:pPr>
        <w:pStyle w:val="9"/>
        <w:keepNext w:val="0"/>
        <w:keepLines w:val="0"/>
        <w:pageBreakBefore w:val="0"/>
        <w:widowControl/>
        <w:kinsoku/>
        <w:overflowPunct/>
        <w:topLinePunct w:val="0"/>
        <w:autoSpaceDN/>
        <w:bidi w:val="0"/>
        <w:adjustRightInd/>
        <w:snapToGrid w:val="0"/>
        <w:spacing w:before="0" w:beforeAutospacing="0" w:after="0" w:afterAutospacing="0" w:line="560" w:lineRule="exact"/>
        <w:ind w:right="0" w:rightChars="0" w:firstLine="640" w:firstLineChars="200"/>
        <w:jc w:val="both"/>
        <w:outlineLvl w:val="9"/>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（1</w:t>
      </w:r>
      <w:r>
        <w:rPr>
          <w:rFonts w:hint="default" w:ascii="Times New Roman" w:hAnsi="Times New Roman" w:eastAsia="方正仿宋_GBK" w:cs="Times New Roman"/>
          <w:color w:val="auto"/>
          <w:sz w:val="32"/>
          <w:szCs w:val="32"/>
          <w:highlight w:val="none"/>
          <w:shd w:val="clear" w:color="auto" w:fill="FFFFFF"/>
          <w:lang w:val="en-US" w:eastAsia="zh-CN"/>
        </w:rPr>
        <w:t>1</w:t>
      </w:r>
      <w:r>
        <w:rPr>
          <w:rFonts w:hint="default" w:ascii="Times New Roman" w:hAnsi="Times New Roman" w:eastAsia="方正仿宋_GBK" w:cs="Times New Roman"/>
          <w:color w:val="auto"/>
          <w:sz w:val="32"/>
          <w:szCs w:val="32"/>
          <w:highlight w:val="none"/>
          <w:shd w:val="clear" w:color="auto" w:fill="FFFFFF"/>
        </w:rPr>
        <w:t>）交通运输支出</w:t>
      </w:r>
      <w:r>
        <w:rPr>
          <w:rFonts w:hint="default" w:ascii="Times New Roman" w:hAnsi="Times New Roman" w:eastAsia="方正仿宋_GBK" w:cs="Times New Roman"/>
          <w:color w:val="auto"/>
          <w:sz w:val="32"/>
          <w:szCs w:val="32"/>
          <w:highlight w:val="none"/>
        </w:rPr>
        <w:t>17.07</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0.82</w:t>
      </w:r>
      <w:r>
        <w:rPr>
          <w:rFonts w:hint="default" w:ascii="Times New Roman" w:hAnsi="Times New Roman" w:eastAsia="方正仿宋_GBK" w:cs="Times New Roman"/>
          <w:color w:val="auto"/>
          <w:sz w:val="32"/>
          <w:szCs w:val="32"/>
          <w:highlight w:val="none"/>
          <w:shd w:val="clear" w:color="auto" w:fill="FFFFFF"/>
        </w:rPr>
        <w:t>%，较年初预算数增加5.40万元，增长46.27%，主要原因是S410桩号K2至K35+800水毁恢复重建</w:t>
      </w:r>
      <w:r>
        <w:rPr>
          <w:rFonts w:hint="default" w:ascii="Times New Roman" w:hAnsi="Times New Roman" w:eastAsia="方正仿宋_GBK" w:cs="Times New Roman"/>
          <w:color w:val="auto"/>
          <w:sz w:val="32"/>
          <w:szCs w:val="32"/>
          <w:highlight w:val="none"/>
          <w:shd w:val="clear" w:color="auto" w:fill="FFFFFF"/>
          <w:lang w:eastAsia="zh-CN"/>
        </w:rPr>
        <w:t>项目年中纳入预算导致</w:t>
      </w:r>
      <w:r>
        <w:rPr>
          <w:rFonts w:hint="default" w:ascii="Times New Roman" w:hAnsi="Times New Roman" w:eastAsia="方正仿宋_GBK" w:cs="Times New Roman"/>
          <w:color w:val="auto"/>
          <w:sz w:val="32"/>
          <w:szCs w:val="32"/>
          <w:highlight w:val="none"/>
          <w:shd w:val="clear" w:color="auto" w:fill="FFFFFF"/>
        </w:rPr>
        <w:t>交通运输支出较年初预算数增加5.40万元</w:t>
      </w:r>
      <w:r>
        <w:rPr>
          <w:rFonts w:hint="default" w:ascii="Times New Roman" w:hAnsi="Times New Roman" w:eastAsia="方正仿宋_GBK" w:cs="Times New Roman"/>
          <w:color w:val="auto"/>
          <w:sz w:val="32"/>
          <w:szCs w:val="32"/>
          <w:highlight w:val="none"/>
          <w:shd w:val="clear" w:color="auto" w:fill="FFFFFF"/>
          <w:lang w:eastAsia="zh-CN"/>
        </w:rPr>
        <w:t>。</w:t>
      </w:r>
    </w:p>
    <w:p>
      <w:pPr>
        <w:pStyle w:val="9"/>
        <w:keepNext w:val="0"/>
        <w:keepLines w:val="0"/>
        <w:pageBreakBefore w:val="0"/>
        <w:widowControl/>
        <w:kinsoku/>
        <w:overflowPunct/>
        <w:topLinePunct w:val="0"/>
        <w:autoSpaceDN/>
        <w:bidi w:val="0"/>
        <w:adjustRightInd/>
        <w:snapToGrid w:val="0"/>
        <w:spacing w:before="0" w:beforeAutospacing="0" w:after="0" w:afterAutospacing="0" w:line="560" w:lineRule="exact"/>
        <w:ind w:right="0" w:rightChars="0" w:firstLine="640" w:firstLineChars="200"/>
        <w:jc w:val="both"/>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（1</w:t>
      </w:r>
      <w:r>
        <w:rPr>
          <w:rFonts w:hint="default" w:ascii="Times New Roman" w:hAnsi="Times New Roman" w:eastAsia="方正仿宋_GBK" w:cs="Times New Roman"/>
          <w:color w:val="auto"/>
          <w:sz w:val="32"/>
          <w:szCs w:val="32"/>
          <w:highlight w:val="none"/>
          <w:shd w:val="clear" w:color="auto" w:fill="FFFFFF"/>
          <w:lang w:val="en-US" w:eastAsia="zh-CN"/>
        </w:rPr>
        <w:t>2</w:t>
      </w:r>
      <w:r>
        <w:rPr>
          <w:rFonts w:hint="default" w:ascii="Times New Roman" w:hAnsi="Times New Roman" w:eastAsia="方正仿宋_GBK" w:cs="Times New Roman"/>
          <w:color w:val="auto"/>
          <w:sz w:val="32"/>
          <w:szCs w:val="32"/>
          <w:highlight w:val="none"/>
          <w:shd w:val="clear" w:color="auto" w:fill="FFFFFF"/>
        </w:rPr>
        <w:t>）资源勘探信息等支出</w:t>
      </w:r>
      <w:r>
        <w:rPr>
          <w:rFonts w:hint="default" w:ascii="Times New Roman" w:hAnsi="Times New Roman" w:eastAsia="方正仿宋_GBK" w:cs="Times New Roman"/>
          <w:color w:val="auto"/>
          <w:sz w:val="32"/>
          <w:szCs w:val="32"/>
          <w:highlight w:val="none"/>
        </w:rPr>
        <w:t>0</w:t>
      </w:r>
      <w:r>
        <w:rPr>
          <w:rFonts w:hint="eastAsia" w:ascii="Times New Roman" w:hAnsi="Times New Roman" w:eastAsia="方正仿宋_GBK" w:cs="Times New Roman"/>
          <w:color w:val="auto"/>
          <w:sz w:val="32"/>
          <w:szCs w:val="32"/>
          <w:highlight w:val="none"/>
          <w:lang w:val="en-US" w:eastAsia="zh-CN"/>
        </w:rPr>
        <w:t>.00</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0</w:t>
      </w:r>
      <w:r>
        <w:rPr>
          <w:rFonts w:hint="eastAsia" w:ascii="Times New Roman" w:hAnsi="Times New Roman" w:eastAsia="方正仿宋_GBK" w:cs="Times New Roman"/>
          <w:color w:val="auto"/>
          <w:sz w:val="32"/>
          <w:szCs w:val="32"/>
          <w:highlight w:val="none"/>
          <w:lang w:val="en-US" w:eastAsia="zh-CN"/>
        </w:rPr>
        <w:t>.00</w:t>
      </w:r>
      <w:r>
        <w:rPr>
          <w:rFonts w:hint="default" w:ascii="Times New Roman" w:hAnsi="Times New Roman" w:eastAsia="方正仿宋_GBK" w:cs="Times New Roman"/>
          <w:color w:val="auto"/>
          <w:sz w:val="32"/>
          <w:szCs w:val="32"/>
          <w:highlight w:val="none"/>
          <w:shd w:val="clear" w:color="auto" w:fill="FFFFFF"/>
        </w:rPr>
        <w:t>%，较年初预算数减少8</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万元，下降100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%，主要原因是</w:t>
      </w:r>
      <w:r>
        <w:rPr>
          <w:rFonts w:hint="default" w:ascii="Times New Roman" w:hAnsi="Times New Roman" w:eastAsia="方正仿宋_GBK" w:cs="Times New Roman"/>
          <w:color w:val="auto"/>
          <w:sz w:val="32"/>
          <w:szCs w:val="32"/>
          <w:highlight w:val="none"/>
          <w:shd w:val="clear" w:color="auto" w:fill="FFFFFF"/>
          <w:lang w:eastAsia="zh-CN"/>
        </w:rPr>
        <w:t>本年未实际产生</w:t>
      </w:r>
      <w:r>
        <w:rPr>
          <w:rFonts w:hint="default" w:ascii="Times New Roman" w:hAnsi="Times New Roman" w:eastAsia="方正仿宋_GBK" w:cs="Times New Roman"/>
          <w:color w:val="auto"/>
          <w:sz w:val="32"/>
          <w:szCs w:val="32"/>
          <w:highlight w:val="none"/>
          <w:shd w:val="clear" w:color="auto" w:fill="FFFFFF"/>
        </w:rPr>
        <w:t>资源勘探信息等</w:t>
      </w:r>
      <w:r>
        <w:rPr>
          <w:rFonts w:hint="default" w:ascii="Times New Roman" w:hAnsi="Times New Roman" w:eastAsia="方正仿宋_GBK" w:cs="Times New Roman"/>
          <w:color w:val="auto"/>
          <w:sz w:val="32"/>
          <w:szCs w:val="32"/>
          <w:highlight w:val="none"/>
          <w:shd w:val="clear" w:color="auto" w:fill="FFFFFF"/>
          <w:lang w:eastAsia="zh-CN"/>
        </w:rPr>
        <w:t>方面支出。</w:t>
      </w:r>
    </w:p>
    <w:p>
      <w:pPr>
        <w:pStyle w:val="9"/>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right="0" w:rightChars="0" w:firstLine="640" w:firstLineChars="200"/>
        <w:outlineLvl w:val="9"/>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（1</w:t>
      </w:r>
      <w:r>
        <w:rPr>
          <w:rFonts w:hint="default" w:ascii="Times New Roman" w:hAnsi="Times New Roman" w:eastAsia="方正仿宋_GBK" w:cs="Times New Roman"/>
          <w:color w:val="auto"/>
          <w:sz w:val="32"/>
          <w:szCs w:val="32"/>
          <w:highlight w:val="none"/>
          <w:shd w:val="clear" w:color="auto" w:fill="FFFFFF"/>
          <w:lang w:val="en-US" w:eastAsia="zh-CN"/>
        </w:rPr>
        <w:t>3</w:t>
      </w: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rPr>
        <w:t>自然资源海洋气象等支出89.97</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4.32</w:t>
      </w:r>
      <w:r>
        <w:rPr>
          <w:rFonts w:hint="default" w:ascii="Times New Roman" w:hAnsi="Times New Roman" w:eastAsia="方正仿宋_GBK" w:cs="Times New Roman"/>
          <w:color w:val="auto"/>
          <w:sz w:val="32"/>
          <w:szCs w:val="32"/>
          <w:highlight w:val="none"/>
          <w:shd w:val="clear" w:color="auto" w:fill="FFFFFF"/>
        </w:rPr>
        <w:t>%，较年初预算数增加89.97万元，增长</w:t>
      </w:r>
      <w:r>
        <w:rPr>
          <w:rFonts w:hint="eastAsia" w:ascii="Times New Roman" w:hAnsi="Times New Roman" w:eastAsia="方正仿宋_GBK" w:cs="Times New Roman"/>
          <w:color w:val="auto"/>
          <w:sz w:val="32"/>
          <w:szCs w:val="32"/>
          <w:highlight w:val="none"/>
          <w:shd w:val="clear" w:color="auto" w:fill="FFFFFF"/>
          <w:lang w:eastAsia="zh-CN"/>
        </w:rPr>
        <w:t>100.00%</w:t>
      </w:r>
      <w:r>
        <w:rPr>
          <w:rFonts w:hint="default" w:ascii="Times New Roman" w:hAnsi="Times New Roman" w:eastAsia="方正仿宋_GBK" w:cs="Times New Roman"/>
          <w:color w:val="auto"/>
          <w:sz w:val="32"/>
          <w:szCs w:val="32"/>
          <w:highlight w:val="none"/>
          <w:shd w:val="clear" w:color="auto" w:fill="FFFFFF"/>
        </w:rPr>
        <w:t>，主要原因是-新增耕地指标款安排2021年耕地流出问题恢复补足工作奖补资金</w:t>
      </w:r>
      <w:r>
        <w:rPr>
          <w:rFonts w:hint="eastAsia" w:ascii="Times New Roman" w:hAnsi="Times New Roman" w:eastAsia="方正仿宋_GBK" w:cs="Times New Roman"/>
          <w:color w:val="auto"/>
          <w:sz w:val="32"/>
          <w:szCs w:val="32"/>
          <w:highlight w:val="none"/>
          <w:shd w:val="clear" w:color="auto" w:fill="FFFFFF"/>
          <w:lang w:eastAsia="zh-CN"/>
        </w:rPr>
        <w:t>、新增耕地指标安排2022年度在建土地整理项目工作经费、2023年耕地恢复补足工作奖补资金---秀山财政建〔2023〕148号</w:t>
      </w:r>
      <w:r>
        <w:rPr>
          <w:rFonts w:hint="default" w:ascii="Times New Roman" w:hAnsi="Times New Roman" w:eastAsia="方正仿宋_GBK" w:cs="Times New Roman"/>
          <w:color w:val="auto"/>
          <w:sz w:val="32"/>
          <w:szCs w:val="32"/>
          <w:highlight w:val="none"/>
          <w:shd w:val="clear" w:color="auto" w:fill="FFFFFF"/>
        </w:rPr>
        <w:t>等项目年中纳入预算导致</w:t>
      </w:r>
      <w:r>
        <w:rPr>
          <w:rFonts w:hint="default" w:ascii="Times New Roman" w:hAnsi="Times New Roman" w:eastAsia="方正仿宋_GBK" w:cs="Times New Roman"/>
          <w:color w:val="auto"/>
          <w:sz w:val="32"/>
          <w:szCs w:val="32"/>
          <w:highlight w:val="none"/>
        </w:rPr>
        <w:t>自然资源海洋气象等支出</w:t>
      </w:r>
      <w:r>
        <w:rPr>
          <w:rFonts w:hint="default" w:ascii="Times New Roman" w:hAnsi="Times New Roman" w:eastAsia="方正仿宋_GBK" w:cs="Times New Roman"/>
          <w:color w:val="auto"/>
          <w:sz w:val="32"/>
          <w:szCs w:val="32"/>
          <w:highlight w:val="none"/>
          <w:shd w:val="clear" w:color="auto" w:fill="FFFFFF"/>
        </w:rPr>
        <w:t>较年初预算数增加。</w:t>
      </w:r>
    </w:p>
    <w:p>
      <w:pPr>
        <w:pStyle w:val="9"/>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right="0" w:rightChars="0" w:firstLine="640" w:firstLineChars="200"/>
        <w:outlineLvl w:val="9"/>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（1</w:t>
      </w:r>
      <w:r>
        <w:rPr>
          <w:rFonts w:hint="default" w:ascii="Times New Roman" w:hAnsi="Times New Roman" w:eastAsia="方正仿宋_GBK" w:cs="Times New Roman"/>
          <w:color w:val="auto"/>
          <w:sz w:val="32"/>
          <w:szCs w:val="32"/>
          <w:highlight w:val="none"/>
          <w:shd w:val="clear" w:color="auto" w:fill="FFFFFF"/>
          <w:lang w:val="en-US" w:eastAsia="zh-CN"/>
        </w:rPr>
        <w:t>4</w:t>
      </w: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rPr>
        <w:t>住房保障支出70.40</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3.38</w:t>
      </w:r>
      <w:r>
        <w:rPr>
          <w:rFonts w:hint="default" w:ascii="Times New Roman" w:hAnsi="Times New Roman" w:eastAsia="方正仿宋_GBK" w:cs="Times New Roman"/>
          <w:color w:val="auto"/>
          <w:sz w:val="32"/>
          <w:szCs w:val="32"/>
          <w:highlight w:val="none"/>
          <w:shd w:val="clear" w:color="auto" w:fill="FFFFFF"/>
        </w:rPr>
        <w:t>%，较年初预算数增加0.75万元，增长1.08%，主要原因是农村危房改造项目、补发退休、病亡、调出县外等人员公积金配套基数调整增资经费、补缴1999年至2007年欠缴职工住房公积金项目年中纳入预算导致住房保障支出较年初预算数增加</w:t>
      </w:r>
      <w:r>
        <w:rPr>
          <w:rFonts w:hint="default" w:ascii="Times New Roman" w:hAnsi="Times New Roman" w:eastAsia="方正仿宋_GBK" w:cs="Times New Roman"/>
          <w:color w:val="auto"/>
          <w:sz w:val="32"/>
          <w:szCs w:val="32"/>
          <w:highlight w:val="none"/>
          <w:shd w:val="clear" w:color="auto" w:fill="FFFFFF"/>
          <w:lang w:eastAsia="zh-CN"/>
        </w:rPr>
        <w:t>。</w:t>
      </w:r>
    </w:p>
    <w:p>
      <w:pPr>
        <w:keepNext w:val="0"/>
        <w:keepLines w:val="0"/>
        <w:pageBreakBefore w:val="0"/>
        <w:widowControl/>
        <w:kinsoku/>
        <w:overflowPunct/>
        <w:topLinePunct w:val="0"/>
        <w:autoSpaceDN/>
        <w:bidi w:val="0"/>
        <w:adjustRightInd/>
        <w:spacing w:beforeAutospacing="0" w:afterAutospacing="0" w:line="560" w:lineRule="exact"/>
        <w:ind w:right="0" w:rightChars="0" w:firstLine="640" w:firstLineChars="200"/>
        <w:outlineLvl w:val="9"/>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lang w:val="en-US" w:eastAsia="zh-CN"/>
        </w:rPr>
        <w:t>15</w:t>
      </w: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rPr>
        <w:t>灾害防治及应急管理支出34.76</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1.67</w:t>
      </w:r>
      <w:r>
        <w:rPr>
          <w:rFonts w:hint="default" w:ascii="Times New Roman" w:hAnsi="Times New Roman" w:eastAsia="方正仿宋_GBK" w:cs="Times New Roman"/>
          <w:color w:val="auto"/>
          <w:sz w:val="32"/>
          <w:szCs w:val="32"/>
          <w:highlight w:val="none"/>
          <w:shd w:val="clear" w:color="auto" w:fill="FFFFFF"/>
        </w:rPr>
        <w:t>%，较年初预算数增加12.76万元，增长58%，主要原因是.2022年中央自然灾害救灾资金（干旱灾害）——渝财环〔2022〕82号</w:t>
      </w:r>
      <w:r>
        <w:rPr>
          <w:rFonts w:hint="default" w:ascii="Times New Roman" w:hAnsi="Times New Roman" w:eastAsia="方正仿宋_GBK" w:cs="Times New Roman"/>
          <w:color w:val="auto"/>
          <w:sz w:val="32"/>
          <w:szCs w:val="32"/>
          <w:highlight w:val="none"/>
          <w:shd w:val="clear" w:color="auto" w:fill="FFFFFF"/>
          <w:lang w:eastAsia="zh-CN"/>
        </w:rPr>
        <w:t>、乡镇专职消防队专项经费等项目本年度实际支出较年初预算数增加</w:t>
      </w:r>
      <w:r>
        <w:rPr>
          <w:rFonts w:hint="default" w:ascii="Times New Roman" w:hAnsi="Times New Roman" w:eastAsia="方正仿宋_GBK" w:cs="Times New Roman"/>
          <w:color w:val="auto"/>
          <w:sz w:val="32"/>
          <w:szCs w:val="32"/>
          <w:highlight w:val="none"/>
          <w:shd w:val="clear" w:color="auto" w:fill="FFFFFF"/>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11"/>
          <w:rFonts w:hint="default" w:ascii="方正楷体_GBK" w:hAnsi="方正楷体_GBK" w:eastAsia="方正楷体_GBK" w:cs="方正楷体_GBK"/>
          <w:b w:val="0"/>
          <w:bCs/>
          <w:color w:val="auto"/>
          <w:sz w:val="32"/>
          <w:szCs w:val="32"/>
          <w:highlight w:val="none"/>
          <w:shd w:val="clear" w:color="auto" w:fill="FFFFFF"/>
        </w:rPr>
      </w:pPr>
      <w:r>
        <w:rPr>
          <w:rStyle w:val="11"/>
          <w:rFonts w:hint="default" w:ascii="方正楷体_GBK" w:hAnsi="方正楷体_GBK" w:eastAsia="方正楷体_GBK" w:cs="方正楷体_GBK"/>
          <w:b w:val="0"/>
          <w:bCs/>
          <w:color w:val="auto"/>
          <w:sz w:val="32"/>
          <w:szCs w:val="32"/>
          <w:highlight w:val="none"/>
          <w:shd w:val="clear" w:color="auto" w:fill="FFFFFF"/>
        </w:rPr>
        <w:t>（四）一般公共预算财政拨款基本支出决算情况说明</w:t>
      </w:r>
    </w:p>
    <w:p>
      <w:pPr>
        <w:pStyle w:val="9"/>
        <w:keepNext w:val="0"/>
        <w:keepLines w:val="0"/>
        <w:pageBreakBefore w:val="0"/>
        <w:widowControl/>
        <w:kinsoku/>
        <w:overflowPunct/>
        <w:topLinePunct w:val="0"/>
        <w:autoSpaceDN/>
        <w:bidi w:val="0"/>
        <w:adjustRightInd/>
        <w:snapToGrid w:val="0"/>
        <w:spacing w:before="0" w:beforeAutospacing="0" w:after="0" w:afterAutospacing="0" w:line="560" w:lineRule="exact"/>
        <w:ind w:right="0" w:rightChars="0" w:firstLine="640" w:firstLineChars="200"/>
        <w:jc w:val="both"/>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2023年度一般公共财政拨款基本支出</w:t>
      </w:r>
      <w:r>
        <w:rPr>
          <w:rFonts w:hint="default" w:ascii="Times New Roman" w:hAnsi="Times New Roman" w:eastAsia="方正仿宋_GBK" w:cs="Times New Roman"/>
          <w:color w:val="auto"/>
          <w:sz w:val="32"/>
          <w:szCs w:val="32"/>
          <w:highlight w:val="none"/>
        </w:rPr>
        <w:t>1320.07</w:t>
      </w:r>
      <w:r>
        <w:rPr>
          <w:rFonts w:hint="default" w:ascii="Times New Roman" w:hAnsi="Times New Roman" w:eastAsia="方正仿宋_GBK" w:cs="Times New Roman"/>
          <w:color w:val="auto"/>
          <w:sz w:val="32"/>
          <w:szCs w:val="32"/>
          <w:highlight w:val="none"/>
          <w:shd w:val="clear" w:color="auto" w:fill="FFFFFF"/>
        </w:rPr>
        <w:t>万元。其中：人员经费</w:t>
      </w:r>
      <w:r>
        <w:rPr>
          <w:rFonts w:hint="default" w:ascii="Times New Roman" w:hAnsi="Times New Roman" w:eastAsia="方正仿宋_GBK" w:cs="Times New Roman"/>
          <w:color w:val="auto"/>
          <w:sz w:val="32"/>
          <w:szCs w:val="32"/>
          <w:highlight w:val="none"/>
        </w:rPr>
        <w:t>1138.71</w:t>
      </w:r>
      <w:r>
        <w:rPr>
          <w:rFonts w:hint="default" w:ascii="Times New Roman" w:hAnsi="Times New Roman" w:eastAsia="方正仿宋_GBK" w:cs="Times New Roman"/>
          <w:color w:val="auto"/>
          <w:sz w:val="32"/>
          <w:szCs w:val="32"/>
          <w:highlight w:val="none"/>
          <w:shd w:val="clear" w:color="auto" w:fill="FFFFFF"/>
        </w:rPr>
        <w:t>万元，较上年决算数增加49.63万元，增长4.56%，主要原因是</w:t>
      </w:r>
      <w:r>
        <w:rPr>
          <w:rFonts w:hint="default" w:ascii="Times New Roman" w:hAnsi="Times New Roman" w:eastAsia="方正仿宋_GBK" w:cs="Times New Roman"/>
          <w:color w:val="auto"/>
          <w:sz w:val="32"/>
          <w:szCs w:val="32"/>
          <w:highlight w:val="none"/>
          <w:shd w:val="clear" w:color="auto" w:fill="FFFFFF"/>
          <w:lang w:eastAsia="zh-CN"/>
        </w:rPr>
        <w:t>人员项目相关标准调整</w:t>
      </w:r>
      <w:r>
        <w:rPr>
          <w:rFonts w:hint="default" w:ascii="Times New Roman" w:hAnsi="Times New Roman" w:eastAsia="方正仿宋_GBK" w:cs="Times New Roman"/>
          <w:color w:val="auto"/>
          <w:sz w:val="32"/>
          <w:szCs w:val="32"/>
          <w:highlight w:val="none"/>
          <w:shd w:val="clear" w:color="auto" w:fill="FFFFFF"/>
        </w:rPr>
        <w:t>。人员经费用途主要包括</w:t>
      </w:r>
      <w:r>
        <w:rPr>
          <w:rFonts w:hint="default" w:ascii="Times New Roman" w:hAnsi="Times New Roman" w:eastAsia="方正仿宋_GBK" w:cs="Times New Roman"/>
          <w:kern w:val="0"/>
          <w:sz w:val="32"/>
          <w:szCs w:val="32"/>
          <w:highlight w:val="none"/>
          <w:shd w:val="clear" w:color="auto" w:fill="FFFFFF"/>
        </w:rPr>
        <w:t>基本工资、津贴补贴、奖金、社会保障缴费等</w:t>
      </w:r>
      <w:r>
        <w:rPr>
          <w:rFonts w:hint="default" w:ascii="Times New Roman" w:hAnsi="Times New Roman" w:eastAsia="方正仿宋_GBK" w:cs="Times New Roman"/>
          <w:color w:val="auto"/>
          <w:sz w:val="32"/>
          <w:szCs w:val="32"/>
          <w:highlight w:val="none"/>
          <w:shd w:val="clear" w:color="auto" w:fill="FFFFFF"/>
        </w:rPr>
        <w:t>。公用经费</w:t>
      </w:r>
      <w:r>
        <w:rPr>
          <w:rFonts w:hint="default" w:ascii="Times New Roman" w:hAnsi="Times New Roman" w:eastAsia="方正仿宋_GBK" w:cs="Times New Roman"/>
          <w:color w:val="auto"/>
          <w:sz w:val="32"/>
          <w:szCs w:val="32"/>
          <w:highlight w:val="none"/>
        </w:rPr>
        <w:t>181.37</w:t>
      </w:r>
      <w:r>
        <w:rPr>
          <w:rFonts w:hint="default" w:ascii="Times New Roman" w:hAnsi="Times New Roman" w:eastAsia="方正仿宋_GBK" w:cs="Times New Roman"/>
          <w:color w:val="auto"/>
          <w:sz w:val="32"/>
          <w:szCs w:val="32"/>
          <w:highlight w:val="none"/>
          <w:shd w:val="clear" w:color="auto" w:fill="FFFFFF"/>
        </w:rPr>
        <w:t>万元，较上年决算数增加28.64万元，增长18.75%，主要原因</w:t>
      </w:r>
      <w:r>
        <w:rPr>
          <w:rFonts w:hint="default" w:ascii="Times New Roman" w:hAnsi="Times New Roman" w:eastAsia="方正仿宋_GBK" w:cs="Times New Roman"/>
          <w:color w:val="auto"/>
          <w:sz w:val="32"/>
          <w:szCs w:val="32"/>
          <w:highlight w:val="none"/>
          <w:shd w:val="clear" w:color="auto" w:fill="FFFFFF"/>
          <w:lang w:eastAsia="zh-CN"/>
        </w:rPr>
        <w:t>是疫情后会议培训、职工出差增加</w:t>
      </w:r>
      <w:r>
        <w:rPr>
          <w:rFonts w:hint="default" w:ascii="Times New Roman" w:hAnsi="Times New Roman" w:eastAsia="方正仿宋_GBK" w:cs="Times New Roman"/>
          <w:color w:val="auto"/>
          <w:sz w:val="32"/>
          <w:szCs w:val="32"/>
          <w:highlight w:val="none"/>
          <w:shd w:val="clear" w:color="auto" w:fill="FFFFFF"/>
        </w:rPr>
        <w:t>。公用经费用途主要包括</w:t>
      </w:r>
      <w:r>
        <w:rPr>
          <w:rFonts w:hint="default" w:ascii="Times New Roman" w:hAnsi="Times New Roman" w:eastAsia="方正仿宋_GBK" w:cs="Times New Roman"/>
          <w:kern w:val="0"/>
          <w:sz w:val="32"/>
          <w:szCs w:val="32"/>
          <w:highlight w:val="none"/>
          <w:shd w:val="clear" w:color="auto" w:fill="FFFFFF"/>
        </w:rPr>
        <w:t>办公费、印刷费、咨询费、差旅费、电费、水费、会议费、培训费等</w:t>
      </w:r>
      <w:r>
        <w:rPr>
          <w:rFonts w:hint="default" w:ascii="Times New Roman" w:hAnsi="Times New Roman" w:eastAsia="方正仿宋_GBK" w:cs="Times New Roman"/>
          <w:color w:val="auto"/>
          <w:sz w:val="32"/>
          <w:szCs w:val="32"/>
          <w:highlight w:val="none"/>
          <w:shd w:val="clear" w:color="auto" w:fill="FFFFFF"/>
        </w:rPr>
        <w:t>。</w:t>
      </w:r>
    </w:p>
    <w:p>
      <w:pPr>
        <w:pStyle w:val="14"/>
        <w:keepNext w:val="0"/>
        <w:keepLines w:val="0"/>
        <w:pageBreakBefore w:val="0"/>
        <w:widowControl/>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left"/>
        <w:textAlignment w:val="auto"/>
        <w:outlineLvl w:val="9"/>
        <w:rPr>
          <w:rFonts w:hint="default" w:ascii="Times New Roman" w:hAnsi="Times New Roman" w:eastAsia="楷体" w:cs="Times New Roman"/>
          <w:b w:val="0"/>
          <w:bCs/>
          <w:color w:val="auto"/>
          <w:sz w:val="32"/>
          <w:szCs w:val="32"/>
          <w:highlight w:val="none"/>
          <w:shd w:val="clear" w:color="auto" w:fill="FFFFFF"/>
        </w:rPr>
      </w:pPr>
      <w:r>
        <w:rPr>
          <w:rStyle w:val="11"/>
          <w:rFonts w:hint="default" w:ascii="方正楷体_GBK" w:hAnsi="方正楷体_GBK" w:eastAsia="方正楷体_GBK" w:cs="方正楷体_GBK"/>
          <w:b w:val="0"/>
          <w:bCs/>
          <w:color w:val="auto"/>
          <w:sz w:val="32"/>
          <w:szCs w:val="32"/>
          <w:highlight w:val="none"/>
          <w:shd w:val="clear" w:color="auto" w:fill="FFFFFF"/>
          <w:lang w:val="en-US" w:eastAsia="zh-CN" w:bidi="ar-SA"/>
        </w:rPr>
        <w:t>（五）政府性基金预算收支决算情况说明</w:t>
      </w:r>
    </w:p>
    <w:p>
      <w:pPr>
        <w:pStyle w:val="9"/>
        <w:keepNext w:val="0"/>
        <w:keepLines w:val="0"/>
        <w:pageBreakBefore w:val="0"/>
        <w:widowControl/>
        <w:kinsoku/>
        <w:overflowPunct/>
        <w:topLinePunct w:val="0"/>
        <w:autoSpaceDN/>
        <w:bidi w:val="0"/>
        <w:adjustRightInd/>
        <w:snapToGrid w:val="0"/>
        <w:spacing w:before="0" w:beforeAutospacing="0" w:after="0" w:afterAutospacing="0" w:line="560" w:lineRule="exact"/>
        <w:ind w:right="0" w:rightChars="0" w:firstLine="640" w:firstLineChars="200"/>
        <w:jc w:val="both"/>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2023年度政府性基金预算财政拨款年初结转结余</w:t>
      </w:r>
      <w:r>
        <w:rPr>
          <w:rFonts w:hint="default" w:ascii="Times New Roman" w:hAnsi="Times New Roman" w:eastAsia="方正仿宋_GBK" w:cs="Times New Roman"/>
          <w:color w:val="auto"/>
          <w:sz w:val="32"/>
          <w:szCs w:val="32"/>
          <w:highlight w:val="none"/>
        </w:rPr>
        <w:t>0</w:t>
      </w:r>
      <w:r>
        <w:rPr>
          <w:rFonts w:hint="eastAsia" w:ascii="Times New Roman" w:hAnsi="Times New Roman" w:eastAsia="方正仿宋_GBK" w:cs="Times New Roman"/>
          <w:color w:val="auto"/>
          <w:sz w:val="32"/>
          <w:szCs w:val="32"/>
          <w:highlight w:val="none"/>
          <w:lang w:val="en-US" w:eastAsia="zh-CN"/>
        </w:rPr>
        <w:t>.00</w:t>
      </w:r>
      <w:r>
        <w:rPr>
          <w:rFonts w:hint="default" w:ascii="Times New Roman" w:hAnsi="Times New Roman" w:eastAsia="方正仿宋_GBK" w:cs="Times New Roman"/>
          <w:color w:val="auto"/>
          <w:sz w:val="32"/>
          <w:szCs w:val="32"/>
          <w:highlight w:val="none"/>
          <w:shd w:val="clear" w:color="auto" w:fill="FFFFFF"/>
        </w:rPr>
        <w:t>万元，年末结转结余</w:t>
      </w:r>
      <w:r>
        <w:rPr>
          <w:rFonts w:hint="default" w:ascii="Times New Roman" w:hAnsi="Times New Roman" w:eastAsia="方正仿宋_GBK" w:cs="Times New Roman"/>
          <w:color w:val="auto"/>
          <w:sz w:val="32"/>
          <w:szCs w:val="32"/>
          <w:highlight w:val="none"/>
        </w:rPr>
        <w:t>0</w:t>
      </w:r>
      <w:r>
        <w:rPr>
          <w:rFonts w:hint="eastAsia" w:ascii="Times New Roman" w:hAnsi="Times New Roman" w:eastAsia="方正仿宋_GBK" w:cs="Times New Roman"/>
          <w:color w:val="auto"/>
          <w:sz w:val="32"/>
          <w:szCs w:val="32"/>
          <w:highlight w:val="none"/>
          <w:lang w:val="en-US" w:eastAsia="zh-CN"/>
        </w:rPr>
        <w:t>.00</w:t>
      </w:r>
      <w:r>
        <w:rPr>
          <w:rFonts w:hint="default" w:ascii="Times New Roman" w:hAnsi="Times New Roman" w:eastAsia="方正仿宋_GBK" w:cs="Times New Roman"/>
          <w:color w:val="auto"/>
          <w:sz w:val="32"/>
          <w:szCs w:val="32"/>
          <w:highlight w:val="none"/>
          <w:shd w:val="clear" w:color="auto" w:fill="FFFFFF"/>
        </w:rPr>
        <w:t>万元。本年收入</w:t>
      </w:r>
      <w:r>
        <w:rPr>
          <w:rFonts w:hint="default" w:ascii="Times New Roman" w:hAnsi="Times New Roman" w:eastAsia="方正仿宋_GBK" w:cs="Times New Roman"/>
          <w:color w:val="auto"/>
          <w:sz w:val="32"/>
          <w:szCs w:val="32"/>
          <w:highlight w:val="none"/>
        </w:rPr>
        <w:t>67.47</w:t>
      </w:r>
      <w:r>
        <w:rPr>
          <w:rFonts w:hint="default" w:ascii="Times New Roman" w:hAnsi="Times New Roman" w:eastAsia="方正仿宋_GBK" w:cs="Times New Roman"/>
          <w:color w:val="auto"/>
          <w:sz w:val="32"/>
          <w:szCs w:val="32"/>
          <w:highlight w:val="none"/>
          <w:shd w:val="clear" w:color="auto" w:fill="FFFFFF"/>
        </w:rPr>
        <w:t>万元，较上年决算数增加63.47万元，增长1586.75%，主要原因秀山县石耶镇西大居委会山坪塘维修工程-渝财农〔2022〕162号</w:t>
      </w:r>
      <w:r>
        <w:rPr>
          <w:rFonts w:hint="eastAsia" w:ascii="Times New Roman" w:hAnsi="Times New Roman" w:eastAsia="方正仿宋_GBK" w:cs="Times New Roman"/>
          <w:color w:val="auto"/>
          <w:sz w:val="32"/>
          <w:szCs w:val="32"/>
          <w:highlight w:val="none"/>
          <w:shd w:val="clear" w:color="auto" w:fill="FFFFFF"/>
          <w:lang w:eastAsia="zh-CN"/>
        </w:rPr>
        <w:t>、城市建设配套费安排支出、秀山县石耶镇西大居委会山坪塘维修工程-渝财农〔2022〕147号等项目纳入预算导致2023年度政府性基金预算财政拨款收入较上年增加。</w:t>
      </w:r>
      <w:r>
        <w:rPr>
          <w:rFonts w:hint="default" w:ascii="Times New Roman" w:hAnsi="Times New Roman" w:eastAsia="方正仿宋_GBK" w:cs="Times New Roman"/>
          <w:color w:val="auto"/>
          <w:sz w:val="32"/>
          <w:szCs w:val="32"/>
          <w:highlight w:val="none"/>
          <w:shd w:val="clear" w:color="auto" w:fill="FFFFFF"/>
        </w:rPr>
        <w:t>本年支出</w:t>
      </w:r>
      <w:r>
        <w:rPr>
          <w:rFonts w:hint="default" w:ascii="Times New Roman" w:hAnsi="Times New Roman" w:eastAsia="方正仿宋_GBK" w:cs="Times New Roman"/>
          <w:color w:val="auto"/>
          <w:sz w:val="32"/>
          <w:szCs w:val="32"/>
          <w:highlight w:val="none"/>
        </w:rPr>
        <w:t>67.47</w:t>
      </w:r>
      <w:r>
        <w:rPr>
          <w:rFonts w:hint="default" w:ascii="Times New Roman" w:hAnsi="Times New Roman" w:eastAsia="方正仿宋_GBK" w:cs="Times New Roman"/>
          <w:color w:val="auto"/>
          <w:sz w:val="32"/>
          <w:szCs w:val="32"/>
          <w:highlight w:val="none"/>
          <w:shd w:val="clear" w:color="auto" w:fill="FFFFFF"/>
        </w:rPr>
        <w:t>万元，较上年决算数增加63.47万元，增长1586.75%，主要原因是</w:t>
      </w:r>
      <w:r>
        <w:rPr>
          <w:rFonts w:hint="default" w:ascii="Times New Roman" w:hAnsi="Times New Roman" w:eastAsia="方正仿宋_GBK" w:cs="Times New Roman"/>
          <w:color w:val="auto"/>
          <w:sz w:val="32"/>
          <w:szCs w:val="32"/>
          <w:highlight w:val="none"/>
          <w:shd w:val="clear" w:color="auto" w:fill="FFFFFF"/>
          <w:lang w:eastAsia="zh-CN"/>
        </w:rPr>
        <w:t>秀</w:t>
      </w:r>
      <w:r>
        <w:rPr>
          <w:rFonts w:hint="default" w:ascii="Times New Roman" w:hAnsi="Times New Roman" w:eastAsia="方正仿宋_GBK" w:cs="Times New Roman"/>
          <w:color w:val="auto"/>
          <w:sz w:val="32"/>
          <w:szCs w:val="32"/>
          <w:highlight w:val="none"/>
          <w:shd w:val="clear" w:color="auto" w:fill="FFFFFF"/>
        </w:rPr>
        <w:t>山县石耶镇西大居委会山坪塘维修工程-渝财农〔2022〕162号</w:t>
      </w:r>
      <w:r>
        <w:rPr>
          <w:rFonts w:hint="default" w:ascii="Times New Roman" w:hAnsi="Times New Roman" w:eastAsia="方正仿宋_GBK" w:cs="Times New Roman"/>
          <w:color w:val="auto"/>
          <w:sz w:val="32"/>
          <w:szCs w:val="32"/>
          <w:highlight w:val="none"/>
          <w:shd w:val="clear" w:color="auto" w:fill="FFFFFF"/>
          <w:lang w:eastAsia="zh-CN"/>
        </w:rPr>
        <w:t>、城市建设配套费安排支出、秀山县石耶镇西大居委会山坪塘维修工程-渝财农〔2022〕147号等项目纳入预算导致2023年度政府性基金预算财政拨款支出较上年增加</w:t>
      </w:r>
      <w:r>
        <w:rPr>
          <w:rFonts w:hint="default" w:ascii="Times New Roman" w:hAnsi="Times New Roman" w:eastAsia="方正仿宋_GBK" w:cs="Times New Roman"/>
          <w:color w:val="auto"/>
          <w:sz w:val="32"/>
          <w:szCs w:val="32"/>
          <w:highlight w:val="none"/>
          <w:shd w:val="clear" w:color="auto" w:fill="FFFFFF"/>
        </w:rPr>
        <w:t>。</w:t>
      </w:r>
    </w:p>
    <w:p>
      <w:pPr>
        <w:pStyle w:val="9"/>
        <w:keepNext w:val="0"/>
        <w:keepLines w:val="0"/>
        <w:pageBreakBefore w:val="0"/>
        <w:widowControl/>
        <w:numPr>
          <w:ilvl w:val="0"/>
          <w:numId w:val="1"/>
        </w:numPr>
        <w:shd w:val="clear" w:color="auto" w:fill="FFFFFF"/>
        <w:kinsoku/>
        <w:overflowPunct/>
        <w:topLinePunct w:val="0"/>
        <w:autoSpaceDN/>
        <w:bidi w:val="0"/>
        <w:adjustRightInd/>
        <w:spacing w:before="0" w:beforeAutospacing="0" w:after="0" w:afterAutospacing="0" w:line="560" w:lineRule="exact"/>
        <w:ind w:right="0" w:rightChars="0" w:firstLine="420"/>
        <w:outlineLvl w:val="9"/>
        <w:rPr>
          <w:rStyle w:val="11"/>
          <w:rFonts w:hint="default" w:ascii="方正楷体_GBK" w:hAnsi="方正楷体_GBK" w:eastAsia="方正楷体_GBK" w:cs="方正楷体_GBK"/>
          <w:b w:val="0"/>
          <w:bCs/>
          <w:color w:val="auto"/>
          <w:sz w:val="32"/>
          <w:szCs w:val="32"/>
          <w:highlight w:val="none"/>
          <w:shd w:val="clear" w:color="auto" w:fill="FFFFFF"/>
        </w:rPr>
      </w:pPr>
      <w:r>
        <w:rPr>
          <w:rStyle w:val="11"/>
          <w:rFonts w:hint="default" w:ascii="方正楷体_GBK" w:hAnsi="方正楷体_GBK" w:eastAsia="方正楷体_GBK" w:cs="方正楷体_GBK"/>
          <w:b w:val="0"/>
          <w:bCs/>
          <w:color w:val="auto"/>
          <w:sz w:val="32"/>
          <w:szCs w:val="32"/>
          <w:highlight w:val="none"/>
          <w:shd w:val="clear" w:color="auto" w:fill="FFFFFF"/>
        </w:rPr>
        <w:t>国有资本经营预算财政拨款支出决算情况说明</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Times New Roman" w:hAnsi="Times New Roman" w:eastAsia="方正仿宋_GBK" w:cs="Times New Roman"/>
          <w:color w:val="auto"/>
          <w:sz w:val="32"/>
          <w:szCs w:val="32"/>
          <w:highlight w:val="none"/>
          <w:shd w:val="clear" w:color="auto" w:fill="FFFFFF"/>
          <w:lang w:val="en-US" w:eastAsia="zh-CN"/>
        </w:rPr>
      </w:pPr>
      <w:r>
        <w:rPr>
          <w:rFonts w:hint="eastAsia" w:ascii="Times New Roman" w:hAnsi="Times New Roman" w:eastAsia="方正仿宋_GBK" w:cs="Times New Roman"/>
          <w:color w:val="auto"/>
          <w:sz w:val="32"/>
          <w:szCs w:val="32"/>
          <w:highlight w:val="none"/>
          <w:shd w:val="clear" w:color="auto" w:fill="FFFFFF"/>
          <w:lang w:val="en-US" w:eastAsia="zh-CN"/>
        </w:rPr>
        <w:t>本部门2023年度无国有资本经营预算财政拨款支出。</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11"/>
          <w:rFonts w:hint="default" w:ascii="方正黑体_GBK" w:hAnsi="方正黑体_GBK" w:eastAsia="方正黑体_GBK" w:cs="方正黑体_GBK"/>
          <w:b w:val="0"/>
          <w:bCs/>
          <w:color w:val="auto"/>
          <w:sz w:val="32"/>
          <w:szCs w:val="32"/>
          <w:highlight w:val="none"/>
          <w:shd w:val="clear" w:color="auto" w:fill="FFFFFF"/>
        </w:rPr>
      </w:pPr>
      <w:r>
        <w:rPr>
          <w:rStyle w:val="11"/>
          <w:rFonts w:hint="default" w:ascii="方正黑体_GBK" w:hAnsi="方正黑体_GBK" w:eastAsia="方正黑体_GBK" w:cs="方正黑体_GBK"/>
          <w:b w:val="0"/>
          <w:bCs/>
          <w:color w:val="auto"/>
          <w:sz w:val="32"/>
          <w:szCs w:val="32"/>
          <w:highlight w:val="none"/>
          <w:shd w:val="clear" w:color="auto" w:fill="FFFFFF"/>
        </w:rPr>
        <w:t>三、</w:t>
      </w:r>
      <w:r>
        <w:rPr>
          <w:rStyle w:val="11"/>
          <w:rFonts w:hint="eastAsia" w:ascii="方正黑体_GBK" w:hAnsi="方正黑体_GBK" w:eastAsia="方正黑体_GBK" w:cs="方正黑体_GBK"/>
          <w:b w:val="0"/>
          <w:bCs/>
          <w:color w:val="auto"/>
          <w:sz w:val="32"/>
          <w:szCs w:val="32"/>
          <w:highlight w:val="none"/>
          <w:shd w:val="clear" w:color="auto" w:fill="FFFFFF"/>
          <w:lang w:eastAsia="zh-CN"/>
        </w:rPr>
        <w:t>“</w:t>
      </w:r>
      <w:r>
        <w:rPr>
          <w:rStyle w:val="11"/>
          <w:rFonts w:hint="default" w:ascii="方正黑体_GBK" w:hAnsi="方正黑体_GBK" w:eastAsia="方正黑体_GBK" w:cs="方正黑体_GBK"/>
          <w:b w:val="0"/>
          <w:bCs/>
          <w:color w:val="auto"/>
          <w:sz w:val="32"/>
          <w:szCs w:val="32"/>
          <w:highlight w:val="none"/>
          <w:shd w:val="clear" w:color="auto" w:fill="FFFFFF"/>
        </w:rPr>
        <w:t>三公</w:t>
      </w:r>
      <w:r>
        <w:rPr>
          <w:rStyle w:val="11"/>
          <w:rFonts w:hint="eastAsia" w:ascii="方正黑体_GBK" w:hAnsi="方正黑体_GBK" w:eastAsia="方正黑体_GBK" w:cs="方正黑体_GBK"/>
          <w:b w:val="0"/>
          <w:bCs/>
          <w:color w:val="auto"/>
          <w:sz w:val="32"/>
          <w:szCs w:val="32"/>
          <w:highlight w:val="none"/>
          <w:shd w:val="clear" w:color="auto" w:fill="FFFFFF"/>
          <w:lang w:eastAsia="zh-CN"/>
        </w:rPr>
        <w:t>”</w:t>
      </w:r>
      <w:r>
        <w:rPr>
          <w:rStyle w:val="11"/>
          <w:rFonts w:hint="default" w:ascii="方正黑体_GBK" w:hAnsi="方正黑体_GBK" w:eastAsia="方正黑体_GBK" w:cs="方正黑体_GBK"/>
          <w:b w:val="0"/>
          <w:bCs/>
          <w:color w:val="auto"/>
          <w:sz w:val="32"/>
          <w:szCs w:val="32"/>
          <w:highlight w:val="none"/>
          <w:shd w:val="clear" w:color="auto" w:fill="FFFFFF"/>
        </w:rPr>
        <w:t>经费情况说明</w:t>
      </w:r>
    </w:p>
    <w:p>
      <w:pPr>
        <w:pStyle w:val="14"/>
        <w:keepNext w:val="0"/>
        <w:keepLines w:val="0"/>
        <w:pageBreakBefore w:val="0"/>
        <w:widowControl/>
        <w:kinsoku/>
        <w:overflowPunct/>
        <w:topLinePunct w:val="0"/>
        <w:autoSpaceDE w:val="0"/>
        <w:autoSpaceDN/>
        <w:bidi w:val="0"/>
        <w:adjustRightInd/>
        <w:spacing w:beforeAutospacing="0" w:afterAutospacing="0" w:line="560" w:lineRule="exact"/>
        <w:ind w:right="0" w:rightChars="0" w:firstLine="643"/>
        <w:outlineLvl w:val="9"/>
        <w:rPr>
          <w:rFonts w:hint="default" w:ascii="Times New Roman" w:hAnsi="Times New Roman" w:eastAsia="楷体" w:cs="Times New Roman"/>
          <w:b w:val="0"/>
          <w:bCs/>
          <w:color w:val="auto"/>
          <w:sz w:val="32"/>
          <w:szCs w:val="32"/>
          <w:highlight w:val="none"/>
          <w:shd w:val="clear" w:color="auto" w:fill="FFFFFF"/>
        </w:rPr>
      </w:pPr>
      <w:r>
        <w:rPr>
          <w:rStyle w:val="11"/>
          <w:rFonts w:hint="default" w:ascii="方正楷体_GBK" w:hAnsi="方正楷体_GBK" w:eastAsia="方正楷体_GBK" w:cs="方正楷体_GBK"/>
          <w:b w:val="0"/>
          <w:bCs/>
          <w:color w:val="auto"/>
          <w:sz w:val="32"/>
          <w:szCs w:val="32"/>
          <w:highlight w:val="none"/>
          <w:shd w:val="clear" w:color="auto" w:fill="FFFFFF"/>
          <w:lang w:val="en-US" w:eastAsia="zh-CN" w:bidi="ar-SA"/>
        </w:rPr>
        <w:t>（一）</w:t>
      </w:r>
      <w:r>
        <w:rPr>
          <w:rStyle w:val="11"/>
          <w:rFonts w:hint="eastAsia" w:ascii="方正楷体_GBK" w:hAnsi="方正楷体_GBK" w:eastAsia="方正楷体_GBK" w:cs="方正楷体_GBK"/>
          <w:b w:val="0"/>
          <w:bCs/>
          <w:color w:val="auto"/>
          <w:sz w:val="32"/>
          <w:szCs w:val="32"/>
          <w:highlight w:val="none"/>
          <w:shd w:val="clear" w:color="auto" w:fill="FFFFFF"/>
          <w:lang w:val="en-US" w:eastAsia="zh-CN" w:bidi="ar-SA"/>
        </w:rPr>
        <w:t>“</w:t>
      </w:r>
      <w:r>
        <w:rPr>
          <w:rStyle w:val="11"/>
          <w:rFonts w:hint="default" w:ascii="方正楷体_GBK" w:hAnsi="方正楷体_GBK" w:eastAsia="方正楷体_GBK" w:cs="方正楷体_GBK"/>
          <w:b w:val="0"/>
          <w:bCs/>
          <w:color w:val="auto"/>
          <w:sz w:val="32"/>
          <w:szCs w:val="32"/>
          <w:highlight w:val="none"/>
          <w:shd w:val="clear" w:color="auto" w:fill="FFFFFF"/>
          <w:lang w:val="en-US" w:eastAsia="zh-CN" w:bidi="ar-SA"/>
        </w:rPr>
        <w:t>三公</w:t>
      </w:r>
      <w:r>
        <w:rPr>
          <w:rStyle w:val="11"/>
          <w:rFonts w:hint="eastAsia" w:ascii="方正楷体_GBK" w:hAnsi="方正楷体_GBK" w:eastAsia="方正楷体_GBK" w:cs="方正楷体_GBK"/>
          <w:b w:val="0"/>
          <w:bCs/>
          <w:color w:val="auto"/>
          <w:sz w:val="32"/>
          <w:szCs w:val="32"/>
          <w:highlight w:val="none"/>
          <w:shd w:val="clear" w:color="auto" w:fill="FFFFFF"/>
          <w:lang w:val="en-US" w:eastAsia="zh-CN" w:bidi="ar-SA"/>
        </w:rPr>
        <w:t>”</w:t>
      </w:r>
      <w:r>
        <w:rPr>
          <w:rStyle w:val="11"/>
          <w:rFonts w:hint="default" w:ascii="方正楷体_GBK" w:hAnsi="方正楷体_GBK" w:eastAsia="方正楷体_GBK" w:cs="方正楷体_GBK"/>
          <w:b w:val="0"/>
          <w:bCs/>
          <w:color w:val="auto"/>
          <w:sz w:val="32"/>
          <w:szCs w:val="32"/>
          <w:highlight w:val="none"/>
          <w:shd w:val="clear" w:color="auto" w:fill="FFFFFF"/>
          <w:lang w:val="en-US" w:eastAsia="zh-CN" w:bidi="ar-SA"/>
        </w:rPr>
        <w:t>经费支出总体情况说明</w:t>
      </w:r>
    </w:p>
    <w:p>
      <w:pPr>
        <w:pStyle w:val="9"/>
        <w:keepNext w:val="0"/>
        <w:keepLines w:val="0"/>
        <w:pageBreakBefore w:val="0"/>
        <w:widowControl/>
        <w:kinsoku/>
        <w:overflowPunct/>
        <w:topLinePunct w:val="0"/>
        <w:autoSpaceDN/>
        <w:bidi w:val="0"/>
        <w:adjustRightInd/>
        <w:snapToGrid w:val="0"/>
        <w:spacing w:before="0" w:beforeAutospacing="0" w:after="0" w:afterAutospacing="0" w:line="560" w:lineRule="exact"/>
        <w:ind w:right="0" w:rightChars="0" w:firstLine="640" w:firstLineChars="200"/>
        <w:jc w:val="both"/>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2023年度</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三公</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经费支出共计</w:t>
      </w:r>
      <w:r>
        <w:rPr>
          <w:rFonts w:hint="default" w:ascii="Times New Roman" w:hAnsi="Times New Roman" w:eastAsia="方正仿宋_GBK" w:cs="Times New Roman"/>
          <w:color w:val="auto"/>
          <w:sz w:val="32"/>
          <w:szCs w:val="32"/>
          <w:highlight w:val="none"/>
        </w:rPr>
        <w:t>9.89</w:t>
      </w:r>
      <w:r>
        <w:rPr>
          <w:rFonts w:hint="default" w:ascii="Times New Roman" w:hAnsi="Times New Roman" w:eastAsia="方正仿宋_GBK" w:cs="Times New Roman"/>
          <w:color w:val="auto"/>
          <w:sz w:val="32"/>
          <w:szCs w:val="32"/>
          <w:highlight w:val="none"/>
          <w:shd w:val="clear" w:color="auto" w:fill="FFFFFF"/>
        </w:rPr>
        <w:t>万元，较年初预算数减少0.11万元，下降1.10%，主要原因是</w:t>
      </w:r>
      <w:r>
        <w:rPr>
          <w:rFonts w:hint="eastAsia" w:ascii="Times New Roman" w:hAnsi="Times New Roman" w:eastAsia="方正仿宋_GBK" w:cs="Times New Roman"/>
          <w:color w:val="auto"/>
          <w:sz w:val="32"/>
          <w:szCs w:val="32"/>
          <w:highlight w:val="none"/>
          <w:shd w:val="clear" w:color="auto" w:fill="FFFFFF"/>
          <w:lang w:eastAsia="zh-CN"/>
        </w:rPr>
        <w:t>贯彻落实“过紧日子”要求，</w:t>
      </w:r>
      <w:r>
        <w:rPr>
          <w:rFonts w:hint="default" w:ascii="Times New Roman" w:hAnsi="Times New Roman" w:eastAsia="方正仿宋_GBK" w:cs="Times New Roman"/>
          <w:color w:val="auto"/>
          <w:sz w:val="32"/>
          <w:szCs w:val="32"/>
          <w:highlight w:val="none"/>
          <w:shd w:val="clear" w:color="auto" w:fill="FFFFFF"/>
        </w:rPr>
        <w:t>公务用车运行维护费</w:t>
      </w:r>
      <w:r>
        <w:rPr>
          <w:rFonts w:hint="default" w:ascii="Times New Roman" w:hAnsi="Times New Roman" w:eastAsia="方正仿宋_GBK" w:cs="Times New Roman"/>
          <w:color w:val="auto"/>
          <w:sz w:val="32"/>
          <w:szCs w:val="32"/>
          <w:highlight w:val="none"/>
          <w:shd w:val="clear" w:color="auto" w:fill="FFFFFF"/>
          <w:lang w:eastAsia="zh-CN"/>
        </w:rPr>
        <w:t>实际支出减少</w:t>
      </w:r>
      <w:r>
        <w:rPr>
          <w:rFonts w:hint="default" w:ascii="Times New Roman" w:hAnsi="Times New Roman" w:eastAsia="方正仿宋_GBK" w:cs="Times New Roman"/>
          <w:color w:val="auto"/>
          <w:sz w:val="32"/>
          <w:szCs w:val="32"/>
          <w:highlight w:val="none"/>
          <w:shd w:val="clear" w:color="auto" w:fill="FFFFFF"/>
        </w:rPr>
        <w:t>。较上年支出数增加4.89万元，增长97.80%，主要原</w:t>
      </w:r>
      <w:r>
        <w:rPr>
          <w:rFonts w:hint="eastAsia" w:ascii="Times New Roman" w:hAnsi="Times New Roman" w:eastAsia="方正仿宋_GBK" w:cs="Times New Roman"/>
          <w:color w:val="auto"/>
          <w:sz w:val="32"/>
          <w:szCs w:val="32"/>
          <w:highlight w:val="none"/>
          <w:shd w:val="clear" w:color="auto" w:fill="FFFFFF"/>
          <w:lang w:eastAsia="zh-CN"/>
        </w:rPr>
        <w:t>因</w:t>
      </w:r>
      <w:r>
        <w:rPr>
          <w:rFonts w:hint="default" w:ascii="Times New Roman" w:hAnsi="Times New Roman" w:eastAsia="方正仿宋_GBK" w:cs="Times New Roman"/>
          <w:color w:val="auto"/>
          <w:sz w:val="32"/>
          <w:szCs w:val="32"/>
          <w:highlight w:val="none"/>
          <w:shd w:val="clear" w:color="auto" w:fill="FFFFFF"/>
        </w:rPr>
        <w:t>是</w:t>
      </w:r>
      <w:r>
        <w:rPr>
          <w:rFonts w:hint="eastAsia" w:ascii="Times New Roman" w:hAnsi="Times New Roman" w:eastAsia="方正仿宋_GBK" w:cs="Times New Roman"/>
          <w:color w:val="auto"/>
          <w:sz w:val="32"/>
          <w:szCs w:val="32"/>
          <w:highlight w:val="none"/>
          <w:shd w:val="clear" w:color="auto" w:fill="FFFFFF"/>
          <w:lang w:val="en-US" w:eastAsia="zh-CN"/>
        </w:rPr>
        <w:t>2022年新购入公务用车且纳入公务用车维护预算，导致2023年公务用车运行维护费增长</w:t>
      </w:r>
      <w:r>
        <w:rPr>
          <w:rFonts w:hint="default" w:ascii="Times New Roman" w:hAnsi="Times New Roman" w:eastAsia="方正仿宋_GBK" w:cs="Times New Roman"/>
          <w:color w:val="auto"/>
          <w:sz w:val="32"/>
          <w:szCs w:val="32"/>
          <w:highlight w:val="none"/>
          <w:shd w:val="clear" w:color="auto" w:fill="FFFFFF"/>
        </w:rPr>
        <w:t>。</w:t>
      </w:r>
    </w:p>
    <w:p>
      <w:pPr>
        <w:pStyle w:val="9"/>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right="0" w:rightChars="0" w:firstLine="420"/>
        <w:outlineLvl w:val="9"/>
        <w:rPr>
          <w:rStyle w:val="11"/>
          <w:rFonts w:hint="default" w:ascii="方正楷体_GBK" w:hAnsi="方正楷体_GBK" w:eastAsia="方正楷体_GBK" w:cs="方正楷体_GBK"/>
          <w:b w:val="0"/>
          <w:bCs/>
          <w:color w:val="auto"/>
          <w:sz w:val="32"/>
          <w:szCs w:val="32"/>
          <w:highlight w:val="none"/>
          <w:shd w:val="clear" w:color="auto" w:fill="FFFFFF"/>
        </w:rPr>
      </w:pPr>
      <w:r>
        <w:rPr>
          <w:rStyle w:val="11"/>
          <w:rFonts w:hint="default" w:ascii="方正楷体_GBK" w:hAnsi="方正楷体_GBK" w:eastAsia="方正楷体_GBK" w:cs="方正楷体_GBK"/>
          <w:b w:val="0"/>
          <w:bCs/>
          <w:color w:val="auto"/>
          <w:sz w:val="32"/>
          <w:szCs w:val="32"/>
          <w:highlight w:val="none"/>
          <w:shd w:val="clear" w:color="auto" w:fill="FFFFFF"/>
        </w:rPr>
        <w:t>（二）</w:t>
      </w:r>
      <w:r>
        <w:rPr>
          <w:rStyle w:val="11"/>
          <w:rFonts w:hint="eastAsia" w:ascii="方正楷体_GBK" w:hAnsi="方正楷体_GBK" w:eastAsia="方正楷体_GBK" w:cs="方正楷体_GBK"/>
          <w:b w:val="0"/>
          <w:bCs/>
          <w:color w:val="auto"/>
          <w:sz w:val="32"/>
          <w:szCs w:val="32"/>
          <w:highlight w:val="none"/>
          <w:shd w:val="clear" w:color="auto" w:fill="FFFFFF"/>
          <w:lang w:eastAsia="zh-CN"/>
        </w:rPr>
        <w:t>“</w:t>
      </w:r>
      <w:r>
        <w:rPr>
          <w:rStyle w:val="11"/>
          <w:rFonts w:hint="default" w:ascii="方正楷体_GBK" w:hAnsi="方正楷体_GBK" w:eastAsia="方正楷体_GBK" w:cs="方正楷体_GBK"/>
          <w:b w:val="0"/>
          <w:bCs/>
          <w:color w:val="auto"/>
          <w:sz w:val="32"/>
          <w:szCs w:val="32"/>
          <w:highlight w:val="none"/>
          <w:shd w:val="clear" w:color="auto" w:fill="FFFFFF"/>
        </w:rPr>
        <w:t>三公</w:t>
      </w:r>
      <w:r>
        <w:rPr>
          <w:rStyle w:val="11"/>
          <w:rFonts w:hint="eastAsia" w:ascii="方正楷体_GBK" w:hAnsi="方正楷体_GBK" w:eastAsia="方正楷体_GBK" w:cs="方正楷体_GBK"/>
          <w:b w:val="0"/>
          <w:bCs/>
          <w:color w:val="auto"/>
          <w:sz w:val="32"/>
          <w:szCs w:val="32"/>
          <w:highlight w:val="none"/>
          <w:shd w:val="clear" w:color="auto" w:fill="FFFFFF"/>
          <w:lang w:eastAsia="zh-CN"/>
        </w:rPr>
        <w:t>”</w:t>
      </w:r>
      <w:r>
        <w:rPr>
          <w:rStyle w:val="11"/>
          <w:rFonts w:hint="default" w:ascii="方正楷体_GBK" w:hAnsi="方正楷体_GBK" w:eastAsia="方正楷体_GBK" w:cs="方正楷体_GBK"/>
          <w:b w:val="0"/>
          <w:bCs/>
          <w:color w:val="auto"/>
          <w:sz w:val="32"/>
          <w:szCs w:val="32"/>
          <w:highlight w:val="none"/>
          <w:shd w:val="clear" w:color="auto" w:fill="FFFFFF"/>
        </w:rPr>
        <w:t>经费分项支出情况</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2023年度本部门因公出国（境）费用0.00万元，主要是用于</w:t>
      </w:r>
      <w:r>
        <w:rPr>
          <w:rFonts w:hint="eastAsia" w:ascii="Times New Roman" w:hAnsi="Times New Roman" w:eastAsia="方正仿宋_GBK" w:cs="Times New Roman"/>
          <w:color w:val="auto"/>
          <w:sz w:val="32"/>
          <w:szCs w:val="32"/>
          <w:highlight w:val="none"/>
          <w:shd w:val="clear" w:color="auto" w:fill="FFFFFF"/>
          <w:lang w:eastAsia="zh-CN"/>
        </w:rPr>
        <w:t>单</w:t>
      </w:r>
      <w:r>
        <w:rPr>
          <w:rFonts w:hint="default" w:ascii="Times New Roman" w:hAnsi="Times New Roman" w:eastAsia="方正仿宋_GBK" w:cs="Times New Roman"/>
          <w:color w:val="auto"/>
          <w:sz w:val="32"/>
          <w:szCs w:val="32"/>
          <w:highlight w:val="none"/>
          <w:shd w:val="clear" w:color="auto" w:fill="FFFFFF"/>
        </w:rPr>
        <w:t>位工作人员因公务出国（境）期间产生的差旅费、伙食补助费等。费用支出较年初预算数无增减，主要原因是未产生相关支出。较上年支出数无增减，主要原因是未产生相关支出。</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 公务车购置费0.00万元，主要用于</w:t>
      </w:r>
      <w:r>
        <w:rPr>
          <w:rFonts w:hint="eastAsia" w:ascii="Times New Roman" w:hAnsi="Times New Roman" w:eastAsia="方正仿宋_GBK" w:cs="Times New Roman"/>
          <w:color w:val="auto"/>
          <w:sz w:val="32"/>
          <w:szCs w:val="32"/>
          <w:highlight w:val="none"/>
          <w:shd w:val="clear" w:color="auto" w:fill="FFFFFF"/>
          <w:lang w:eastAsia="zh-CN"/>
        </w:rPr>
        <w:t>单</w:t>
      </w:r>
      <w:r>
        <w:rPr>
          <w:rFonts w:hint="default" w:ascii="Times New Roman" w:hAnsi="Times New Roman" w:eastAsia="方正仿宋_GBK" w:cs="Times New Roman"/>
          <w:color w:val="auto"/>
          <w:sz w:val="32"/>
          <w:szCs w:val="32"/>
          <w:highlight w:val="none"/>
          <w:shd w:val="clear" w:color="auto" w:fill="FFFFFF"/>
        </w:rPr>
        <w:t>位用车的购置费及租用费、燃料费、维修费等。费用支出较年初预算数无增减，主要原因是未有相关支出。较上年支出数无增减，主要原因是未有相关支出。</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公务车运行维护费</w:t>
      </w:r>
      <w:r>
        <w:rPr>
          <w:rFonts w:hint="default" w:ascii="Times New Roman" w:hAnsi="Times New Roman" w:eastAsia="方正仿宋_GBK" w:cs="Times New Roman"/>
          <w:color w:val="auto"/>
          <w:sz w:val="32"/>
          <w:szCs w:val="32"/>
          <w:highlight w:val="none"/>
        </w:rPr>
        <w:t>9.89</w:t>
      </w:r>
      <w:r>
        <w:rPr>
          <w:rFonts w:hint="default" w:ascii="Times New Roman" w:hAnsi="Times New Roman" w:eastAsia="方正仿宋_GBK" w:cs="Times New Roman"/>
          <w:color w:val="auto"/>
          <w:sz w:val="32"/>
          <w:szCs w:val="32"/>
          <w:highlight w:val="none"/>
          <w:shd w:val="clear" w:color="auto" w:fill="FFFFFF"/>
        </w:rPr>
        <w:t>万元，主要用于</w:t>
      </w:r>
      <w:r>
        <w:rPr>
          <w:rFonts w:hint="eastAsia" w:ascii="Times New Roman" w:hAnsi="Times New Roman" w:eastAsia="方正仿宋_GBK" w:cs="Times New Roman"/>
          <w:color w:val="auto"/>
          <w:sz w:val="32"/>
          <w:szCs w:val="32"/>
          <w:highlight w:val="none"/>
          <w:shd w:val="clear" w:color="auto" w:fill="FFFFFF"/>
          <w:lang w:eastAsia="zh-CN"/>
        </w:rPr>
        <w:t>石耶镇人民政府</w:t>
      </w:r>
      <w:r>
        <w:rPr>
          <w:rFonts w:hint="default" w:ascii="Times New Roman" w:hAnsi="Times New Roman" w:eastAsia="方正仿宋_GBK" w:cs="Times New Roman"/>
          <w:color w:val="auto"/>
          <w:sz w:val="32"/>
          <w:szCs w:val="32"/>
          <w:highlight w:val="none"/>
          <w:shd w:val="clear" w:color="auto" w:fill="FFFFFF"/>
          <w:lang w:eastAsia="zh-CN"/>
        </w:rPr>
        <w:t>公务用车洗车、加油、维修、保险费等</w:t>
      </w:r>
      <w:r>
        <w:rPr>
          <w:rFonts w:hint="default" w:ascii="Times New Roman" w:hAnsi="Times New Roman" w:eastAsia="方正仿宋_GBK" w:cs="Times New Roman"/>
          <w:color w:val="auto"/>
          <w:sz w:val="32"/>
          <w:szCs w:val="32"/>
          <w:highlight w:val="none"/>
          <w:shd w:val="clear" w:color="auto" w:fill="FFFFFF"/>
        </w:rPr>
        <w:t>。费用支出较年初预算数减少0.11万元，下降1.10%，主要原因是</w:t>
      </w:r>
      <w:r>
        <w:rPr>
          <w:rFonts w:hint="eastAsia" w:ascii="Times New Roman" w:hAnsi="Times New Roman" w:eastAsia="方正仿宋_GBK" w:cs="Times New Roman"/>
          <w:color w:val="auto"/>
          <w:sz w:val="32"/>
          <w:szCs w:val="32"/>
          <w:highlight w:val="none"/>
          <w:shd w:val="clear" w:color="auto" w:fill="FFFFFF"/>
          <w:lang w:eastAsia="zh-CN"/>
        </w:rPr>
        <w:t>贯彻落实“过紧日子”要求，</w:t>
      </w:r>
      <w:r>
        <w:rPr>
          <w:rFonts w:hint="default" w:ascii="Times New Roman" w:hAnsi="Times New Roman" w:eastAsia="方正仿宋_GBK" w:cs="Times New Roman"/>
          <w:color w:val="auto"/>
          <w:sz w:val="32"/>
          <w:szCs w:val="32"/>
          <w:highlight w:val="none"/>
          <w:shd w:val="clear" w:color="auto" w:fill="FFFFFF"/>
        </w:rPr>
        <w:t>公务用车运行维护费</w:t>
      </w:r>
      <w:r>
        <w:rPr>
          <w:rFonts w:hint="default" w:ascii="Times New Roman" w:hAnsi="Times New Roman" w:eastAsia="方正仿宋_GBK" w:cs="Times New Roman"/>
          <w:color w:val="auto"/>
          <w:sz w:val="32"/>
          <w:szCs w:val="32"/>
          <w:highlight w:val="none"/>
          <w:shd w:val="clear" w:color="auto" w:fill="FFFFFF"/>
          <w:lang w:eastAsia="zh-CN"/>
        </w:rPr>
        <w:t>实际支出减少</w:t>
      </w:r>
      <w:r>
        <w:rPr>
          <w:rFonts w:hint="default" w:ascii="Times New Roman" w:hAnsi="Times New Roman" w:eastAsia="方正仿宋_GBK" w:cs="Times New Roman"/>
          <w:color w:val="auto"/>
          <w:sz w:val="32"/>
          <w:szCs w:val="32"/>
          <w:highlight w:val="none"/>
          <w:shd w:val="clear" w:color="auto" w:fill="FFFFFF"/>
        </w:rPr>
        <w:t>。较上年支出数增加4.89万元，增长97.80%，主要原因是</w:t>
      </w:r>
      <w:r>
        <w:rPr>
          <w:rFonts w:hint="eastAsia" w:ascii="Times New Roman" w:hAnsi="Times New Roman" w:eastAsia="方正仿宋_GBK" w:cs="Times New Roman"/>
          <w:color w:val="auto"/>
          <w:sz w:val="32"/>
          <w:szCs w:val="32"/>
          <w:highlight w:val="none"/>
          <w:shd w:val="clear" w:color="auto" w:fill="FFFFFF"/>
          <w:lang w:val="en-US" w:eastAsia="zh-CN"/>
        </w:rPr>
        <w:t>2022年新购入公务用车且纳入公务用车维护预算，导致2023年公务用车运行维护费增长</w:t>
      </w:r>
      <w:r>
        <w:rPr>
          <w:rFonts w:hint="default" w:ascii="Times New Roman" w:hAnsi="Times New Roman" w:eastAsia="方正仿宋_GBK" w:cs="Times New Roman"/>
          <w:color w:val="auto"/>
          <w:sz w:val="32"/>
          <w:szCs w:val="32"/>
          <w:highlight w:val="none"/>
          <w:shd w:val="clear" w:color="auto" w:fill="FFFFFF"/>
        </w:rPr>
        <w:t>。</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公务接待费0.00万元，主要用于接待单位为执行公务和开展业务需要而进行的合理接待支出。费用支出较年初预算数无增减，主要原因是无相关支出。较上年支出数无增减，主要原因是无相关支出。</w:t>
      </w:r>
    </w:p>
    <w:p>
      <w:pPr>
        <w:pStyle w:val="9"/>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right="0" w:rightChars="0" w:firstLine="420"/>
        <w:outlineLvl w:val="9"/>
        <w:rPr>
          <w:rStyle w:val="11"/>
          <w:rFonts w:hint="default" w:ascii="方正楷体_GBK" w:hAnsi="方正楷体_GBK" w:eastAsia="方正楷体_GBK" w:cs="方正楷体_GBK"/>
          <w:b w:val="0"/>
          <w:bCs/>
          <w:color w:val="auto"/>
          <w:sz w:val="32"/>
          <w:szCs w:val="32"/>
          <w:highlight w:val="none"/>
          <w:shd w:val="clear" w:color="auto" w:fill="FFFFFF"/>
        </w:rPr>
      </w:pPr>
      <w:r>
        <w:rPr>
          <w:rStyle w:val="11"/>
          <w:rFonts w:hint="default" w:ascii="方正楷体_GBK" w:hAnsi="方正楷体_GBK" w:eastAsia="方正楷体_GBK" w:cs="方正楷体_GBK"/>
          <w:b w:val="0"/>
          <w:bCs/>
          <w:color w:val="auto"/>
          <w:sz w:val="32"/>
          <w:szCs w:val="32"/>
          <w:highlight w:val="none"/>
          <w:shd w:val="clear" w:color="auto" w:fill="FFFFFF"/>
        </w:rPr>
        <w:t>（三）</w:t>
      </w:r>
      <w:r>
        <w:rPr>
          <w:rStyle w:val="11"/>
          <w:rFonts w:hint="eastAsia" w:ascii="方正楷体_GBK" w:hAnsi="方正楷体_GBK" w:eastAsia="方正楷体_GBK" w:cs="方正楷体_GBK"/>
          <w:b w:val="0"/>
          <w:bCs/>
          <w:color w:val="auto"/>
          <w:sz w:val="32"/>
          <w:szCs w:val="32"/>
          <w:highlight w:val="none"/>
          <w:shd w:val="clear" w:color="auto" w:fill="FFFFFF"/>
          <w:lang w:eastAsia="zh-CN"/>
        </w:rPr>
        <w:t>“</w:t>
      </w:r>
      <w:r>
        <w:rPr>
          <w:rStyle w:val="11"/>
          <w:rFonts w:hint="default" w:ascii="方正楷体_GBK" w:hAnsi="方正楷体_GBK" w:eastAsia="方正楷体_GBK" w:cs="方正楷体_GBK"/>
          <w:b w:val="0"/>
          <w:bCs/>
          <w:color w:val="auto"/>
          <w:sz w:val="32"/>
          <w:szCs w:val="32"/>
          <w:highlight w:val="none"/>
          <w:shd w:val="clear" w:color="auto" w:fill="FFFFFF"/>
        </w:rPr>
        <w:t>三公</w:t>
      </w:r>
      <w:r>
        <w:rPr>
          <w:rStyle w:val="11"/>
          <w:rFonts w:hint="eastAsia" w:ascii="方正楷体_GBK" w:hAnsi="方正楷体_GBK" w:eastAsia="方正楷体_GBK" w:cs="方正楷体_GBK"/>
          <w:b w:val="0"/>
          <w:bCs/>
          <w:color w:val="auto"/>
          <w:sz w:val="32"/>
          <w:szCs w:val="32"/>
          <w:highlight w:val="none"/>
          <w:shd w:val="clear" w:color="auto" w:fill="FFFFFF"/>
          <w:lang w:eastAsia="zh-CN"/>
        </w:rPr>
        <w:t>”</w:t>
      </w:r>
      <w:r>
        <w:rPr>
          <w:rStyle w:val="11"/>
          <w:rFonts w:hint="default" w:ascii="方正楷体_GBK" w:hAnsi="方正楷体_GBK" w:eastAsia="方正楷体_GBK" w:cs="方正楷体_GBK"/>
          <w:b w:val="0"/>
          <w:bCs/>
          <w:color w:val="auto"/>
          <w:sz w:val="32"/>
          <w:szCs w:val="32"/>
          <w:highlight w:val="none"/>
          <w:shd w:val="clear" w:color="auto" w:fill="FFFFFF"/>
        </w:rPr>
        <w:t>经费实物量情况</w:t>
      </w:r>
    </w:p>
    <w:p>
      <w:pPr>
        <w:pStyle w:val="9"/>
        <w:keepNext w:val="0"/>
        <w:keepLines w:val="0"/>
        <w:pageBreakBefore w:val="0"/>
        <w:widowControl/>
        <w:kinsoku/>
        <w:overflowPunct/>
        <w:topLinePunct w:val="0"/>
        <w:autoSpaceDN/>
        <w:bidi w:val="0"/>
        <w:adjustRightInd/>
        <w:snapToGrid w:val="0"/>
        <w:spacing w:before="0" w:beforeAutospacing="0" w:after="0" w:afterAutospacing="0" w:line="560" w:lineRule="exact"/>
        <w:ind w:right="0" w:rightChars="0" w:firstLine="640" w:firstLineChars="200"/>
        <w:jc w:val="both"/>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2023年度本部门因公出国（境）共计</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个团组，</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人；公务用车购置</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辆，公务车保有量为</w:t>
      </w:r>
      <w:r>
        <w:rPr>
          <w:rFonts w:hint="default" w:ascii="Times New Roman" w:hAnsi="Times New Roman" w:eastAsia="方正仿宋_GBK" w:cs="Times New Roman"/>
          <w:color w:val="auto"/>
          <w:sz w:val="32"/>
          <w:szCs w:val="32"/>
          <w:highlight w:val="none"/>
        </w:rPr>
        <w:t>6</w:t>
      </w:r>
      <w:r>
        <w:rPr>
          <w:rFonts w:hint="default" w:ascii="Times New Roman" w:hAnsi="Times New Roman" w:eastAsia="方正仿宋_GBK" w:cs="Times New Roman"/>
          <w:color w:val="auto"/>
          <w:sz w:val="32"/>
          <w:szCs w:val="32"/>
          <w:highlight w:val="none"/>
          <w:shd w:val="clear" w:color="auto" w:fill="FFFFFF"/>
        </w:rPr>
        <w:t>辆；国内公务接待</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批次</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人，其中：国内外事接待</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批次，</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人；国（境）外公务接待</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批次，</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人。2023年本部门人均接待费</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元，车均购置费</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万元，车均维护费</w:t>
      </w:r>
      <w:r>
        <w:rPr>
          <w:rFonts w:hint="default" w:ascii="Times New Roman" w:hAnsi="Times New Roman" w:eastAsia="方正仿宋_GBK" w:cs="Times New Roman"/>
          <w:color w:val="auto"/>
          <w:sz w:val="32"/>
          <w:szCs w:val="32"/>
          <w:highlight w:val="none"/>
        </w:rPr>
        <w:t>1.65</w:t>
      </w:r>
      <w:r>
        <w:rPr>
          <w:rFonts w:hint="default" w:ascii="Times New Roman" w:hAnsi="Times New Roman" w:eastAsia="方正仿宋_GBK" w:cs="Times New Roman"/>
          <w:color w:val="auto"/>
          <w:sz w:val="32"/>
          <w:szCs w:val="32"/>
          <w:highlight w:val="none"/>
          <w:shd w:val="clear" w:color="auto" w:fill="FFFFFF"/>
        </w:rPr>
        <w:t>万元。</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11"/>
          <w:rFonts w:hint="default" w:ascii="方正黑体_GBK" w:hAnsi="方正黑体_GBK" w:eastAsia="方正黑体_GBK" w:cs="方正黑体_GBK"/>
          <w:b w:val="0"/>
          <w:bCs/>
          <w:color w:val="auto"/>
          <w:sz w:val="32"/>
          <w:szCs w:val="32"/>
          <w:highlight w:val="none"/>
          <w:shd w:val="clear" w:color="auto" w:fill="FFFFFF"/>
        </w:rPr>
      </w:pPr>
      <w:r>
        <w:rPr>
          <w:rStyle w:val="11"/>
          <w:rFonts w:hint="default" w:ascii="方正黑体_GBK" w:hAnsi="方正黑体_GBK" w:eastAsia="方正黑体_GBK" w:cs="方正黑体_GBK"/>
          <w:b w:val="0"/>
          <w:bCs/>
          <w:color w:val="auto"/>
          <w:sz w:val="32"/>
          <w:szCs w:val="32"/>
          <w:highlight w:val="none"/>
          <w:shd w:val="clear" w:color="auto" w:fill="FFFFFF"/>
        </w:rPr>
        <w:t>四、其他需要说明的事项</w:t>
      </w:r>
    </w:p>
    <w:p>
      <w:pPr>
        <w:pStyle w:val="14"/>
        <w:keepNext w:val="0"/>
        <w:keepLines w:val="0"/>
        <w:pageBreakBefore w:val="0"/>
        <w:widowControl/>
        <w:kinsoku/>
        <w:overflowPunct/>
        <w:topLinePunct w:val="0"/>
        <w:autoSpaceDE w:val="0"/>
        <w:autoSpaceDN/>
        <w:bidi w:val="0"/>
        <w:adjustRightInd/>
        <w:spacing w:beforeAutospacing="0" w:afterAutospacing="0" w:line="560" w:lineRule="exact"/>
        <w:ind w:right="0" w:rightChars="0" w:firstLine="643"/>
        <w:outlineLvl w:val="9"/>
        <w:rPr>
          <w:rFonts w:hint="default" w:ascii="Times New Roman" w:hAnsi="Times New Roman" w:eastAsia="楷体" w:cs="Times New Roman"/>
          <w:b w:val="0"/>
          <w:bCs/>
          <w:color w:val="auto"/>
          <w:sz w:val="32"/>
          <w:szCs w:val="32"/>
          <w:highlight w:val="none"/>
          <w:shd w:val="clear" w:color="auto" w:fill="FFFFFF"/>
        </w:rPr>
      </w:pPr>
      <w:r>
        <w:rPr>
          <w:rStyle w:val="11"/>
          <w:rFonts w:hint="default" w:ascii="方正楷体_GBK" w:hAnsi="方正楷体_GBK" w:eastAsia="方正楷体_GBK" w:cs="方正楷体_GBK"/>
          <w:b w:val="0"/>
          <w:bCs/>
          <w:color w:val="auto"/>
          <w:sz w:val="32"/>
          <w:szCs w:val="32"/>
          <w:highlight w:val="none"/>
          <w:shd w:val="clear" w:color="auto" w:fill="FFFFFF"/>
          <w:lang w:val="en-US" w:eastAsia="zh-CN" w:bidi="ar-SA"/>
        </w:rPr>
        <w:t>（一）财政拨款会议费和培训费情况说明</w:t>
      </w:r>
    </w:p>
    <w:p>
      <w:pPr>
        <w:pStyle w:val="9"/>
        <w:keepNext w:val="0"/>
        <w:keepLines w:val="0"/>
        <w:pageBreakBefore w:val="0"/>
        <w:widowControl/>
        <w:kinsoku/>
        <w:overflowPunct/>
        <w:topLinePunct w:val="0"/>
        <w:autoSpaceDN/>
        <w:bidi w:val="0"/>
        <w:adjustRightInd/>
        <w:snapToGrid w:val="0"/>
        <w:spacing w:before="0" w:beforeAutospacing="0" w:after="0" w:afterAutospacing="0" w:line="560" w:lineRule="exact"/>
        <w:ind w:right="0" w:rightChars="0" w:firstLine="640" w:firstLineChars="200"/>
        <w:jc w:val="both"/>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本年度会议费支出0.00万元，较上年决算数无增减，主要原因是无相关支出。本年度培训费支出</w:t>
      </w:r>
      <w:r>
        <w:rPr>
          <w:rFonts w:hint="default" w:ascii="Times New Roman" w:hAnsi="Times New Roman" w:eastAsia="方正仿宋_GBK" w:cs="Times New Roman"/>
          <w:color w:val="auto"/>
          <w:sz w:val="32"/>
          <w:szCs w:val="32"/>
          <w:highlight w:val="none"/>
        </w:rPr>
        <w:t>2.96</w:t>
      </w:r>
      <w:r>
        <w:rPr>
          <w:rFonts w:hint="default" w:ascii="Times New Roman" w:hAnsi="Times New Roman" w:eastAsia="方正仿宋_GBK" w:cs="Times New Roman"/>
          <w:color w:val="auto"/>
          <w:sz w:val="32"/>
          <w:szCs w:val="32"/>
          <w:highlight w:val="none"/>
          <w:shd w:val="clear" w:color="auto" w:fill="FFFFFF"/>
        </w:rPr>
        <w:t>万元，较上年决算数增加0.41万元，增长16.08%，主要原因是</w:t>
      </w:r>
      <w:r>
        <w:rPr>
          <w:rFonts w:hint="default" w:ascii="Times New Roman" w:hAnsi="Times New Roman" w:eastAsia="方正仿宋_GBK" w:cs="Times New Roman"/>
          <w:color w:val="auto"/>
          <w:sz w:val="32"/>
          <w:szCs w:val="32"/>
          <w:highlight w:val="none"/>
          <w:shd w:val="clear" w:color="auto" w:fill="FFFFFF"/>
          <w:lang w:eastAsia="zh-CN"/>
        </w:rPr>
        <w:t>疫情后相关会议培训增加。</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11"/>
          <w:rFonts w:hint="default" w:ascii="方正楷体_GBK" w:hAnsi="方正楷体_GBK" w:eastAsia="方正楷体_GBK" w:cs="方正楷体_GBK"/>
          <w:b w:val="0"/>
          <w:bCs/>
          <w:color w:val="auto"/>
          <w:sz w:val="32"/>
          <w:szCs w:val="32"/>
          <w:highlight w:val="none"/>
          <w:shd w:val="clear" w:color="auto" w:fill="FFFFFF"/>
        </w:rPr>
      </w:pPr>
      <w:r>
        <w:rPr>
          <w:rStyle w:val="11"/>
          <w:rFonts w:hint="default" w:ascii="方正楷体_GBK" w:hAnsi="方正楷体_GBK" w:eastAsia="方正楷体_GBK" w:cs="方正楷体_GBK"/>
          <w:b w:val="0"/>
          <w:bCs/>
          <w:color w:val="auto"/>
          <w:sz w:val="32"/>
          <w:szCs w:val="32"/>
          <w:highlight w:val="none"/>
          <w:shd w:val="clear" w:color="auto" w:fill="FFFFFF"/>
        </w:rPr>
        <w:t>（二）机关运行经费情况说明</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2023年度本部门机关运行经费支出</w:t>
      </w:r>
      <w:r>
        <w:rPr>
          <w:rFonts w:hint="default" w:ascii="Times New Roman" w:hAnsi="Times New Roman" w:eastAsia="方正仿宋_GBK" w:cs="Times New Roman"/>
          <w:color w:val="auto"/>
          <w:sz w:val="32"/>
          <w:szCs w:val="32"/>
          <w:highlight w:val="none"/>
        </w:rPr>
        <w:t>146.33</w:t>
      </w:r>
      <w:r>
        <w:rPr>
          <w:rFonts w:hint="default" w:ascii="Times New Roman" w:hAnsi="Times New Roman" w:eastAsia="方正仿宋_GBK" w:cs="Times New Roman"/>
          <w:color w:val="auto"/>
          <w:sz w:val="32"/>
          <w:szCs w:val="32"/>
          <w:highlight w:val="none"/>
          <w:shd w:val="clear" w:color="auto" w:fill="FFFFFF"/>
        </w:rPr>
        <w:t>万元，机关运行经费主要用于</w:t>
      </w:r>
      <w:r>
        <w:rPr>
          <w:rFonts w:hint="default" w:ascii="Times New Roman" w:hAnsi="Times New Roman" w:eastAsia="方正仿宋_GBK" w:cs="Times New Roman"/>
          <w:kern w:val="0"/>
          <w:sz w:val="32"/>
          <w:szCs w:val="32"/>
          <w:shd w:val="clear" w:color="auto" w:fill="FFFFFF"/>
        </w:rPr>
        <w:t>开支办公及印刷费、邮电费、差旅费、培训费、福利费等</w:t>
      </w:r>
      <w:r>
        <w:rPr>
          <w:rFonts w:hint="default" w:ascii="Times New Roman" w:hAnsi="Times New Roman" w:eastAsia="方正仿宋_GBK" w:cs="Times New Roman"/>
          <w:color w:val="auto"/>
          <w:sz w:val="32"/>
          <w:szCs w:val="32"/>
          <w:highlight w:val="none"/>
          <w:shd w:val="clear" w:color="auto" w:fill="FFFFFF"/>
        </w:rPr>
        <w:t>。机关运行经费较上年支出数减少6.40万元，下降4.19%，主要原因是</w:t>
      </w:r>
      <w:r>
        <w:rPr>
          <w:rFonts w:hint="default" w:ascii="Times New Roman" w:hAnsi="Times New Roman" w:eastAsia="方正仿宋_GBK" w:cs="Times New Roman"/>
          <w:kern w:val="0"/>
          <w:sz w:val="32"/>
          <w:szCs w:val="32"/>
          <w:shd w:val="clear" w:color="auto" w:fill="FFFFFF"/>
        </w:rPr>
        <w:t>政策调整差旅费减少及落实过</w:t>
      </w:r>
      <w:r>
        <w:rPr>
          <w:rFonts w:hint="eastAsia" w:ascii="Times New Roman" w:hAnsi="Times New Roman" w:eastAsia="方正仿宋_GBK" w:cs="Times New Roman"/>
          <w:kern w:val="0"/>
          <w:sz w:val="32"/>
          <w:szCs w:val="32"/>
          <w:shd w:val="clear" w:color="auto" w:fill="FFFFFF"/>
          <w:lang w:eastAsia="zh-CN"/>
        </w:rPr>
        <w:t>“</w:t>
      </w:r>
      <w:r>
        <w:rPr>
          <w:rFonts w:hint="default" w:ascii="Times New Roman" w:hAnsi="Times New Roman" w:eastAsia="方正仿宋_GBK" w:cs="Times New Roman"/>
          <w:kern w:val="0"/>
          <w:sz w:val="32"/>
          <w:szCs w:val="32"/>
          <w:shd w:val="clear" w:color="auto" w:fill="FFFFFF"/>
        </w:rPr>
        <w:t>紧日子</w:t>
      </w:r>
      <w:r>
        <w:rPr>
          <w:rFonts w:hint="eastAsia" w:ascii="Times New Roman" w:hAnsi="Times New Roman" w:eastAsia="方正仿宋_GBK" w:cs="Times New Roman"/>
          <w:kern w:val="0"/>
          <w:sz w:val="32"/>
          <w:szCs w:val="32"/>
          <w:shd w:val="clear" w:color="auto" w:fill="FFFFFF"/>
          <w:lang w:eastAsia="zh-CN"/>
        </w:rPr>
        <w:t>”</w:t>
      </w:r>
      <w:r>
        <w:rPr>
          <w:rFonts w:hint="default" w:ascii="Times New Roman" w:hAnsi="Times New Roman" w:eastAsia="方正仿宋_GBK" w:cs="Times New Roman"/>
          <w:kern w:val="0"/>
          <w:sz w:val="32"/>
          <w:szCs w:val="32"/>
          <w:shd w:val="clear" w:color="auto" w:fill="FFFFFF"/>
        </w:rPr>
        <w:t>要求，缩减机关运行支出。</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11"/>
          <w:rFonts w:hint="default" w:ascii="方正楷体_GBK" w:hAnsi="方正楷体_GBK" w:eastAsia="方正楷体_GBK" w:cs="方正楷体_GBK"/>
          <w:b w:val="0"/>
          <w:bCs/>
          <w:color w:val="auto"/>
          <w:sz w:val="32"/>
          <w:szCs w:val="32"/>
          <w:highlight w:val="none"/>
          <w:shd w:val="clear" w:color="auto" w:fill="FFFFFF"/>
        </w:rPr>
      </w:pPr>
      <w:r>
        <w:rPr>
          <w:rStyle w:val="11"/>
          <w:rFonts w:hint="default" w:ascii="方正楷体_GBK" w:hAnsi="方正楷体_GBK" w:eastAsia="方正楷体_GBK" w:cs="方正楷体_GBK"/>
          <w:b w:val="0"/>
          <w:bCs/>
          <w:color w:val="auto"/>
          <w:sz w:val="32"/>
          <w:szCs w:val="32"/>
          <w:highlight w:val="none"/>
          <w:shd w:val="clear" w:color="auto" w:fill="FFFFFF"/>
        </w:rPr>
        <w:t>（三）国有资产占用情况说明</w:t>
      </w:r>
    </w:p>
    <w:p>
      <w:pPr>
        <w:pStyle w:val="9"/>
        <w:keepNext w:val="0"/>
        <w:keepLines w:val="0"/>
        <w:pageBreakBefore w:val="0"/>
        <w:widowControl/>
        <w:kinsoku/>
        <w:overflowPunct/>
        <w:topLinePunct w:val="0"/>
        <w:autoSpaceDN/>
        <w:bidi w:val="0"/>
        <w:adjustRightInd/>
        <w:snapToGrid w:val="0"/>
        <w:spacing w:before="0" w:beforeAutospacing="0" w:after="0" w:afterAutospacing="0" w:line="560" w:lineRule="exact"/>
        <w:ind w:right="0" w:rightChars="0" w:firstLine="640" w:firstLineChars="200"/>
        <w:jc w:val="both"/>
        <w:outlineLvl w:val="9"/>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截至2023年12月31日，本部门共有车辆</w:t>
      </w:r>
      <w:r>
        <w:rPr>
          <w:rFonts w:hint="default" w:ascii="Times New Roman" w:hAnsi="Times New Roman" w:eastAsia="方正仿宋_GBK" w:cs="Times New Roman"/>
          <w:color w:val="auto"/>
          <w:sz w:val="32"/>
          <w:szCs w:val="32"/>
          <w:highlight w:val="none"/>
        </w:rPr>
        <w:t>6</w:t>
      </w:r>
      <w:r>
        <w:rPr>
          <w:rFonts w:hint="default" w:ascii="Times New Roman" w:hAnsi="Times New Roman" w:eastAsia="方正仿宋_GBK" w:cs="Times New Roman"/>
          <w:color w:val="auto"/>
          <w:sz w:val="32"/>
          <w:szCs w:val="32"/>
          <w:highlight w:val="none"/>
          <w:shd w:val="clear" w:color="auto" w:fill="FFFFFF"/>
        </w:rPr>
        <w:t>辆，其中，副部（省）级及以上领导用车</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辆、主要负责人用车</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辆、机要通信用车</w:t>
      </w:r>
      <w:r>
        <w:rPr>
          <w:rFonts w:hint="default" w:ascii="Times New Roman" w:hAnsi="Times New Roman" w:eastAsia="方正仿宋_GBK" w:cs="Times New Roman"/>
          <w:color w:val="auto"/>
          <w:sz w:val="32"/>
          <w:szCs w:val="32"/>
          <w:highlight w:val="none"/>
        </w:rPr>
        <w:t>1</w:t>
      </w:r>
      <w:r>
        <w:rPr>
          <w:rFonts w:hint="default" w:ascii="Times New Roman" w:hAnsi="Times New Roman" w:eastAsia="方正仿宋_GBK" w:cs="Times New Roman"/>
          <w:color w:val="auto"/>
          <w:sz w:val="32"/>
          <w:szCs w:val="32"/>
          <w:highlight w:val="none"/>
          <w:shd w:val="clear" w:color="auto" w:fill="FFFFFF"/>
        </w:rPr>
        <w:t>辆、应急保障用车</w:t>
      </w:r>
      <w:r>
        <w:rPr>
          <w:rFonts w:hint="default" w:ascii="Times New Roman" w:hAnsi="Times New Roman" w:eastAsia="方正仿宋_GBK" w:cs="Times New Roman"/>
          <w:color w:val="auto"/>
          <w:sz w:val="32"/>
          <w:szCs w:val="32"/>
          <w:highlight w:val="none"/>
        </w:rPr>
        <w:t>2</w:t>
      </w:r>
      <w:r>
        <w:rPr>
          <w:rFonts w:hint="default" w:ascii="Times New Roman" w:hAnsi="Times New Roman" w:eastAsia="方正仿宋_GBK" w:cs="Times New Roman"/>
          <w:color w:val="auto"/>
          <w:sz w:val="32"/>
          <w:szCs w:val="32"/>
          <w:highlight w:val="none"/>
          <w:shd w:val="clear" w:color="auto" w:fill="FFFFFF"/>
        </w:rPr>
        <w:t>辆、执法执勤用车</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辆，特种专业技术用车</w:t>
      </w:r>
      <w:r>
        <w:rPr>
          <w:rFonts w:hint="default" w:ascii="Times New Roman" w:hAnsi="Times New Roman" w:eastAsia="方正仿宋_GBK" w:cs="Times New Roman"/>
          <w:color w:val="auto"/>
          <w:sz w:val="32"/>
          <w:szCs w:val="32"/>
          <w:highlight w:val="none"/>
        </w:rPr>
        <w:t>3</w:t>
      </w:r>
      <w:r>
        <w:rPr>
          <w:rFonts w:hint="default" w:ascii="Times New Roman" w:hAnsi="Times New Roman" w:eastAsia="方正仿宋_GBK" w:cs="Times New Roman"/>
          <w:color w:val="auto"/>
          <w:sz w:val="32"/>
          <w:szCs w:val="32"/>
          <w:highlight w:val="none"/>
          <w:shd w:val="clear" w:color="auto" w:fill="FFFFFF"/>
        </w:rPr>
        <w:t>辆，离退休干部用车</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辆。单价100万元（含）以上专用设备</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台（套）。</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11"/>
          <w:rFonts w:hint="default" w:ascii="方正楷体_GBK" w:hAnsi="方正楷体_GBK" w:eastAsia="方正楷体_GBK" w:cs="方正楷体_GBK"/>
          <w:b w:val="0"/>
          <w:bCs/>
          <w:color w:val="auto"/>
          <w:sz w:val="32"/>
          <w:szCs w:val="32"/>
          <w:highlight w:val="none"/>
          <w:shd w:val="clear" w:color="auto" w:fill="FFFFFF"/>
        </w:rPr>
      </w:pPr>
      <w:r>
        <w:rPr>
          <w:rStyle w:val="11"/>
          <w:rFonts w:hint="default" w:ascii="方正楷体_GBK" w:hAnsi="方正楷体_GBK" w:eastAsia="方正楷体_GBK" w:cs="方正楷体_GBK"/>
          <w:b w:val="0"/>
          <w:bCs/>
          <w:color w:val="auto"/>
          <w:sz w:val="32"/>
          <w:szCs w:val="32"/>
          <w:highlight w:val="none"/>
          <w:shd w:val="clear" w:color="auto" w:fill="FFFFFF"/>
        </w:rPr>
        <w:t>（四）政府采购支出情况说明</w:t>
      </w:r>
    </w:p>
    <w:p>
      <w:pPr>
        <w:pStyle w:val="9"/>
        <w:keepNext w:val="0"/>
        <w:keepLines w:val="0"/>
        <w:pageBreakBefore w:val="0"/>
        <w:widowControl/>
        <w:kinsoku/>
        <w:overflowPunct/>
        <w:topLinePunct w:val="0"/>
        <w:autoSpaceDN/>
        <w:bidi w:val="0"/>
        <w:adjustRightInd/>
        <w:snapToGrid w:val="0"/>
        <w:spacing w:before="0" w:beforeAutospacing="0" w:after="0" w:afterAutospacing="0" w:line="560" w:lineRule="exact"/>
        <w:ind w:right="0" w:rightChars="0" w:firstLine="640" w:firstLineChars="200"/>
        <w:jc w:val="both"/>
        <w:outlineLvl w:val="9"/>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2023年度本部门政府采购支出总额</w:t>
      </w:r>
      <w:r>
        <w:rPr>
          <w:rFonts w:hint="default" w:ascii="Times New Roman" w:hAnsi="Times New Roman" w:eastAsia="方正仿宋_GBK" w:cs="Times New Roman"/>
          <w:color w:val="auto"/>
          <w:sz w:val="32"/>
          <w:szCs w:val="32"/>
          <w:highlight w:val="none"/>
        </w:rPr>
        <w:t>0.41</w:t>
      </w:r>
      <w:r>
        <w:rPr>
          <w:rFonts w:hint="default" w:ascii="Times New Roman" w:hAnsi="Times New Roman" w:eastAsia="方正仿宋_GBK" w:cs="Times New Roman"/>
          <w:color w:val="auto"/>
          <w:sz w:val="32"/>
          <w:szCs w:val="32"/>
          <w:highlight w:val="none"/>
          <w:shd w:val="clear" w:color="auto" w:fill="FFFFFF"/>
        </w:rPr>
        <w:t>万元，其中：政府采购货物支出</w:t>
      </w:r>
      <w:r>
        <w:rPr>
          <w:rFonts w:hint="default" w:ascii="Times New Roman" w:hAnsi="Times New Roman" w:eastAsia="方正仿宋_GBK" w:cs="Times New Roman"/>
          <w:color w:val="auto"/>
          <w:sz w:val="32"/>
          <w:szCs w:val="32"/>
          <w:highlight w:val="none"/>
        </w:rPr>
        <w:t>0.41</w:t>
      </w:r>
      <w:r>
        <w:rPr>
          <w:rFonts w:hint="default" w:ascii="Times New Roman" w:hAnsi="Times New Roman" w:eastAsia="方正仿宋_GBK" w:cs="Times New Roman"/>
          <w:color w:val="auto"/>
          <w:sz w:val="32"/>
          <w:szCs w:val="32"/>
          <w:highlight w:val="none"/>
          <w:shd w:val="clear" w:color="auto" w:fill="FFFFFF"/>
        </w:rPr>
        <w:t>万元、政府采购工程支出</w:t>
      </w:r>
      <w:r>
        <w:rPr>
          <w:rFonts w:hint="default" w:ascii="Times New Roman" w:hAnsi="Times New Roman" w:eastAsia="方正仿宋_GBK" w:cs="Times New Roman"/>
          <w:color w:val="auto"/>
          <w:sz w:val="32"/>
          <w:szCs w:val="32"/>
          <w:highlight w:val="none"/>
        </w:rPr>
        <w:t>0</w:t>
      </w:r>
      <w:r>
        <w:rPr>
          <w:rFonts w:hint="eastAsia" w:ascii="Times New Roman" w:hAnsi="Times New Roman" w:eastAsia="方正仿宋_GBK" w:cs="Times New Roman"/>
          <w:color w:val="auto"/>
          <w:sz w:val="32"/>
          <w:szCs w:val="32"/>
          <w:highlight w:val="none"/>
          <w:lang w:val="en-US" w:eastAsia="zh-CN"/>
        </w:rPr>
        <w:t>.00</w:t>
      </w:r>
      <w:r>
        <w:rPr>
          <w:rFonts w:hint="default" w:ascii="Times New Roman" w:hAnsi="Times New Roman" w:eastAsia="方正仿宋_GBK" w:cs="Times New Roman"/>
          <w:color w:val="auto"/>
          <w:sz w:val="32"/>
          <w:szCs w:val="32"/>
          <w:highlight w:val="none"/>
          <w:shd w:val="clear" w:color="auto" w:fill="FFFFFF"/>
        </w:rPr>
        <w:t>万元、政府采购服务支出</w:t>
      </w:r>
      <w:r>
        <w:rPr>
          <w:rFonts w:hint="default" w:ascii="Times New Roman" w:hAnsi="Times New Roman" w:eastAsia="方正仿宋_GBK" w:cs="Times New Roman"/>
          <w:color w:val="auto"/>
          <w:sz w:val="32"/>
          <w:szCs w:val="32"/>
          <w:highlight w:val="none"/>
        </w:rPr>
        <w:t>0</w:t>
      </w:r>
      <w:r>
        <w:rPr>
          <w:rFonts w:hint="eastAsia" w:ascii="Times New Roman" w:hAnsi="Times New Roman" w:eastAsia="方正仿宋_GBK" w:cs="Times New Roman"/>
          <w:color w:val="auto"/>
          <w:sz w:val="32"/>
          <w:szCs w:val="32"/>
          <w:highlight w:val="none"/>
          <w:lang w:val="en-US" w:eastAsia="zh-CN"/>
        </w:rPr>
        <w:t>.00</w:t>
      </w:r>
      <w:r>
        <w:rPr>
          <w:rFonts w:hint="default" w:ascii="Times New Roman" w:hAnsi="Times New Roman" w:eastAsia="方正仿宋_GBK" w:cs="Times New Roman"/>
          <w:color w:val="auto"/>
          <w:sz w:val="32"/>
          <w:szCs w:val="32"/>
          <w:highlight w:val="none"/>
          <w:shd w:val="clear" w:color="auto" w:fill="FFFFFF"/>
        </w:rPr>
        <w:t>万元。授予中小企业合同金额</w:t>
      </w:r>
      <w:r>
        <w:rPr>
          <w:rFonts w:hint="default" w:ascii="Times New Roman" w:hAnsi="Times New Roman" w:eastAsia="方正仿宋_GBK" w:cs="Times New Roman"/>
          <w:color w:val="auto"/>
          <w:sz w:val="32"/>
          <w:szCs w:val="32"/>
          <w:highlight w:val="none"/>
        </w:rPr>
        <w:t>0.41万</w:t>
      </w:r>
      <w:r>
        <w:rPr>
          <w:rFonts w:hint="default" w:ascii="Times New Roman" w:hAnsi="Times New Roman" w:eastAsia="方正仿宋_GBK" w:cs="Times New Roman"/>
          <w:color w:val="auto"/>
          <w:sz w:val="32"/>
          <w:szCs w:val="32"/>
          <w:highlight w:val="none"/>
          <w:shd w:val="clear" w:color="auto" w:fill="FFFFFF"/>
        </w:rPr>
        <w:t>元，占政府采购支出总额的</w:t>
      </w:r>
      <w:r>
        <w:rPr>
          <w:rFonts w:hint="default" w:ascii="Times New Roman" w:hAnsi="Times New Roman" w:eastAsia="方正仿宋_GBK" w:cs="Times New Roman"/>
          <w:color w:val="auto"/>
          <w:sz w:val="32"/>
          <w:szCs w:val="32"/>
          <w:highlight w:val="none"/>
        </w:rPr>
        <w:t>100</w:t>
      </w:r>
      <w:r>
        <w:rPr>
          <w:rFonts w:hint="eastAsia" w:ascii="Times New Roman" w:hAnsi="Times New Roman" w:eastAsia="方正仿宋_GBK" w:cs="Times New Roman"/>
          <w:color w:val="auto"/>
          <w:sz w:val="32"/>
          <w:szCs w:val="32"/>
          <w:highlight w:val="none"/>
          <w:lang w:val="en-US" w:eastAsia="zh-CN"/>
        </w:rPr>
        <w:t>.00</w:t>
      </w:r>
      <w:r>
        <w:rPr>
          <w:rFonts w:hint="default" w:ascii="Times New Roman" w:hAnsi="Times New Roman" w:eastAsia="方正仿宋_GBK" w:cs="Times New Roman"/>
          <w:color w:val="auto"/>
          <w:sz w:val="32"/>
          <w:szCs w:val="32"/>
          <w:highlight w:val="none"/>
          <w:shd w:val="clear" w:color="auto" w:fill="FFFFFF"/>
        </w:rPr>
        <w:t>%，其中：授予小微企业合同金额</w:t>
      </w:r>
      <w:r>
        <w:rPr>
          <w:rFonts w:hint="default" w:ascii="Times New Roman" w:hAnsi="Times New Roman" w:eastAsia="方正仿宋_GBK" w:cs="Times New Roman"/>
          <w:color w:val="auto"/>
          <w:sz w:val="32"/>
          <w:szCs w:val="32"/>
          <w:highlight w:val="none"/>
        </w:rPr>
        <w:t>0.41</w:t>
      </w:r>
      <w:r>
        <w:rPr>
          <w:rFonts w:hint="default" w:ascii="Times New Roman" w:hAnsi="Times New Roman" w:eastAsia="方正仿宋_GBK" w:cs="Times New Roman"/>
          <w:color w:val="auto"/>
          <w:sz w:val="32"/>
          <w:szCs w:val="32"/>
          <w:highlight w:val="none"/>
          <w:shd w:val="clear" w:color="auto" w:fill="FFFFFF"/>
        </w:rPr>
        <w:t>万元，占政府采购支出总额的</w:t>
      </w:r>
      <w:r>
        <w:rPr>
          <w:rFonts w:hint="default" w:ascii="Times New Roman" w:hAnsi="Times New Roman" w:eastAsia="方正仿宋_GBK" w:cs="Times New Roman"/>
          <w:color w:val="auto"/>
          <w:sz w:val="32"/>
          <w:szCs w:val="32"/>
          <w:highlight w:val="none"/>
        </w:rPr>
        <w:t>100</w:t>
      </w:r>
      <w:r>
        <w:rPr>
          <w:rFonts w:hint="eastAsia" w:ascii="Times New Roman" w:hAnsi="Times New Roman" w:eastAsia="方正仿宋_GBK" w:cs="Times New Roman"/>
          <w:color w:val="auto"/>
          <w:sz w:val="32"/>
          <w:szCs w:val="32"/>
          <w:highlight w:val="none"/>
          <w:lang w:val="en-US" w:eastAsia="zh-CN"/>
        </w:rPr>
        <w:t>.00</w:t>
      </w:r>
      <w:r>
        <w:rPr>
          <w:rFonts w:hint="default" w:ascii="Times New Roman" w:hAnsi="Times New Roman" w:eastAsia="方正仿宋_GBK" w:cs="Times New Roman"/>
          <w:color w:val="auto"/>
          <w:sz w:val="32"/>
          <w:szCs w:val="32"/>
          <w:highlight w:val="none"/>
          <w:shd w:val="clear" w:color="auto" w:fill="FFFFFF"/>
        </w:rPr>
        <w:t>%。主要用于采购采购</w:t>
      </w:r>
      <w:r>
        <w:rPr>
          <w:rFonts w:hint="default" w:ascii="Times New Roman" w:hAnsi="Times New Roman" w:eastAsia="方正仿宋_GBK" w:cs="Times New Roman"/>
          <w:color w:val="auto"/>
          <w:sz w:val="32"/>
          <w:szCs w:val="32"/>
          <w:highlight w:val="none"/>
          <w:shd w:val="clear" w:color="auto" w:fill="FFFFFF"/>
          <w:lang w:eastAsia="zh-CN"/>
        </w:rPr>
        <w:t>联想台式电脑一台</w:t>
      </w:r>
      <w:r>
        <w:rPr>
          <w:rFonts w:hint="default" w:ascii="Times New Roman" w:hAnsi="Times New Roman" w:eastAsia="方正仿宋_GBK" w:cs="Times New Roman"/>
          <w:color w:val="auto"/>
          <w:sz w:val="32"/>
          <w:szCs w:val="32"/>
          <w:highlight w:val="none"/>
          <w:shd w:val="clear" w:color="auto" w:fill="FFFFFF"/>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11"/>
          <w:rFonts w:hint="default" w:ascii="方正黑体_GBK" w:hAnsi="方正黑体_GBK" w:eastAsia="方正黑体_GBK" w:cs="方正黑体_GBK"/>
          <w:b w:val="0"/>
          <w:bCs/>
          <w:color w:val="auto"/>
          <w:sz w:val="32"/>
          <w:szCs w:val="32"/>
          <w:highlight w:val="none"/>
          <w:shd w:val="clear" w:color="auto" w:fill="FFFFFF"/>
        </w:rPr>
      </w:pPr>
      <w:r>
        <w:rPr>
          <w:rStyle w:val="11"/>
          <w:rFonts w:hint="eastAsia" w:ascii="方正黑体_GBK" w:hAnsi="方正黑体_GBK" w:eastAsia="方正黑体_GBK" w:cs="方正黑体_GBK"/>
          <w:b w:val="0"/>
          <w:bCs/>
          <w:color w:val="auto"/>
          <w:sz w:val="32"/>
          <w:szCs w:val="32"/>
          <w:highlight w:val="none"/>
          <w:shd w:val="clear" w:color="auto" w:fill="FFFFFF"/>
          <w:lang w:eastAsia="zh-CN"/>
        </w:rPr>
        <w:t>五、</w:t>
      </w:r>
      <w:r>
        <w:rPr>
          <w:rStyle w:val="11"/>
          <w:rFonts w:hint="default" w:ascii="方正黑体_GBK" w:hAnsi="方正黑体_GBK" w:eastAsia="方正黑体_GBK" w:cs="方正黑体_GBK"/>
          <w:b w:val="0"/>
          <w:bCs/>
          <w:color w:val="auto"/>
          <w:sz w:val="32"/>
          <w:szCs w:val="32"/>
          <w:highlight w:val="none"/>
          <w:shd w:val="clear" w:color="auto" w:fill="FFFFFF"/>
        </w:rPr>
        <w:t>预算绩效管理情况说明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11"/>
          <w:rFonts w:hint="default" w:ascii="方正楷体_GBK" w:hAnsi="方正楷体_GBK" w:eastAsia="方正楷体_GBK" w:cs="方正楷体_GBK"/>
          <w:b w:val="0"/>
          <w:bCs/>
          <w:color w:val="auto"/>
          <w:sz w:val="32"/>
          <w:szCs w:val="32"/>
          <w:highlight w:val="none"/>
          <w:shd w:val="clear" w:color="auto" w:fill="FFFFFF"/>
        </w:rPr>
      </w:pPr>
      <w:r>
        <w:rPr>
          <w:rStyle w:val="11"/>
          <w:rFonts w:hint="default" w:ascii="方正楷体_GBK" w:hAnsi="方正楷体_GBK" w:eastAsia="方正楷体_GBK" w:cs="方正楷体_GBK"/>
          <w:b w:val="0"/>
          <w:bCs/>
          <w:color w:val="auto"/>
          <w:sz w:val="32"/>
          <w:szCs w:val="32"/>
          <w:highlight w:val="none"/>
          <w:shd w:val="clear" w:color="auto" w:fill="FFFFFF"/>
        </w:rPr>
        <w:t>（一）部门自评情况</w:t>
      </w:r>
    </w:p>
    <w:p>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sz w:val="28"/>
          <w:szCs w:val="28"/>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根据预算绩效管理要求，我部门对部门整体和</w:t>
      </w:r>
      <w:r>
        <w:rPr>
          <w:rFonts w:hint="default" w:ascii="Times New Roman" w:hAnsi="Times New Roman" w:eastAsia="方正仿宋_GBK" w:cs="Times New Roman"/>
          <w:color w:val="auto"/>
          <w:sz w:val="32"/>
          <w:szCs w:val="32"/>
          <w:highlight w:val="none"/>
          <w:shd w:val="clear" w:color="auto" w:fill="FFFFFF"/>
          <w:lang w:val="en-US" w:eastAsia="zh-CN"/>
        </w:rPr>
        <w:t>90</w:t>
      </w:r>
      <w:r>
        <w:rPr>
          <w:rFonts w:hint="default" w:ascii="Times New Roman" w:hAnsi="Times New Roman" w:eastAsia="方正仿宋_GBK" w:cs="Times New Roman"/>
          <w:color w:val="auto"/>
          <w:sz w:val="32"/>
          <w:szCs w:val="32"/>
          <w:highlight w:val="none"/>
          <w:shd w:val="clear" w:color="auto" w:fill="FFFFFF"/>
        </w:rPr>
        <w:t>个二级项目开展了绩效自评，涉及财政拨款项目支出资金</w:t>
      </w:r>
      <w:r>
        <w:rPr>
          <w:rFonts w:hint="default" w:ascii="Times New Roman" w:hAnsi="Times New Roman" w:eastAsia="方正仿宋_GBK" w:cs="Times New Roman"/>
          <w:color w:val="auto"/>
          <w:sz w:val="32"/>
          <w:szCs w:val="32"/>
          <w:highlight w:val="none"/>
          <w:shd w:val="clear" w:color="auto" w:fill="FFFFFF"/>
          <w:lang w:val="en-US" w:eastAsia="zh-CN"/>
        </w:rPr>
        <w:t>831.94</w:t>
      </w:r>
      <w:r>
        <w:rPr>
          <w:rFonts w:hint="default" w:ascii="Times New Roman" w:hAnsi="Times New Roman" w:eastAsia="方正仿宋_GBK" w:cs="Times New Roman"/>
          <w:color w:val="auto"/>
          <w:sz w:val="32"/>
          <w:szCs w:val="32"/>
          <w:highlight w:val="none"/>
          <w:shd w:val="clear" w:color="auto" w:fill="FFFFFF"/>
        </w:rPr>
        <w:t>万元</w:t>
      </w:r>
      <w:r>
        <w:rPr>
          <w:rFonts w:hint="default" w:ascii="Times New Roman" w:hAnsi="Times New Roman" w:eastAsia="方正仿宋_GBK" w:cs="Times New Roman"/>
          <w:color w:val="auto"/>
          <w:sz w:val="32"/>
          <w:szCs w:val="32"/>
          <w:highlight w:val="none"/>
          <w:shd w:val="clear" w:color="auto" w:fill="FFFFFF"/>
          <w:lang w:eastAsia="zh-CN"/>
        </w:rPr>
        <w:t>。</w:t>
      </w:r>
    </w:p>
    <w:tbl>
      <w:tblPr>
        <w:tblStyle w:val="13"/>
        <w:tblpPr w:leftFromText="180" w:rightFromText="180" w:vertAnchor="text" w:horzAnchor="page" w:tblpX="1918" w:tblpY="242"/>
        <w:tblOverlap w:val="never"/>
        <w:tblW w:w="85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1245"/>
        <w:gridCol w:w="420"/>
        <w:gridCol w:w="450"/>
        <w:gridCol w:w="240"/>
        <w:gridCol w:w="718"/>
        <w:gridCol w:w="1382"/>
        <w:gridCol w:w="660"/>
        <w:gridCol w:w="960"/>
        <w:gridCol w:w="90"/>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8531" w:type="dxa"/>
            <w:gridSpan w:val="11"/>
          </w:tcPr>
          <w:p>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16"/>
                <w:szCs w:val="16"/>
                <w:highlight w:val="none"/>
                <w:shd w:val="clear" w:color="auto" w:fill="FFFFFF"/>
                <w:vertAlign w:val="baseline"/>
              </w:rPr>
            </w:pPr>
            <w:r>
              <w:rPr>
                <w:rFonts w:hint="default" w:ascii="Times New Roman" w:hAnsi="Times New Roman" w:eastAsia="方正仿宋_GBK" w:cs="Times New Roman"/>
                <w:b/>
                <w:bCs/>
                <w:color w:val="auto"/>
                <w:sz w:val="16"/>
                <w:szCs w:val="16"/>
                <w:highlight w:val="none"/>
                <w:shd w:val="clear" w:color="auto" w:fill="FFFFFF"/>
                <w:vertAlign w:val="baseline"/>
                <w:lang w:eastAsia="zh-CN"/>
              </w:rPr>
              <w:t>秀山土家族苗族自治县石耶镇人民政府</w:t>
            </w:r>
            <w:r>
              <w:rPr>
                <w:rFonts w:hint="default" w:ascii="Times New Roman" w:hAnsi="Times New Roman" w:eastAsia="方正仿宋_GBK" w:cs="Times New Roman"/>
                <w:b/>
                <w:bCs/>
                <w:color w:val="auto"/>
                <w:sz w:val="16"/>
                <w:szCs w:val="16"/>
                <w:highlight w:val="none"/>
                <w:shd w:val="clear" w:color="auto" w:fill="FFFFFF"/>
                <w:vertAlign w:val="baseline"/>
              </w:rPr>
              <w:t>2023年度部门整体绩效自评表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vAlign w:val="top"/>
          </w:tcPr>
          <w:p>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16"/>
                <w:szCs w:val="16"/>
                <w:highlight w:val="none"/>
                <w:shd w:val="clear" w:color="auto" w:fill="FFFFFF"/>
                <w:vertAlign w:val="baseline"/>
                <w:lang w:eastAsia="zh-CN"/>
              </w:rPr>
            </w:pPr>
            <w:r>
              <w:rPr>
                <w:rFonts w:hint="default" w:ascii="Times New Roman" w:hAnsi="Times New Roman" w:eastAsia="方正仿宋_GBK" w:cs="Times New Roman"/>
                <w:color w:val="auto"/>
                <w:sz w:val="16"/>
                <w:szCs w:val="16"/>
                <w:highlight w:val="none"/>
                <w:shd w:val="clear" w:color="auto" w:fill="FFFFFF"/>
                <w:vertAlign w:val="baseline"/>
                <w:lang w:eastAsia="zh-CN"/>
              </w:rPr>
              <w:t>主管部门</w:t>
            </w:r>
          </w:p>
        </w:tc>
        <w:tc>
          <w:tcPr>
            <w:tcW w:w="1245" w:type="dxa"/>
            <w:vAlign w:val="top"/>
          </w:tcPr>
          <w:p>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16"/>
                <w:szCs w:val="16"/>
                <w:highlight w:val="none"/>
                <w:shd w:val="clear" w:color="auto" w:fill="FFFFFF"/>
                <w:vertAlign w:val="baseline"/>
                <w:lang w:eastAsia="zh-CN"/>
              </w:rPr>
            </w:pPr>
            <w:r>
              <w:rPr>
                <w:rFonts w:hint="default" w:ascii="Times New Roman" w:hAnsi="Times New Roman" w:eastAsia="方正仿宋_GBK" w:cs="Times New Roman"/>
                <w:color w:val="auto"/>
                <w:sz w:val="16"/>
                <w:szCs w:val="16"/>
                <w:highlight w:val="none"/>
                <w:shd w:val="clear" w:color="auto" w:fill="FFFFFF"/>
                <w:vertAlign w:val="baseline"/>
                <w:lang w:eastAsia="zh-CN"/>
              </w:rPr>
              <w:t>财政局</w:t>
            </w:r>
          </w:p>
        </w:tc>
        <w:tc>
          <w:tcPr>
            <w:tcW w:w="870" w:type="dxa"/>
            <w:gridSpan w:val="2"/>
            <w:vAlign w:val="top"/>
          </w:tcPr>
          <w:p>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16"/>
                <w:szCs w:val="16"/>
                <w:highlight w:val="none"/>
                <w:shd w:val="clear" w:color="auto" w:fill="FFFFFF"/>
                <w:vertAlign w:val="baseline"/>
                <w:lang w:eastAsia="zh-CN"/>
              </w:rPr>
            </w:pPr>
            <w:r>
              <w:rPr>
                <w:rFonts w:hint="default" w:ascii="Times New Roman" w:hAnsi="Times New Roman" w:eastAsia="方正仿宋_GBK" w:cs="Times New Roman"/>
                <w:color w:val="auto"/>
                <w:sz w:val="16"/>
                <w:szCs w:val="16"/>
                <w:highlight w:val="none"/>
                <w:shd w:val="clear" w:color="auto" w:fill="FFFFFF"/>
                <w:vertAlign w:val="baseline"/>
                <w:lang w:eastAsia="zh-CN"/>
              </w:rPr>
              <w:t>部门编码</w:t>
            </w:r>
          </w:p>
        </w:tc>
        <w:tc>
          <w:tcPr>
            <w:tcW w:w="958" w:type="dxa"/>
            <w:gridSpan w:val="2"/>
            <w:vAlign w:val="top"/>
          </w:tcPr>
          <w:p>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16"/>
                <w:szCs w:val="16"/>
                <w:highlight w:val="none"/>
                <w:shd w:val="clear" w:color="auto" w:fill="FFFFFF"/>
                <w:vertAlign w:val="baseline"/>
              </w:rPr>
            </w:pPr>
          </w:p>
        </w:tc>
        <w:tc>
          <w:tcPr>
            <w:tcW w:w="1382" w:type="dxa"/>
            <w:vAlign w:val="top"/>
          </w:tcPr>
          <w:p>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16"/>
                <w:szCs w:val="16"/>
                <w:highlight w:val="none"/>
                <w:shd w:val="clear" w:color="auto" w:fill="FFFFFF"/>
                <w:vertAlign w:val="baseline"/>
                <w:lang w:eastAsia="zh-CN"/>
              </w:rPr>
            </w:pPr>
            <w:r>
              <w:rPr>
                <w:rFonts w:hint="default" w:ascii="Times New Roman" w:hAnsi="Times New Roman" w:eastAsia="方正仿宋_GBK" w:cs="Times New Roman"/>
                <w:color w:val="auto"/>
                <w:sz w:val="16"/>
                <w:szCs w:val="16"/>
                <w:highlight w:val="none"/>
                <w:shd w:val="clear" w:color="auto" w:fill="FFFFFF"/>
                <w:vertAlign w:val="baseline"/>
                <w:lang w:eastAsia="zh-CN"/>
              </w:rPr>
              <w:t>自评总（分）</w:t>
            </w:r>
          </w:p>
        </w:tc>
        <w:tc>
          <w:tcPr>
            <w:tcW w:w="2885" w:type="dxa"/>
            <w:gridSpan w:val="4"/>
            <w:vAlign w:val="top"/>
          </w:tcPr>
          <w:p>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16"/>
                <w:szCs w:val="16"/>
                <w:highlight w:val="none"/>
                <w:shd w:val="clear" w:color="auto" w:fill="FFFFFF"/>
                <w:vertAlign w:val="baseline"/>
              </w:rPr>
            </w:pPr>
            <w:r>
              <w:rPr>
                <w:rFonts w:hint="default" w:ascii="Times New Roman" w:hAnsi="Times New Roman" w:eastAsia="方正仿宋_GBK" w:cs="Times New Roman"/>
                <w:color w:val="auto"/>
                <w:sz w:val="16"/>
                <w:szCs w:val="16"/>
                <w:highlight w:val="none"/>
                <w:shd w:val="clear" w:color="auto" w:fill="FFFFFF"/>
                <w:vertAlign w:val="baseline"/>
              </w:rPr>
              <w:t>99.45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Pr>
          <w:p>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16"/>
                <w:szCs w:val="16"/>
                <w:highlight w:val="none"/>
                <w:shd w:val="clear" w:color="auto" w:fill="FFFFFF"/>
                <w:vertAlign w:val="baseline"/>
                <w:lang w:eastAsia="zh-CN"/>
              </w:rPr>
            </w:pPr>
            <w:r>
              <w:rPr>
                <w:rFonts w:hint="default" w:ascii="Times New Roman" w:hAnsi="Times New Roman" w:eastAsia="方正仿宋_GBK" w:cs="Times New Roman"/>
                <w:color w:val="auto"/>
                <w:sz w:val="16"/>
                <w:szCs w:val="16"/>
                <w:highlight w:val="none"/>
                <w:shd w:val="clear" w:color="auto" w:fill="FFFFFF"/>
                <w:vertAlign w:val="baseline"/>
                <w:lang w:eastAsia="zh-CN"/>
              </w:rPr>
              <w:t>部门联系人</w:t>
            </w:r>
          </w:p>
        </w:tc>
        <w:tc>
          <w:tcPr>
            <w:tcW w:w="3073" w:type="dxa"/>
            <w:gridSpan w:val="5"/>
          </w:tcPr>
          <w:p>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16"/>
                <w:szCs w:val="16"/>
                <w:highlight w:val="none"/>
                <w:shd w:val="clear" w:color="auto" w:fill="FFFFFF"/>
                <w:vertAlign w:val="baseline"/>
              </w:rPr>
            </w:pPr>
            <w:r>
              <w:rPr>
                <w:rFonts w:hint="default" w:ascii="Times New Roman" w:hAnsi="Times New Roman" w:eastAsia="方正仿宋_GBK" w:cs="Times New Roman"/>
                <w:color w:val="auto"/>
                <w:sz w:val="16"/>
                <w:szCs w:val="16"/>
                <w:highlight w:val="none"/>
                <w:shd w:val="clear" w:color="auto" w:fill="FFFFFF"/>
                <w:vertAlign w:val="baseline"/>
                <w:lang w:eastAsia="zh-CN"/>
              </w:rPr>
              <w:t>肖军胜</w:t>
            </w:r>
          </w:p>
        </w:tc>
        <w:tc>
          <w:tcPr>
            <w:tcW w:w="1382" w:type="dxa"/>
          </w:tcPr>
          <w:p>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16"/>
                <w:szCs w:val="16"/>
                <w:highlight w:val="none"/>
                <w:shd w:val="clear" w:color="auto" w:fill="FFFFFF"/>
                <w:vertAlign w:val="baseline"/>
                <w:lang w:eastAsia="zh-CN"/>
              </w:rPr>
            </w:pPr>
            <w:r>
              <w:rPr>
                <w:rFonts w:hint="default" w:ascii="Times New Roman" w:hAnsi="Times New Roman" w:eastAsia="方正仿宋_GBK" w:cs="Times New Roman"/>
                <w:color w:val="auto"/>
                <w:sz w:val="16"/>
                <w:szCs w:val="16"/>
                <w:highlight w:val="none"/>
                <w:shd w:val="clear" w:color="auto" w:fill="FFFFFF"/>
                <w:vertAlign w:val="baseline"/>
                <w:lang w:eastAsia="zh-CN"/>
              </w:rPr>
              <w:t>联系电话</w:t>
            </w:r>
          </w:p>
        </w:tc>
        <w:tc>
          <w:tcPr>
            <w:tcW w:w="2885" w:type="dxa"/>
            <w:gridSpan w:val="4"/>
          </w:tcPr>
          <w:p>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16"/>
                <w:szCs w:val="16"/>
                <w:highlight w:val="none"/>
                <w:shd w:val="clear" w:color="auto" w:fill="FFFFFF"/>
                <w:vertAlign w:val="baseline"/>
                <w:lang w:val="en-US" w:eastAsia="zh-CN"/>
              </w:rPr>
            </w:pPr>
            <w:r>
              <w:rPr>
                <w:rFonts w:hint="default" w:ascii="Times New Roman" w:hAnsi="Times New Roman" w:eastAsia="方正仿宋_GBK" w:cs="Times New Roman"/>
                <w:color w:val="auto"/>
                <w:sz w:val="16"/>
                <w:szCs w:val="16"/>
                <w:highlight w:val="none"/>
                <w:shd w:val="clear" w:color="auto" w:fill="FFFFFF"/>
                <w:vertAlign w:val="baseline"/>
                <w:lang w:val="en-US" w:eastAsia="zh-CN"/>
              </w:rPr>
              <w:t>023-76624008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Pr>
          <w:p>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16"/>
                <w:szCs w:val="16"/>
                <w:highlight w:val="none"/>
                <w:shd w:val="clear" w:color="auto" w:fill="FFFFFF"/>
                <w:vertAlign w:val="baseline"/>
              </w:rPr>
            </w:pPr>
          </w:p>
        </w:tc>
        <w:tc>
          <w:tcPr>
            <w:tcW w:w="1245" w:type="dxa"/>
          </w:tcPr>
          <w:p>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16"/>
                <w:szCs w:val="16"/>
                <w:highlight w:val="none"/>
                <w:shd w:val="clear" w:color="auto" w:fill="FFFFFF"/>
                <w:vertAlign w:val="baseline"/>
                <w:lang w:eastAsia="zh-CN"/>
              </w:rPr>
            </w:pPr>
            <w:r>
              <w:rPr>
                <w:rFonts w:hint="default" w:ascii="Times New Roman" w:hAnsi="Times New Roman" w:eastAsia="方正仿宋_GBK" w:cs="Times New Roman"/>
                <w:color w:val="auto"/>
                <w:sz w:val="16"/>
                <w:szCs w:val="16"/>
                <w:highlight w:val="none"/>
                <w:shd w:val="clear" w:color="auto" w:fill="FFFFFF"/>
                <w:vertAlign w:val="baseline"/>
                <w:lang w:eastAsia="zh-CN"/>
              </w:rPr>
              <w:t>年初预算数</w:t>
            </w:r>
          </w:p>
        </w:tc>
        <w:tc>
          <w:tcPr>
            <w:tcW w:w="1828" w:type="dxa"/>
            <w:gridSpan w:val="4"/>
          </w:tcPr>
          <w:p>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16"/>
                <w:szCs w:val="16"/>
                <w:highlight w:val="none"/>
                <w:shd w:val="clear" w:color="auto" w:fill="FFFFFF"/>
                <w:vertAlign w:val="baseline"/>
              </w:rPr>
            </w:pPr>
            <w:r>
              <w:rPr>
                <w:rFonts w:hint="default" w:ascii="Times New Roman" w:hAnsi="Times New Roman" w:eastAsia="方正仿宋_GBK" w:cs="Times New Roman"/>
                <w:color w:val="auto"/>
                <w:sz w:val="16"/>
                <w:szCs w:val="16"/>
                <w:highlight w:val="none"/>
                <w:shd w:val="clear" w:color="auto" w:fill="FFFFFF"/>
                <w:vertAlign w:val="baseline"/>
                <w:lang w:eastAsia="zh-CN"/>
              </w:rPr>
              <w:t>全年（调整）预算数</w:t>
            </w:r>
          </w:p>
        </w:tc>
        <w:tc>
          <w:tcPr>
            <w:tcW w:w="1382" w:type="dxa"/>
          </w:tcPr>
          <w:p>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16"/>
                <w:szCs w:val="16"/>
                <w:highlight w:val="none"/>
                <w:shd w:val="clear" w:color="auto" w:fill="FFFFFF"/>
                <w:vertAlign w:val="baseline"/>
                <w:lang w:eastAsia="zh-CN"/>
              </w:rPr>
            </w:pPr>
            <w:r>
              <w:rPr>
                <w:rFonts w:hint="default" w:ascii="Times New Roman" w:hAnsi="Times New Roman" w:eastAsia="方正仿宋_GBK" w:cs="Times New Roman"/>
                <w:color w:val="auto"/>
                <w:sz w:val="16"/>
                <w:szCs w:val="16"/>
                <w:highlight w:val="none"/>
                <w:shd w:val="clear" w:color="auto" w:fill="FFFFFF"/>
                <w:vertAlign w:val="baseline"/>
                <w:lang w:eastAsia="zh-CN"/>
              </w:rPr>
              <w:t>全年执行数</w:t>
            </w:r>
          </w:p>
        </w:tc>
        <w:tc>
          <w:tcPr>
            <w:tcW w:w="660" w:type="dxa"/>
          </w:tcPr>
          <w:p>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16"/>
                <w:szCs w:val="16"/>
                <w:highlight w:val="none"/>
                <w:shd w:val="clear" w:color="auto" w:fill="FFFFFF"/>
                <w:vertAlign w:val="baseline"/>
                <w:lang w:eastAsia="zh-CN"/>
              </w:rPr>
            </w:pPr>
            <w:r>
              <w:rPr>
                <w:rFonts w:hint="default" w:ascii="Times New Roman" w:hAnsi="Times New Roman" w:eastAsia="方正仿宋_GBK" w:cs="Times New Roman"/>
                <w:color w:val="auto"/>
                <w:sz w:val="16"/>
                <w:szCs w:val="16"/>
                <w:highlight w:val="none"/>
                <w:shd w:val="clear" w:color="auto" w:fill="FFFFFF"/>
                <w:vertAlign w:val="baseline"/>
                <w:lang w:eastAsia="zh-CN"/>
              </w:rPr>
              <w:t>执行率</w:t>
            </w:r>
          </w:p>
        </w:tc>
        <w:tc>
          <w:tcPr>
            <w:tcW w:w="960" w:type="dxa"/>
          </w:tcPr>
          <w:p>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16"/>
                <w:szCs w:val="16"/>
                <w:highlight w:val="none"/>
                <w:shd w:val="clear" w:color="auto" w:fill="FFFFFF"/>
                <w:vertAlign w:val="baseline"/>
                <w:lang w:eastAsia="zh-CN"/>
              </w:rPr>
            </w:pPr>
            <w:r>
              <w:rPr>
                <w:rFonts w:hint="default" w:ascii="Times New Roman" w:hAnsi="Times New Roman" w:eastAsia="方正仿宋_GBK" w:cs="Times New Roman"/>
                <w:color w:val="auto"/>
                <w:sz w:val="16"/>
                <w:szCs w:val="16"/>
                <w:highlight w:val="none"/>
                <w:shd w:val="clear" w:color="auto" w:fill="FFFFFF"/>
                <w:vertAlign w:val="baseline"/>
                <w:lang w:eastAsia="zh-CN"/>
              </w:rPr>
              <w:t>执行权重</w:t>
            </w:r>
          </w:p>
        </w:tc>
        <w:tc>
          <w:tcPr>
            <w:tcW w:w="1265" w:type="dxa"/>
            <w:gridSpan w:val="2"/>
          </w:tcPr>
          <w:p>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16"/>
                <w:szCs w:val="16"/>
                <w:highlight w:val="none"/>
                <w:shd w:val="clear" w:color="auto" w:fill="FFFFFF"/>
                <w:vertAlign w:val="baseline"/>
                <w:lang w:eastAsia="zh-CN"/>
              </w:rPr>
            </w:pPr>
            <w:r>
              <w:rPr>
                <w:rFonts w:hint="default" w:ascii="Times New Roman" w:hAnsi="Times New Roman" w:eastAsia="方正仿宋_GBK" w:cs="Times New Roman"/>
                <w:color w:val="auto"/>
                <w:sz w:val="16"/>
                <w:szCs w:val="16"/>
                <w:highlight w:val="none"/>
                <w:shd w:val="clear" w:color="auto" w:fill="FFFFFF"/>
                <w:vertAlign w:val="baseline"/>
                <w:lang w:eastAsia="zh-CN"/>
              </w:rPr>
              <w:t>执行率得（分）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Pr>
          <w:p>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16"/>
                <w:szCs w:val="16"/>
                <w:highlight w:val="none"/>
                <w:shd w:val="clear" w:color="auto" w:fill="FFFFFF"/>
                <w:vertAlign w:val="baseline"/>
                <w:lang w:eastAsia="zh-CN"/>
              </w:rPr>
            </w:pPr>
            <w:r>
              <w:rPr>
                <w:rFonts w:hint="default" w:ascii="Times New Roman" w:hAnsi="Times New Roman" w:eastAsia="方正仿宋_GBK" w:cs="Times New Roman"/>
                <w:color w:val="auto"/>
                <w:sz w:val="16"/>
                <w:szCs w:val="16"/>
                <w:highlight w:val="none"/>
                <w:shd w:val="clear" w:color="auto" w:fill="FFFFFF"/>
                <w:vertAlign w:val="baseline"/>
                <w:lang w:eastAsia="zh-CN"/>
              </w:rPr>
              <w:t>年度总金额</w:t>
            </w:r>
          </w:p>
        </w:tc>
        <w:tc>
          <w:tcPr>
            <w:tcW w:w="1245" w:type="dxa"/>
          </w:tcPr>
          <w:p>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16"/>
                <w:szCs w:val="16"/>
                <w:highlight w:val="none"/>
                <w:shd w:val="clear" w:color="auto" w:fill="FFFFFF"/>
                <w:vertAlign w:val="baseline"/>
              </w:rPr>
            </w:pPr>
            <w:r>
              <w:rPr>
                <w:rFonts w:hint="default" w:ascii="Times New Roman" w:hAnsi="Times New Roman" w:eastAsia="方正仿宋_GBK" w:cs="Times New Roman"/>
                <w:color w:val="auto"/>
                <w:sz w:val="16"/>
                <w:szCs w:val="16"/>
                <w:highlight w:val="none"/>
                <w:shd w:val="clear" w:color="auto" w:fill="FFFFFF"/>
                <w:vertAlign w:val="baseline"/>
              </w:rPr>
              <w:t>17355449.94</w:t>
            </w:r>
          </w:p>
        </w:tc>
        <w:tc>
          <w:tcPr>
            <w:tcW w:w="1828" w:type="dxa"/>
            <w:gridSpan w:val="4"/>
          </w:tcPr>
          <w:p>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16"/>
                <w:szCs w:val="16"/>
                <w:highlight w:val="none"/>
                <w:shd w:val="clear" w:color="auto" w:fill="FFFFFF"/>
                <w:vertAlign w:val="baseline"/>
              </w:rPr>
            </w:pPr>
            <w:r>
              <w:rPr>
                <w:rFonts w:hint="default" w:ascii="Times New Roman" w:hAnsi="Times New Roman" w:eastAsia="方正仿宋_GBK" w:cs="Times New Roman"/>
                <w:color w:val="auto"/>
                <w:sz w:val="16"/>
                <w:szCs w:val="16"/>
                <w:highlight w:val="none"/>
                <w:shd w:val="clear" w:color="auto" w:fill="FFFFFF"/>
                <w:vertAlign w:val="baseline"/>
              </w:rPr>
              <w:t>23275199.52</w:t>
            </w:r>
          </w:p>
        </w:tc>
        <w:tc>
          <w:tcPr>
            <w:tcW w:w="1382" w:type="dxa"/>
          </w:tcPr>
          <w:p>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16"/>
                <w:szCs w:val="16"/>
                <w:highlight w:val="none"/>
                <w:shd w:val="clear" w:color="auto" w:fill="FFFFFF"/>
                <w:vertAlign w:val="baseline"/>
              </w:rPr>
            </w:pPr>
            <w:r>
              <w:rPr>
                <w:rFonts w:hint="default" w:ascii="Times New Roman" w:hAnsi="Times New Roman" w:eastAsia="方正仿宋_GBK" w:cs="Times New Roman"/>
                <w:color w:val="auto"/>
                <w:sz w:val="16"/>
                <w:szCs w:val="16"/>
                <w:highlight w:val="none"/>
                <w:shd w:val="clear" w:color="auto" w:fill="FFFFFF"/>
                <w:vertAlign w:val="baseline"/>
              </w:rPr>
              <w:t>21995838.54</w:t>
            </w:r>
          </w:p>
        </w:tc>
        <w:tc>
          <w:tcPr>
            <w:tcW w:w="660" w:type="dxa"/>
          </w:tcPr>
          <w:p>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16"/>
                <w:szCs w:val="16"/>
                <w:highlight w:val="none"/>
                <w:shd w:val="clear" w:color="auto" w:fill="FFFFFF"/>
                <w:vertAlign w:val="baseline"/>
                <w:lang w:val="en-US" w:eastAsia="zh-CN"/>
              </w:rPr>
            </w:pPr>
            <w:r>
              <w:rPr>
                <w:rFonts w:hint="default" w:ascii="Times New Roman" w:hAnsi="Times New Roman" w:eastAsia="方正仿宋_GBK" w:cs="Times New Roman"/>
                <w:color w:val="auto"/>
                <w:sz w:val="16"/>
                <w:szCs w:val="16"/>
                <w:highlight w:val="none"/>
                <w:shd w:val="clear" w:color="auto" w:fill="FFFFFF"/>
                <w:vertAlign w:val="baseline"/>
                <w:lang w:val="en-US" w:eastAsia="zh-CN"/>
              </w:rPr>
              <w:t>——</w:t>
            </w:r>
          </w:p>
        </w:tc>
        <w:tc>
          <w:tcPr>
            <w:tcW w:w="960" w:type="dxa"/>
          </w:tcPr>
          <w:p>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16"/>
                <w:szCs w:val="16"/>
                <w:highlight w:val="none"/>
                <w:shd w:val="clear" w:color="auto" w:fill="FFFFFF"/>
                <w:vertAlign w:val="baseline"/>
                <w:lang w:val="en-US" w:eastAsia="zh-CN"/>
              </w:rPr>
            </w:pPr>
            <w:r>
              <w:rPr>
                <w:rFonts w:hint="default" w:ascii="Times New Roman" w:hAnsi="Times New Roman" w:eastAsia="方正仿宋_GBK" w:cs="Times New Roman"/>
                <w:color w:val="auto"/>
                <w:sz w:val="16"/>
                <w:szCs w:val="16"/>
                <w:highlight w:val="none"/>
                <w:shd w:val="clear" w:color="auto" w:fill="FFFFFF"/>
                <w:vertAlign w:val="baseline"/>
                <w:lang w:val="en-US" w:eastAsia="zh-CN"/>
              </w:rPr>
              <w:t>——</w:t>
            </w:r>
          </w:p>
        </w:tc>
        <w:tc>
          <w:tcPr>
            <w:tcW w:w="1265" w:type="dxa"/>
            <w:gridSpan w:val="2"/>
          </w:tcPr>
          <w:p>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16"/>
                <w:szCs w:val="16"/>
                <w:highlight w:val="none"/>
                <w:shd w:val="clear" w:color="auto" w:fill="FFFFFF"/>
                <w:vertAlign w:val="baseline"/>
              </w:rPr>
            </w:pPr>
            <w:r>
              <w:rPr>
                <w:rFonts w:hint="default" w:ascii="Times New Roman" w:hAnsi="Times New Roman" w:eastAsia="方正仿宋_GBK" w:cs="Times New Roman"/>
                <w:color w:val="auto"/>
                <w:sz w:val="16"/>
                <w:szCs w:val="16"/>
                <w:highlight w:val="none"/>
                <w:shd w:val="clear" w:color="auto" w:fill="FFFFFF"/>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trPr>
        <w:tc>
          <w:tcPr>
            <w:tcW w:w="1191" w:type="dxa"/>
          </w:tcPr>
          <w:p>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16"/>
                <w:szCs w:val="16"/>
                <w:highlight w:val="none"/>
                <w:shd w:val="clear" w:color="auto" w:fill="FFFFFF"/>
                <w:vertAlign w:val="baseline"/>
                <w:lang w:eastAsia="zh-CN"/>
              </w:rPr>
            </w:pPr>
            <w:r>
              <w:rPr>
                <w:rFonts w:hint="default" w:ascii="Times New Roman" w:hAnsi="Times New Roman" w:eastAsia="方正仿宋_GBK" w:cs="Times New Roman"/>
                <w:color w:val="auto"/>
                <w:sz w:val="16"/>
                <w:szCs w:val="16"/>
                <w:highlight w:val="none"/>
                <w:shd w:val="clear" w:color="auto" w:fill="FFFFFF"/>
                <w:vertAlign w:val="baseline"/>
                <w:lang w:eastAsia="zh-CN"/>
              </w:rPr>
              <w:t>其中：财政拨款</w:t>
            </w:r>
          </w:p>
        </w:tc>
        <w:tc>
          <w:tcPr>
            <w:tcW w:w="1245" w:type="dxa"/>
          </w:tcPr>
          <w:p>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16"/>
                <w:szCs w:val="16"/>
                <w:highlight w:val="none"/>
                <w:shd w:val="clear" w:color="auto" w:fill="FFFFFF"/>
                <w:vertAlign w:val="baseline"/>
              </w:rPr>
            </w:pPr>
            <w:r>
              <w:rPr>
                <w:rFonts w:hint="default" w:ascii="Times New Roman" w:hAnsi="Times New Roman" w:eastAsia="方正仿宋_GBK" w:cs="Times New Roman"/>
                <w:color w:val="auto"/>
                <w:sz w:val="16"/>
                <w:szCs w:val="16"/>
                <w:highlight w:val="none"/>
                <w:shd w:val="clear" w:color="auto" w:fill="FFFFFF"/>
                <w:vertAlign w:val="baseline"/>
              </w:rPr>
              <w:t>17355449.94</w:t>
            </w:r>
          </w:p>
        </w:tc>
        <w:tc>
          <w:tcPr>
            <w:tcW w:w="1828" w:type="dxa"/>
            <w:gridSpan w:val="4"/>
          </w:tcPr>
          <w:p>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16"/>
                <w:szCs w:val="16"/>
                <w:highlight w:val="none"/>
                <w:shd w:val="clear" w:color="auto" w:fill="FFFFFF"/>
                <w:vertAlign w:val="baseline"/>
              </w:rPr>
            </w:pPr>
            <w:r>
              <w:rPr>
                <w:rFonts w:hint="default" w:ascii="Times New Roman" w:hAnsi="Times New Roman" w:eastAsia="方正仿宋_GBK" w:cs="Times New Roman"/>
                <w:color w:val="auto"/>
                <w:sz w:val="16"/>
                <w:szCs w:val="16"/>
                <w:highlight w:val="none"/>
                <w:shd w:val="clear" w:color="auto" w:fill="FFFFFF"/>
                <w:vertAlign w:val="baseline"/>
              </w:rPr>
              <w:t>23275199.52</w:t>
            </w:r>
          </w:p>
        </w:tc>
        <w:tc>
          <w:tcPr>
            <w:tcW w:w="1382" w:type="dxa"/>
          </w:tcPr>
          <w:p>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16"/>
                <w:szCs w:val="16"/>
                <w:highlight w:val="none"/>
                <w:shd w:val="clear" w:color="auto" w:fill="FFFFFF"/>
                <w:vertAlign w:val="baseline"/>
              </w:rPr>
            </w:pPr>
            <w:r>
              <w:rPr>
                <w:rFonts w:hint="default" w:ascii="Times New Roman" w:hAnsi="Times New Roman" w:eastAsia="方正仿宋_GBK" w:cs="Times New Roman"/>
                <w:color w:val="auto"/>
                <w:sz w:val="16"/>
                <w:szCs w:val="16"/>
                <w:highlight w:val="none"/>
                <w:shd w:val="clear" w:color="auto" w:fill="FFFFFF"/>
                <w:vertAlign w:val="baseline"/>
              </w:rPr>
              <w:t>21995838.54</w:t>
            </w:r>
          </w:p>
        </w:tc>
        <w:tc>
          <w:tcPr>
            <w:tcW w:w="660" w:type="dxa"/>
          </w:tcPr>
          <w:p>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16"/>
                <w:szCs w:val="16"/>
                <w:highlight w:val="none"/>
                <w:shd w:val="clear" w:color="auto" w:fill="FFFFFF"/>
                <w:vertAlign w:val="baseline"/>
              </w:rPr>
            </w:pPr>
            <w:r>
              <w:rPr>
                <w:rFonts w:hint="default" w:ascii="Times New Roman" w:hAnsi="Times New Roman" w:eastAsia="方正仿宋_GBK" w:cs="Times New Roman"/>
                <w:color w:val="auto"/>
                <w:sz w:val="16"/>
                <w:szCs w:val="16"/>
                <w:highlight w:val="none"/>
                <w:shd w:val="clear" w:color="auto" w:fill="FFFFFF"/>
                <w:vertAlign w:val="baseline"/>
              </w:rPr>
              <w:t>94.5</w:t>
            </w:r>
          </w:p>
        </w:tc>
        <w:tc>
          <w:tcPr>
            <w:tcW w:w="960" w:type="dxa"/>
          </w:tcPr>
          <w:p>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16"/>
                <w:szCs w:val="16"/>
                <w:highlight w:val="none"/>
                <w:shd w:val="clear" w:color="auto" w:fill="FFFFFF"/>
                <w:vertAlign w:val="baseline"/>
              </w:rPr>
            </w:pPr>
            <w:r>
              <w:rPr>
                <w:rFonts w:hint="default" w:ascii="Times New Roman" w:hAnsi="Times New Roman" w:eastAsia="方正仿宋_GBK" w:cs="Times New Roman"/>
                <w:color w:val="auto"/>
                <w:sz w:val="16"/>
                <w:szCs w:val="16"/>
                <w:highlight w:val="none"/>
                <w:shd w:val="clear" w:color="auto" w:fill="FFFFFF"/>
                <w:vertAlign w:val="baseline"/>
                <w:lang w:val="en-US" w:eastAsia="zh-CN"/>
              </w:rPr>
              <w:t>10</w:t>
            </w:r>
          </w:p>
        </w:tc>
        <w:tc>
          <w:tcPr>
            <w:tcW w:w="1265" w:type="dxa"/>
            <w:gridSpan w:val="2"/>
          </w:tcPr>
          <w:p>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16"/>
                <w:szCs w:val="16"/>
                <w:highlight w:val="none"/>
                <w:shd w:val="clear" w:color="auto" w:fill="FFFFFF"/>
                <w:vertAlign w:val="baseline"/>
              </w:rPr>
            </w:pPr>
            <w:r>
              <w:rPr>
                <w:rFonts w:hint="default" w:ascii="Times New Roman" w:hAnsi="Times New Roman" w:eastAsia="方正仿宋_GBK" w:cs="Times New Roman"/>
                <w:color w:val="auto"/>
                <w:sz w:val="16"/>
                <w:szCs w:val="16"/>
                <w:highlight w:val="none"/>
                <w:shd w:val="clear" w:color="auto" w:fill="FFFFFF"/>
                <w:vertAlign w:val="baseline"/>
              </w:rPr>
              <w:t>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191" w:type="dxa"/>
          </w:tcPr>
          <w:p>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16"/>
                <w:szCs w:val="16"/>
                <w:highlight w:val="none"/>
                <w:shd w:val="clear" w:color="auto" w:fill="FFFFFF"/>
                <w:vertAlign w:val="baseline"/>
                <w:lang w:eastAsia="zh-CN"/>
              </w:rPr>
            </w:pPr>
            <w:r>
              <w:rPr>
                <w:rFonts w:hint="default" w:ascii="Times New Roman" w:hAnsi="Times New Roman" w:eastAsia="方正仿宋_GBK" w:cs="Times New Roman"/>
                <w:color w:val="auto"/>
                <w:sz w:val="16"/>
                <w:szCs w:val="16"/>
                <w:highlight w:val="none"/>
                <w:shd w:val="clear" w:color="auto" w:fill="FFFFFF"/>
                <w:vertAlign w:val="baseline"/>
                <w:lang w:eastAsia="zh-CN"/>
              </w:rPr>
              <w:t>一般公共预算</w:t>
            </w:r>
          </w:p>
        </w:tc>
        <w:tc>
          <w:tcPr>
            <w:tcW w:w="1245" w:type="dxa"/>
          </w:tcPr>
          <w:p>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16"/>
                <w:szCs w:val="16"/>
                <w:highlight w:val="none"/>
                <w:shd w:val="clear" w:color="auto" w:fill="FFFFFF"/>
                <w:vertAlign w:val="baseline"/>
              </w:rPr>
            </w:pPr>
            <w:r>
              <w:rPr>
                <w:rFonts w:hint="default" w:ascii="Times New Roman" w:hAnsi="Times New Roman" w:eastAsia="方正仿宋_GBK" w:cs="Times New Roman"/>
                <w:color w:val="auto"/>
                <w:sz w:val="16"/>
                <w:szCs w:val="16"/>
                <w:highlight w:val="none"/>
                <w:shd w:val="clear" w:color="auto" w:fill="FFFFFF"/>
                <w:vertAlign w:val="baseline"/>
              </w:rPr>
              <w:t>17305449.94</w:t>
            </w:r>
          </w:p>
        </w:tc>
        <w:tc>
          <w:tcPr>
            <w:tcW w:w="1828" w:type="dxa"/>
            <w:gridSpan w:val="4"/>
          </w:tcPr>
          <w:p>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16"/>
                <w:szCs w:val="16"/>
                <w:highlight w:val="none"/>
                <w:shd w:val="clear" w:color="auto" w:fill="FFFFFF"/>
                <w:vertAlign w:val="baseline"/>
              </w:rPr>
            </w:pPr>
            <w:r>
              <w:rPr>
                <w:rFonts w:hint="default" w:ascii="Times New Roman" w:hAnsi="Times New Roman" w:eastAsia="方正仿宋_GBK" w:cs="Times New Roman"/>
                <w:color w:val="auto"/>
                <w:sz w:val="16"/>
                <w:szCs w:val="16"/>
                <w:highlight w:val="none"/>
                <w:shd w:val="clear" w:color="auto" w:fill="FFFFFF"/>
                <w:vertAlign w:val="baseline"/>
              </w:rPr>
              <w:t>23275199.52</w:t>
            </w:r>
          </w:p>
        </w:tc>
        <w:tc>
          <w:tcPr>
            <w:tcW w:w="1382" w:type="dxa"/>
          </w:tcPr>
          <w:p>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16"/>
                <w:szCs w:val="16"/>
                <w:highlight w:val="none"/>
                <w:shd w:val="clear" w:color="auto" w:fill="FFFFFF"/>
                <w:vertAlign w:val="baseline"/>
              </w:rPr>
            </w:pPr>
            <w:r>
              <w:rPr>
                <w:rFonts w:hint="default" w:ascii="Times New Roman" w:hAnsi="Times New Roman" w:eastAsia="方正仿宋_GBK" w:cs="Times New Roman"/>
                <w:color w:val="auto"/>
                <w:sz w:val="16"/>
                <w:szCs w:val="16"/>
                <w:highlight w:val="none"/>
                <w:shd w:val="clear" w:color="auto" w:fill="FFFFFF"/>
                <w:vertAlign w:val="baseline"/>
              </w:rPr>
              <w:t>21995838.54</w:t>
            </w:r>
          </w:p>
        </w:tc>
        <w:tc>
          <w:tcPr>
            <w:tcW w:w="660" w:type="dxa"/>
          </w:tcPr>
          <w:p>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16"/>
                <w:szCs w:val="16"/>
                <w:highlight w:val="none"/>
                <w:shd w:val="clear" w:color="auto" w:fill="FFFFFF"/>
                <w:vertAlign w:val="baseline"/>
              </w:rPr>
            </w:pPr>
            <w:r>
              <w:rPr>
                <w:rFonts w:hint="default" w:ascii="Times New Roman" w:hAnsi="Times New Roman" w:eastAsia="方正仿宋_GBK" w:cs="Times New Roman"/>
                <w:color w:val="auto"/>
                <w:sz w:val="16"/>
                <w:szCs w:val="16"/>
                <w:highlight w:val="none"/>
                <w:shd w:val="clear" w:color="auto" w:fill="FFFFFF"/>
                <w:vertAlign w:val="baseline"/>
                <w:lang w:val="en-US" w:eastAsia="zh-CN"/>
              </w:rPr>
              <w:t>94.5</w:t>
            </w:r>
          </w:p>
        </w:tc>
        <w:tc>
          <w:tcPr>
            <w:tcW w:w="960" w:type="dxa"/>
          </w:tcPr>
          <w:p>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16"/>
                <w:szCs w:val="16"/>
                <w:highlight w:val="none"/>
                <w:shd w:val="clear" w:color="auto" w:fill="FFFFFF"/>
                <w:vertAlign w:val="baseline"/>
                <w:lang w:val="en-US" w:eastAsia="zh-CN"/>
              </w:rPr>
            </w:pPr>
            <w:r>
              <w:rPr>
                <w:rFonts w:hint="default" w:ascii="Times New Roman" w:hAnsi="Times New Roman" w:eastAsia="方正仿宋_GBK" w:cs="Times New Roman"/>
                <w:color w:val="auto"/>
                <w:sz w:val="16"/>
                <w:szCs w:val="16"/>
                <w:highlight w:val="none"/>
                <w:shd w:val="clear" w:color="auto" w:fill="FFFFFF"/>
                <w:vertAlign w:val="baseline"/>
                <w:lang w:val="en-US" w:eastAsia="zh-CN"/>
              </w:rPr>
              <w:t>——</w:t>
            </w:r>
          </w:p>
        </w:tc>
        <w:tc>
          <w:tcPr>
            <w:tcW w:w="1265" w:type="dxa"/>
            <w:gridSpan w:val="2"/>
          </w:tcPr>
          <w:p>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16"/>
                <w:szCs w:val="16"/>
                <w:highlight w:val="none"/>
                <w:shd w:val="clear" w:color="auto" w:fill="FFFFFF"/>
                <w:vertAlign w:val="baseline"/>
              </w:rPr>
            </w:pPr>
            <w:r>
              <w:rPr>
                <w:rFonts w:hint="default" w:ascii="Times New Roman" w:hAnsi="Times New Roman" w:eastAsia="方正仿宋_GBK" w:cs="Times New Roman"/>
                <w:color w:val="auto"/>
                <w:sz w:val="16"/>
                <w:szCs w:val="16"/>
                <w:highlight w:val="none"/>
                <w:shd w:val="clear" w:color="auto" w:fill="FFFFFF"/>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vMerge w:val="restart"/>
            <w:textDirection w:val="tbRlV"/>
          </w:tcPr>
          <w:p>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300" w:lineRule="exact"/>
              <w:ind w:left="113" w:leftChars="0" w:right="113" w:rightChars="0" w:firstLine="0" w:firstLineChars="0"/>
              <w:jc w:val="center"/>
              <w:textAlignment w:val="auto"/>
              <w:outlineLvl w:val="9"/>
              <w:rPr>
                <w:rFonts w:hint="default" w:ascii="Times New Roman" w:hAnsi="Times New Roman" w:eastAsia="方正仿宋_GBK" w:cs="Times New Roman"/>
                <w:color w:val="auto"/>
                <w:sz w:val="16"/>
                <w:szCs w:val="16"/>
                <w:highlight w:val="none"/>
                <w:shd w:val="clear" w:color="auto" w:fill="FFFFFF"/>
                <w:vertAlign w:val="baseline"/>
              </w:rPr>
            </w:pPr>
            <w:r>
              <w:rPr>
                <w:rFonts w:hint="default" w:ascii="Times New Roman" w:hAnsi="Times New Roman" w:eastAsia="方正仿宋_GBK" w:cs="Times New Roman"/>
                <w:color w:val="000000"/>
                <w:kern w:val="0"/>
                <w:sz w:val="16"/>
                <w:szCs w:val="16"/>
                <w:lang w:bidi="ar"/>
              </w:rPr>
              <w:t>当年绩效目标</w:t>
            </w:r>
          </w:p>
        </w:tc>
        <w:tc>
          <w:tcPr>
            <w:tcW w:w="2355" w:type="dxa"/>
            <w:gridSpan w:val="4"/>
          </w:tcPr>
          <w:p>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16"/>
                <w:szCs w:val="16"/>
                <w:highlight w:val="none"/>
                <w:shd w:val="clear" w:color="auto" w:fill="FFFFFF"/>
                <w:vertAlign w:val="baseline"/>
              </w:rPr>
            </w:pPr>
            <w:r>
              <w:rPr>
                <w:rFonts w:hint="default" w:ascii="Times New Roman" w:hAnsi="Times New Roman" w:eastAsia="方正仿宋_GBK" w:cs="Times New Roman"/>
                <w:color w:val="000000"/>
                <w:kern w:val="0"/>
                <w:sz w:val="16"/>
                <w:szCs w:val="16"/>
                <w:lang w:bidi="ar"/>
              </w:rPr>
              <w:t>年初绩效目标</w:t>
            </w:r>
          </w:p>
        </w:tc>
        <w:tc>
          <w:tcPr>
            <w:tcW w:w="2100" w:type="dxa"/>
            <w:gridSpan w:val="2"/>
          </w:tcPr>
          <w:p>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16"/>
                <w:szCs w:val="16"/>
                <w:highlight w:val="none"/>
                <w:shd w:val="clear" w:color="auto" w:fill="FFFFFF"/>
                <w:vertAlign w:val="baseline"/>
              </w:rPr>
            </w:pPr>
            <w:r>
              <w:rPr>
                <w:rFonts w:hint="default" w:ascii="Times New Roman" w:hAnsi="Times New Roman" w:eastAsia="方正仿宋_GBK" w:cs="Times New Roman"/>
                <w:color w:val="000000"/>
                <w:kern w:val="0"/>
                <w:sz w:val="16"/>
                <w:szCs w:val="16"/>
                <w:lang w:bidi="ar"/>
              </w:rPr>
              <w:t>全年（调整）绩效目标</w:t>
            </w:r>
          </w:p>
        </w:tc>
        <w:tc>
          <w:tcPr>
            <w:tcW w:w="2885" w:type="dxa"/>
            <w:gridSpan w:val="4"/>
          </w:tcPr>
          <w:p>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16"/>
                <w:szCs w:val="16"/>
                <w:highlight w:val="none"/>
                <w:shd w:val="clear" w:color="auto" w:fill="FFFFFF"/>
                <w:vertAlign w:val="baseline"/>
              </w:rPr>
            </w:pPr>
            <w:r>
              <w:rPr>
                <w:rFonts w:hint="default" w:ascii="Times New Roman" w:hAnsi="Times New Roman" w:eastAsia="方正仿宋_GBK" w:cs="Times New Roman"/>
                <w:color w:val="000000"/>
                <w:kern w:val="0"/>
                <w:sz w:val="16"/>
                <w:szCs w:val="16"/>
                <w:lang w:bidi="ar"/>
              </w:rPr>
              <w:t>全年目标实际完成情况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vMerge w:val="continue"/>
          </w:tcPr>
          <w:p>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16"/>
                <w:szCs w:val="16"/>
                <w:highlight w:val="none"/>
                <w:shd w:val="clear" w:color="auto" w:fill="FFFFFF"/>
                <w:vertAlign w:val="baseline"/>
              </w:rPr>
            </w:pPr>
          </w:p>
        </w:tc>
        <w:tc>
          <w:tcPr>
            <w:tcW w:w="2355" w:type="dxa"/>
            <w:gridSpan w:val="4"/>
          </w:tcPr>
          <w:p>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16"/>
                <w:szCs w:val="16"/>
                <w:highlight w:val="none"/>
                <w:shd w:val="clear" w:color="auto" w:fill="FFFFFF"/>
                <w:vertAlign w:val="baseline"/>
              </w:rPr>
            </w:pPr>
            <w:r>
              <w:rPr>
                <w:rFonts w:hint="default" w:ascii="Times New Roman" w:hAnsi="Times New Roman" w:eastAsia="方正仿宋_GBK" w:cs="Times New Roman"/>
                <w:color w:val="auto"/>
                <w:sz w:val="16"/>
                <w:szCs w:val="16"/>
                <w:highlight w:val="none"/>
                <w:shd w:val="clear" w:color="auto" w:fill="FFFFFF"/>
                <w:vertAlign w:val="baseline"/>
              </w:rPr>
              <w:t>全面完成上级部门交代的工作；政府公文交换流转准确率达到</w:t>
            </w:r>
            <w:r>
              <w:rPr>
                <w:rFonts w:hint="eastAsia" w:ascii="Times New Roman" w:hAnsi="Times New Roman" w:eastAsia="方正仿宋_GBK" w:cs="Times New Roman"/>
                <w:color w:val="auto"/>
                <w:sz w:val="16"/>
                <w:szCs w:val="16"/>
                <w:highlight w:val="none"/>
                <w:shd w:val="clear" w:color="auto" w:fill="FFFFFF"/>
                <w:vertAlign w:val="baseline"/>
                <w:lang w:eastAsia="zh-CN"/>
              </w:rPr>
              <w:t>100.00%</w:t>
            </w:r>
            <w:r>
              <w:rPr>
                <w:rFonts w:hint="default" w:ascii="Times New Roman" w:hAnsi="Times New Roman" w:eastAsia="方正仿宋_GBK" w:cs="Times New Roman"/>
                <w:color w:val="auto"/>
                <w:sz w:val="16"/>
                <w:szCs w:val="16"/>
                <w:highlight w:val="none"/>
                <w:shd w:val="clear" w:color="auto" w:fill="FFFFFF"/>
                <w:vertAlign w:val="baseline"/>
              </w:rPr>
              <w:t>；保障民政民生工作，民政资金按时发放率达到90%以上；编制执行乡镇年度财政预算，按时公开部门预决算；贯彻落实上级政策和方针，推进乡镇经济发展，保障辖区内平安稳定，使人均收入有所增加，群众对政府工作满意度达到90%以上。</w:t>
            </w:r>
          </w:p>
        </w:tc>
        <w:tc>
          <w:tcPr>
            <w:tcW w:w="2100" w:type="dxa"/>
            <w:gridSpan w:val="2"/>
          </w:tcPr>
          <w:p>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16"/>
                <w:szCs w:val="16"/>
                <w:highlight w:val="none"/>
                <w:shd w:val="clear" w:color="auto" w:fill="FFFFFF"/>
                <w:vertAlign w:val="baseline"/>
              </w:rPr>
            </w:pPr>
            <w:r>
              <w:rPr>
                <w:rFonts w:hint="default" w:ascii="Times New Roman" w:hAnsi="Times New Roman" w:eastAsia="方正仿宋_GBK" w:cs="Times New Roman"/>
                <w:color w:val="auto"/>
                <w:sz w:val="16"/>
                <w:szCs w:val="16"/>
                <w:highlight w:val="none"/>
                <w:shd w:val="clear" w:color="auto" w:fill="FFFFFF"/>
                <w:vertAlign w:val="baseline"/>
              </w:rPr>
              <w:t>全面完成上级部门交代的工作；政府公文交换流转准确率达到</w:t>
            </w:r>
            <w:r>
              <w:rPr>
                <w:rFonts w:hint="eastAsia" w:ascii="Times New Roman" w:hAnsi="Times New Roman" w:eastAsia="方正仿宋_GBK" w:cs="Times New Roman"/>
                <w:color w:val="auto"/>
                <w:sz w:val="16"/>
                <w:szCs w:val="16"/>
                <w:highlight w:val="none"/>
                <w:shd w:val="clear" w:color="auto" w:fill="FFFFFF"/>
                <w:vertAlign w:val="baseline"/>
                <w:lang w:eastAsia="zh-CN"/>
              </w:rPr>
              <w:t>100.00%</w:t>
            </w:r>
            <w:r>
              <w:rPr>
                <w:rFonts w:hint="default" w:ascii="Times New Roman" w:hAnsi="Times New Roman" w:eastAsia="方正仿宋_GBK" w:cs="Times New Roman"/>
                <w:color w:val="auto"/>
                <w:sz w:val="16"/>
                <w:szCs w:val="16"/>
                <w:highlight w:val="none"/>
                <w:shd w:val="clear" w:color="auto" w:fill="FFFFFF"/>
                <w:vertAlign w:val="baseline"/>
              </w:rPr>
              <w:t>；保障民政民生工作，民政资金按时发放率达到90%以上；编制执行乡镇年度财政预算，按时公开部门预决算；贯彻落实上级政策和方针，推进乡镇经济发展，保障辖区内平安稳定，使人均收入有所增加，群众对政府工作满意度达到90%以上。</w:t>
            </w:r>
          </w:p>
        </w:tc>
        <w:tc>
          <w:tcPr>
            <w:tcW w:w="2885" w:type="dxa"/>
            <w:gridSpan w:val="4"/>
          </w:tcPr>
          <w:p>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16"/>
                <w:szCs w:val="16"/>
                <w:highlight w:val="none"/>
                <w:shd w:val="clear" w:color="auto" w:fill="FFFFFF"/>
                <w:vertAlign w:val="baseline"/>
              </w:rPr>
            </w:pPr>
            <w:r>
              <w:rPr>
                <w:rFonts w:hint="default" w:ascii="Times New Roman" w:hAnsi="Times New Roman" w:eastAsia="方正仿宋_GBK" w:cs="Times New Roman"/>
                <w:color w:val="auto"/>
                <w:sz w:val="16"/>
                <w:szCs w:val="16"/>
                <w:highlight w:val="none"/>
                <w:shd w:val="clear" w:color="auto" w:fill="FFFFFF"/>
                <w:vertAlign w:val="baseline"/>
              </w:rPr>
              <w:t>全面完成上级部门交代的工作；政府公文交换流转准确率达到</w:t>
            </w:r>
            <w:r>
              <w:rPr>
                <w:rFonts w:hint="eastAsia" w:ascii="Times New Roman" w:hAnsi="Times New Roman" w:eastAsia="方正仿宋_GBK" w:cs="Times New Roman"/>
                <w:color w:val="auto"/>
                <w:sz w:val="16"/>
                <w:szCs w:val="16"/>
                <w:highlight w:val="none"/>
                <w:shd w:val="clear" w:color="auto" w:fill="FFFFFF"/>
                <w:vertAlign w:val="baseline"/>
                <w:lang w:eastAsia="zh-CN"/>
              </w:rPr>
              <w:t>100.00%</w:t>
            </w:r>
            <w:r>
              <w:rPr>
                <w:rFonts w:hint="default" w:ascii="Times New Roman" w:hAnsi="Times New Roman" w:eastAsia="方正仿宋_GBK" w:cs="Times New Roman"/>
                <w:color w:val="auto"/>
                <w:sz w:val="16"/>
                <w:szCs w:val="16"/>
                <w:highlight w:val="none"/>
                <w:shd w:val="clear" w:color="auto" w:fill="FFFFFF"/>
                <w:vertAlign w:val="baseline"/>
              </w:rPr>
              <w:t>；保障民政民生工作，民政资金按时发放率达到90%以上；编制执行乡镇年度财政预算，按时公开部门预决算；贯彻落实上级政策和方针，推进乡镇经济发展，保障辖区内平安稳定，使人均收入有所增加，群众对政府工作满意度达到90%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vMerge w:val="restart"/>
            <w:textDirection w:val="tbRlV"/>
          </w:tcPr>
          <w:p>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16"/>
                <w:szCs w:val="16"/>
                <w:lang w:bidi="ar"/>
              </w:rPr>
            </w:pPr>
            <w:r>
              <w:rPr>
                <w:rFonts w:hint="default" w:ascii="Times New Roman" w:hAnsi="Times New Roman" w:eastAsia="方正仿宋_GBK" w:cs="Times New Roman"/>
                <w:color w:val="000000"/>
                <w:kern w:val="0"/>
                <w:sz w:val="16"/>
                <w:szCs w:val="16"/>
                <w:lang w:bidi="ar"/>
              </w:rPr>
              <w:t>绩效指</w:t>
            </w:r>
            <w:r>
              <w:rPr>
                <w:rFonts w:hint="eastAsia" w:ascii="Times New Roman" w:hAnsi="Times New Roman" w:eastAsia="方正仿宋_GBK" w:cs="Times New Roman"/>
                <w:color w:val="000000"/>
                <w:kern w:val="0"/>
                <w:sz w:val="16"/>
                <w:szCs w:val="16"/>
                <w:lang w:eastAsia="zh-CN" w:bidi="ar"/>
              </w:rPr>
              <w:t>标</w:t>
            </w:r>
          </w:p>
          <w:p>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16"/>
                <w:szCs w:val="16"/>
                <w:highlight w:val="none"/>
                <w:shd w:val="clear" w:color="auto" w:fill="FFFFFF"/>
                <w:vertAlign w:val="baseline"/>
              </w:rPr>
            </w:pPr>
          </w:p>
        </w:tc>
        <w:tc>
          <w:tcPr>
            <w:tcW w:w="1665" w:type="dxa"/>
            <w:gridSpan w:val="2"/>
            <w:vAlign w:val="center"/>
          </w:tcPr>
          <w:p>
            <w:pPr>
              <w:keepNext w:val="0"/>
              <w:keepLines w:val="0"/>
              <w:pageBreakBefore w:val="0"/>
              <w:widowControl/>
              <w:kinsoku/>
              <w:wordWrap/>
              <w:overflowPunct/>
              <w:topLinePunct w:val="0"/>
              <w:autoSpaceDN/>
              <w:bidi w:val="0"/>
              <w:adjustRightInd/>
              <w:snapToGrid/>
              <w:spacing w:afterAutospacing="0" w:line="3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16"/>
                <w:szCs w:val="16"/>
                <w:highlight w:val="none"/>
                <w:shd w:val="clear" w:color="auto" w:fill="FFFFFF"/>
                <w:vertAlign w:val="baseline"/>
              </w:rPr>
            </w:pPr>
            <w:r>
              <w:rPr>
                <w:rFonts w:hint="default" w:ascii="Times New Roman" w:hAnsi="Times New Roman" w:eastAsia="方正仿宋_GBK" w:cs="Times New Roman"/>
                <w:color w:val="000000"/>
                <w:kern w:val="0"/>
                <w:sz w:val="16"/>
                <w:szCs w:val="16"/>
                <w:lang w:bidi="ar"/>
              </w:rPr>
              <w:t>指标名称</w:t>
            </w:r>
          </w:p>
        </w:tc>
        <w:tc>
          <w:tcPr>
            <w:tcW w:w="690" w:type="dxa"/>
            <w:gridSpan w:val="2"/>
            <w:vAlign w:val="center"/>
          </w:tcPr>
          <w:p>
            <w:pPr>
              <w:keepNext w:val="0"/>
              <w:keepLines w:val="0"/>
              <w:pageBreakBefore w:val="0"/>
              <w:widowControl/>
              <w:kinsoku/>
              <w:wordWrap/>
              <w:overflowPunct/>
              <w:topLinePunct w:val="0"/>
              <w:autoSpaceDN/>
              <w:bidi w:val="0"/>
              <w:adjustRightInd/>
              <w:snapToGrid/>
              <w:spacing w:afterAutospacing="0" w:line="3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16"/>
                <w:szCs w:val="16"/>
                <w:highlight w:val="none"/>
                <w:shd w:val="clear" w:color="auto" w:fill="FFFFFF"/>
                <w:vertAlign w:val="baseline"/>
              </w:rPr>
            </w:pPr>
            <w:r>
              <w:rPr>
                <w:rFonts w:hint="default" w:ascii="Times New Roman" w:hAnsi="Times New Roman" w:eastAsia="方正仿宋_GBK" w:cs="Times New Roman"/>
                <w:color w:val="000000"/>
                <w:kern w:val="0"/>
                <w:sz w:val="16"/>
                <w:szCs w:val="16"/>
                <w:lang w:bidi="ar"/>
              </w:rPr>
              <w:t>计量单位</w:t>
            </w:r>
          </w:p>
        </w:tc>
        <w:tc>
          <w:tcPr>
            <w:tcW w:w="718" w:type="dxa"/>
            <w:vAlign w:val="center"/>
          </w:tcPr>
          <w:p>
            <w:pPr>
              <w:keepNext w:val="0"/>
              <w:keepLines w:val="0"/>
              <w:pageBreakBefore w:val="0"/>
              <w:widowControl/>
              <w:kinsoku/>
              <w:wordWrap/>
              <w:overflowPunct/>
              <w:topLinePunct w:val="0"/>
              <w:autoSpaceDN/>
              <w:bidi w:val="0"/>
              <w:adjustRightInd/>
              <w:snapToGrid/>
              <w:spacing w:afterAutospacing="0" w:line="3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16"/>
                <w:szCs w:val="16"/>
                <w:highlight w:val="none"/>
                <w:shd w:val="clear" w:color="auto" w:fill="FFFFFF"/>
                <w:vertAlign w:val="baseline"/>
              </w:rPr>
            </w:pPr>
            <w:r>
              <w:rPr>
                <w:rFonts w:hint="default" w:ascii="Times New Roman" w:hAnsi="Times New Roman" w:eastAsia="方正仿宋_GBK" w:cs="Times New Roman"/>
                <w:color w:val="000000"/>
                <w:kern w:val="0"/>
                <w:sz w:val="16"/>
                <w:szCs w:val="16"/>
                <w:lang w:bidi="ar"/>
              </w:rPr>
              <w:t>指标性质</w:t>
            </w:r>
          </w:p>
        </w:tc>
        <w:tc>
          <w:tcPr>
            <w:tcW w:w="1382" w:type="dxa"/>
            <w:vAlign w:val="center"/>
          </w:tcPr>
          <w:p>
            <w:pPr>
              <w:keepNext w:val="0"/>
              <w:keepLines w:val="0"/>
              <w:pageBreakBefore w:val="0"/>
              <w:widowControl/>
              <w:kinsoku/>
              <w:wordWrap/>
              <w:overflowPunct/>
              <w:topLinePunct w:val="0"/>
              <w:autoSpaceDN/>
              <w:bidi w:val="0"/>
              <w:adjustRightInd/>
              <w:snapToGrid/>
              <w:spacing w:afterAutospacing="0" w:line="3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16"/>
                <w:szCs w:val="16"/>
                <w:highlight w:val="none"/>
                <w:shd w:val="clear" w:color="auto" w:fill="FFFFFF"/>
                <w:vertAlign w:val="baseline"/>
              </w:rPr>
            </w:pPr>
            <w:r>
              <w:rPr>
                <w:rFonts w:hint="default" w:ascii="Times New Roman" w:hAnsi="Times New Roman" w:eastAsia="方正仿宋_GBK" w:cs="Times New Roman"/>
                <w:color w:val="000000"/>
                <w:kern w:val="0"/>
                <w:sz w:val="16"/>
                <w:szCs w:val="16"/>
                <w:lang w:bidi="ar"/>
              </w:rPr>
              <w:t>指标值</w:t>
            </w:r>
          </w:p>
        </w:tc>
        <w:tc>
          <w:tcPr>
            <w:tcW w:w="660" w:type="dxa"/>
            <w:vAlign w:val="center"/>
          </w:tcPr>
          <w:p>
            <w:pPr>
              <w:keepNext w:val="0"/>
              <w:keepLines w:val="0"/>
              <w:pageBreakBefore w:val="0"/>
              <w:widowControl/>
              <w:kinsoku/>
              <w:wordWrap/>
              <w:overflowPunct/>
              <w:topLinePunct w:val="0"/>
              <w:autoSpaceDN/>
              <w:bidi w:val="0"/>
              <w:adjustRightInd/>
              <w:snapToGrid/>
              <w:spacing w:afterAutospacing="0" w:line="3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16"/>
                <w:szCs w:val="16"/>
                <w:highlight w:val="none"/>
                <w:shd w:val="clear" w:color="auto" w:fill="FFFFFF"/>
                <w:vertAlign w:val="baseline"/>
              </w:rPr>
            </w:pPr>
            <w:r>
              <w:rPr>
                <w:rFonts w:hint="default" w:ascii="Times New Roman" w:hAnsi="Times New Roman" w:eastAsia="方正仿宋_GBK" w:cs="Times New Roman"/>
                <w:color w:val="000000"/>
                <w:kern w:val="0"/>
                <w:sz w:val="16"/>
                <w:szCs w:val="16"/>
                <w:lang w:bidi="ar"/>
              </w:rPr>
              <w:t>指标权重</w:t>
            </w:r>
          </w:p>
        </w:tc>
        <w:tc>
          <w:tcPr>
            <w:tcW w:w="1050" w:type="dxa"/>
            <w:gridSpan w:val="2"/>
            <w:vAlign w:val="center"/>
          </w:tcPr>
          <w:p>
            <w:pPr>
              <w:keepNext w:val="0"/>
              <w:keepLines w:val="0"/>
              <w:pageBreakBefore w:val="0"/>
              <w:widowControl/>
              <w:kinsoku/>
              <w:wordWrap/>
              <w:overflowPunct/>
              <w:topLinePunct w:val="0"/>
              <w:autoSpaceDN/>
              <w:bidi w:val="0"/>
              <w:adjustRightInd/>
              <w:snapToGrid/>
              <w:spacing w:afterAutospacing="0" w:line="3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16"/>
                <w:szCs w:val="16"/>
                <w:highlight w:val="none"/>
                <w:shd w:val="clear" w:color="auto" w:fill="FFFFFF"/>
                <w:vertAlign w:val="baseline"/>
              </w:rPr>
            </w:pPr>
            <w:r>
              <w:rPr>
                <w:rFonts w:hint="default" w:ascii="Times New Roman" w:hAnsi="Times New Roman" w:eastAsia="方正仿宋_GBK" w:cs="Times New Roman"/>
                <w:color w:val="000000"/>
                <w:kern w:val="0"/>
                <w:sz w:val="16"/>
                <w:szCs w:val="16"/>
                <w:lang w:bidi="ar"/>
              </w:rPr>
              <w:t>全年完成值</w:t>
            </w:r>
          </w:p>
        </w:tc>
        <w:tc>
          <w:tcPr>
            <w:tcW w:w="1175" w:type="dxa"/>
            <w:vAlign w:val="center"/>
          </w:tcPr>
          <w:p>
            <w:pPr>
              <w:keepNext w:val="0"/>
              <w:keepLines w:val="0"/>
              <w:pageBreakBefore w:val="0"/>
              <w:widowControl/>
              <w:kinsoku/>
              <w:wordWrap/>
              <w:overflowPunct/>
              <w:topLinePunct w:val="0"/>
              <w:autoSpaceDN/>
              <w:bidi w:val="0"/>
              <w:adjustRightInd/>
              <w:snapToGrid/>
              <w:spacing w:afterAutospacing="0" w:line="3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16"/>
                <w:szCs w:val="16"/>
                <w:highlight w:val="none"/>
                <w:shd w:val="clear" w:color="auto" w:fill="FFFFFF"/>
                <w:vertAlign w:val="baseline"/>
              </w:rPr>
            </w:pPr>
            <w:r>
              <w:rPr>
                <w:rFonts w:hint="default" w:ascii="Times New Roman" w:hAnsi="Times New Roman" w:eastAsia="方正仿宋_GBK" w:cs="Times New Roman"/>
                <w:color w:val="000000"/>
                <w:kern w:val="0"/>
                <w:sz w:val="16"/>
                <w:szCs w:val="16"/>
                <w:lang w:bidi="ar"/>
              </w:rPr>
              <w:t>指标得分（分）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vMerge w:val="continue"/>
          </w:tcPr>
          <w:p>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16"/>
                <w:szCs w:val="16"/>
                <w:highlight w:val="none"/>
                <w:shd w:val="clear" w:color="auto" w:fill="FFFFFF"/>
                <w:vertAlign w:val="baseline"/>
              </w:rPr>
            </w:pPr>
          </w:p>
        </w:tc>
        <w:tc>
          <w:tcPr>
            <w:tcW w:w="1665" w:type="dxa"/>
            <w:gridSpan w:val="2"/>
            <w:vAlign w:val="center"/>
          </w:tcPr>
          <w:p>
            <w:pPr>
              <w:keepNext w:val="0"/>
              <w:keepLines w:val="0"/>
              <w:pageBreakBefore w:val="0"/>
              <w:widowControl/>
              <w:suppressLineNumbers w:val="0"/>
              <w:kinsoku/>
              <w:wordWrap/>
              <w:overflowPunct/>
              <w:topLinePunct w:val="0"/>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color w:val="auto"/>
                <w:sz w:val="16"/>
                <w:szCs w:val="16"/>
                <w:highlight w:val="none"/>
                <w:shd w:val="clear" w:color="auto" w:fill="FFFFFF"/>
                <w:vertAlign w:val="baseline"/>
              </w:rPr>
            </w:pPr>
            <w:r>
              <w:rPr>
                <w:rFonts w:hint="default" w:ascii="Times New Roman" w:hAnsi="Times New Roman" w:eastAsia="方正仿宋_GBK" w:cs="Times New Roman"/>
                <w:i w:val="0"/>
                <w:color w:val="000000"/>
                <w:kern w:val="0"/>
                <w:sz w:val="16"/>
                <w:szCs w:val="16"/>
                <w:u w:val="none"/>
                <w:lang w:val="en-US" w:eastAsia="zh-CN" w:bidi="ar"/>
              </w:rPr>
              <w:t>全年预算支出执行率</w:t>
            </w:r>
          </w:p>
        </w:tc>
        <w:tc>
          <w:tcPr>
            <w:tcW w:w="690" w:type="dxa"/>
            <w:gridSpan w:val="2"/>
            <w:vAlign w:val="center"/>
          </w:tcPr>
          <w:p>
            <w:pPr>
              <w:keepNext w:val="0"/>
              <w:keepLines w:val="0"/>
              <w:pageBreakBefore w:val="0"/>
              <w:widowControl/>
              <w:suppressLineNumbers w:val="0"/>
              <w:kinsoku/>
              <w:wordWrap/>
              <w:overflowPunct/>
              <w:topLinePunct w:val="0"/>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color w:val="auto"/>
                <w:sz w:val="16"/>
                <w:szCs w:val="16"/>
                <w:highlight w:val="none"/>
                <w:shd w:val="clear" w:color="auto" w:fill="FFFFFF"/>
                <w:vertAlign w:val="baseline"/>
              </w:rPr>
            </w:pPr>
            <w:r>
              <w:rPr>
                <w:rFonts w:hint="default" w:ascii="Times New Roman" w:hAnsi="Times New Roman" w:eastAsia="方正仿宋_GBK" w:cs="Times New Roman"/>
                <w:i w:val="0"/>
                <w:color w:val="000000"/>
                <w:kern w:val="0"/>
                <w:sz w:val="16"/>
                <w:szCs w:val="16"/>
                <w:u w:val="none"/>
                <w:lang w:val="en-US" w:eastAsia="zh-CN" w:bidi="ar"/>
              </w:rPr>
              <w:t>%</w:t>
            </w:r>
          </w:p>
        </w:tc>
        <w:tc>
          <w:tcPr>
            <w:tcW w:w="718" w:type="dxa"/>
            <w:vAlign w:val="center"/>
          </w:tcPr>
          <w:p>
            <w:pPr>
              <w:keepNext w:val="0"/>
              <w:keepLines w:val="0"/>
              <w:pageBreakBefore w:val="0"/>
              <w:widowControl/>
              <w:suppressLineNumbers w:val="0"/>
              <w:kinsoku/>
              <w:wordWrap/>
              <w:overflowPunct/>
              <w:topLinePunct w:val="0"/>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color w:val="auto"/>
                <w:sz w:val="16"/>
                <w:szCs w:val="16"/>
                <w:highlight w:val="none"/>
                <w:shd w:val="clear" w:color="auto" w:fill="FFFFFF"/>
                <w:vertAlign w:val="baseline"/>
              </w:rPr>
            </w:pPr>
            <w:r>
              <w:rPr>
                <w:rFonts w:hint="default" w:ascii="Times New Roman" w:hAnsi="Times New Roman" w:eastAsia="方正仿宋_GBK" w:cs="Times New Roman"/>
                <w:i w:val="0"/>
                <w:color w:val="000000"/>
                <w:kern w:val="0"/>
                <w:sz w:val="16"/>
                <w:szCs w:val="16"/>
                <w:u w:val="none"/>
                <w:lang w:val="en-US" w:eastAsia="zh-CN" w:bidi="ar"/>
              </w:rPr>
              <w:t>≥</w:t>
            </w:r>
          </w:p>
        </w:tc>
        <w:tc>
          <w:tcPr>
            <w:tcW w:w="1382" w:type="dxa"/>
            <w:vAlign w:val="center"/>
          </w:tcPr>
          <w:p>
            <w:pPr>
              <w:keepNext w:val="0"/>
              <w:keepLines w:val="0"/>
              <w:pageBreakBefore w:val="0"/>
              <w:widowControl/>
              <w:suppressLineNumbers w:val="0"/>
              <w:kinsoku/>
              <w:wordWrap/>
              <w:overflowPunct/>
              <w:topLinePunct w:val="0"/>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color w:val="auto"/>
                <w:sz w:val="16"/>
                <w:szCs w:val="16"/>
                <w:highlight w:val="none"/>
                <w:shd w:val="clear" w:color="auto" w:fill="FFFFFF"/>
                <w:vertAlign w:val="baseline"/>
              </w:rPr>
            </w:pPr>
            <w:r>
              <w:rPr>
                <w:rFonts w:hint="default" w:ascii="Times New Roman" w:hAnsi="Times New Roman" w:eastAsia="方正仿宋_GBK" w:cs="Times New Roman"/>
                <w:i w:val="0"/>
                <w:color w:val="000000"/>
                <w:kern w:val="0"/>
                <w:sz w:val="16"/>
                <w:szCs w:val="16"/>
                <w:u w:val="none"/>
                <w:lang w:val="en-US" w:eastAsia="zh-CN" w:bidi="ar"/>
              </w:rPr>
              <w:t>90</w:t>
            </w:r>
          </w:p>
        </w:tc>
        <w:tc>
          <w:tcPr>
            <w:tcW w:w="660" w:type="dxa"/>
            <w:vAlign w:val="center"/>
          </w:tcPr>
          <w:p>
            <w:pPr>
              <w:keepNext w:val="0"/>
              <w:keepLines w:val="0"/>
              <w:pageBreakBefore w:val="0"/>
              <w:widowControl/>
              <w:suppressLineNumbers w:val="0"/>
              <w:kinsoku/>
              <w:wordWrap/>
              <w:overflowPunct/>
              <w:topLinePunct w:val="0"/>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color w:val="auto"/>
                <w:sz w:val="16"/>
                <w:szCs w:val="16"/>
                <w:highlight w:val="none"/>
                <w:shd w:val="clear" w:color="auto" w:fill="FFFFFF"/>
                <w:vertAlign w:val="baseline"/>
              </w:rPr>
            </w:pPr>
            <w:r>
              <w:rPr>
                <w:rFonts w:hint="default" w:ascii="Times New Roman" w:hAnsi="Times New Roman" w:eastAsia="方正仿宋_GBK" w:cs="Times New Roman"/>
                <w:i w:val="0"/>
                <w:color w:val="000000"/>
                <w:kern w:val="0"/>
                <w:sz w:val="16"/>
                <w:szCs w:val="16"/>
                <w:u w:val="none"/>
                <w:lang w:val="en-US" w:eastAsia="zh-CN" w:bidi="ar"/>
              </w:rPr>
              <w:t>20</w:t>
            </w:r>
          </w:p>
        </w:tc>
        <w:tc>
          <w:tcPr>
            <w:tcW w:w="1050" w:type="dxa"/>
            <w:gridSpan w:val="2"/>
            <w:vAlign w:val="center"/>
          </w:tcPr>
          <w:p>
            <w:pPr>
              <w:keepNext w:val="0"/>
              <w:keepLines w:val="0"/>
              <w:pageBreakBefore w:val="0"/>
              <w:widowControl/>
              <w:suppressLineNumbers w:val="0"/>
              <w:kinsoku/>
              <w:wordWrap/>
              <w:overflowPunct/>
              <w:topLinePunct w:val="0"/>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color w:val="auto"/>
                <w:sz w:val="16"/>
                <w:szCs w:val="16"/>
                <w:highlight w:val="none"/>
                <w:shd w:val="clear" w:color="auto" w:fill="FFFFFF"/>
                <w:vertAlign w:val="baseline"/>
              </w:rPr>
            </w:pPr>
            <w:r>
              <w:rPr>
                <w:rFonts w:hint="default" w:ascii="Times New Roman" w:hAnsi="Times New Roman" w:eastAsia="方正仿宋_GBK" w:cs="Times New Roman"/>
                <w:i w:val="0"/>
                <w:color w:val="000000"/>
                <w:kern w:val="0"/>
                <w:sz w:val="16"/>
                <w:szCs w:val="16"/>
                <w:u w:val="none"/>
                <w:lang w:val="en-US" w:eastAsia="zh-CN" w:bidi="ar"/>
              </w:rPr>
              <w:t>90</w:t>
            </w:r>
          </w:p>
        </w:tc>
        <w:tc>
          <w:tcPr>
            <w:tcW w:w="1175" w:type="dxa"/>
            <w:vAlign w:val="center"/>
          </w:tcPr>
          <w:p>
            <w:pPr>
              <w:keepNext w:val="0"/>
              <w:keepLines w:val="0"/>
              <w:pageBreakBefore w:val="0"/>
              <w:widowControl/>
              <w:suppressLineNumbers w:val="0"/>
              <w:kinsoku/>
              <w:wordWrap/>
              <w:overflowPunct/>
              <w:topLinePunct w:val="0"/>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color w:val="auto"/>
                <w:sz w:val="16"/>
                <w:szCs w:val="16"/>
                <w:highlight w:val="none"/>
                <w:shd w:val="clear" w:color="auto" w:fill="FFFFFF"/>
                <w:vertAlign w:val="baseline"/>
              </w:rPr>
            </w:pPr>
            <w:r>
              <w:rPr>
                <w:rFonts w:hint="default" w:ascii="Times New Roman" w:hAnsi="Times New Roman" w:eastAsia="方正仿宋_GBK" w:cs="Times New Roman"/>
                <w:i w:val="0"/>
                <w:color w:val="000000"/>
                <w:kern w:val="0"/>
                <w:sz w:val="16"/>
                <w:szCs w:val="16"/>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vMerge w:val="continue"/>
          </w:tcPr>
          <w:p>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16"/>
                <w:szCs w:val="16"/>
                <w:highlight w:val="none"/>
                <w:shd w:val="clear" w:color="auto" w:fill="FFFFFF"/>
                <w:vertAlign w:val="baseline"/>
              </w:rPr>
            </w:pPr>
          </w:p>
        </w:tc>
        <w:tc>
          <w:tcPr>
            <w:tcW w:w="1665" w:type="dxa"/>
            <w:gridSpan w:val="2"/>
            <w:vAlign w:val="center"/>
          </w:tcPr>
          <w:p>
            <w:pPr>
              <w:keepNext w:val="0"/>
              <w:keepLines w:val="0"/>
              <w:pageBreakBefore w:val="0"/>
              <w:widowControl/>
              <w:suppressLineNumbers w:val="0"/>
              <w:kinsoku/>
              <w:wordWrap/>
              <w:overflowPunct/>
              <w:topLinePunct w:val="0"/>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color w:val="auto"/>
                <w:sz w:val="16"/>
                <w:szCs w:val="16"/>
                <w:highlight w:val="none"/>
                <w:shd w:val="clear" w:color="auto" w:fill="FFFFFF"/>
                <w:vertAlign w:val="baseline"/>
              </w:rPr>
            </w:pPr>
            <w:r>
              <w:rPr>
                <w:rFonts w:hint="default" w:ascii="Times New Roman" w:hAnsi="Times New Roman" w:eastAsia="方正仿宋_GBK" w:cs="Times New Roman"/>
                <w:i w:val="0"/>
                <w:color w:val="000000"/>
                <w:kern w:val="0"/>
                <w:sz w:val="16"/>
                <w:szCs w:val="16"/>
                <w:u w:val="none"/>
                <w:lang w:val="en-US" w:eastAsia="zh-CN" w:bidi="ar"/>
              </w:rPr>
              <w:t>项目完工合格率</w:t>
            </w:r>
          </w:p>
        </w:tc>
        <w:tc>
          <w:tcPr>
            <w:tcW w:w="690" w:type="dxa"/>
            <w:gridSpan w:val="2"/>
            <w:vAlign w:val="center"/>
          </w:tcPr>
          <w:p>
            <w:pPr>
              <w:keepNext w:val="0"/>
              <w:keepLines w:val="0"/>
              <w:pageBreakBefore w:val="0"/>
              <w:widowControl/>
              <w:suppressLineNumbers w:val="0"/>
              <w:kinsoku/>
              <w:wordWrap/>
              <w:overflowPunct/>
              <w:topLinePunct w:val="0"/>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color w:val="auto"/>
                <w:sz w:val="16"/>
                <w:szCs w:val="16"/>
                <w:highlight w:val="none"/>
                <w:shd w:val="clear" w:color="auto" w:fill="FFFFFF"/>
                <w:vertAlign w:val="baseline"/>
              </w:rPr>
            </w:pPr>
            <w:r>
              <w:rPr>
                <w:rFonts w:hint="default" w:ascii="Times New Roman" w:hAnsi="Times New Roman" w:eastAsia="方正仿宋_GBK" w:cs="Times New Roman"/>
                <w:i w:val="0"/>
                <w:color w:val="000000"/>
                <w:kern w:val="0"/>
                <w:sz w:val="16"/>
                <w:szCs w:val="16"/>
                <w:u w:val="none"/>
                <w:lang w:val="en-US" w:eastAsia="zh-CN" w:bidi="ar"/>
              </w:rPr>
              <w:t>%</w:t>
            </w:r>
          </w:p>
        </w:tc>
        <w:tc>
          <w:tcPr>
            <w:tcW w:w="718" w:type="dxa"/>
            <w:vAlign w:val="center"/>
          </w:tcPr>
          <w:p>
            <w:pPr>
              <w:keepNext w:val="0"/>
              <w:keepLines w:val="0"/>
              <w:pageBreakBefore w:val="0"/>
              <w:widowControl/>
              <w:suppressLineNumbers w:val="0"/>
              <w:kinsoku/>
              <w:wordWrap/>
              <w:overflowPunct/>
              <w:topLinePunct w:val="0"/>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color w:val="auto"/>
                <w:sz w:val="16"/>
                <w:szCs w:val="16"/>
                <w:highlight w:val="none"/>
                <w:shd w:val="clear" w:color="auto" w:fill="FFFFFF"/>
                <w:vertAlign w:val="baseline"/>
              </w:rPr>
            </w:pPr>
            <w:r>
              <w:rPr>
                <w:rFonts w:hint="default" w:ascii="Times New Roman" w:hAnsi="Times New Roman" w:eastAsia="方正仿宋_GBK" w:cs="Times New Roman"/>
                <w:i w:val="0"/>
                <w:color w:val="000000"/>
                <w:kern w:val="0"/>
                <w:sz w:val="16"/>
                <w:szCs w:val="16"/>
                <w:u w:val="none"/>
                <w:lang w:val="en-US" w:eastAsia="zh-CN" w:bidi="ar"/>
              </w:rPr>
              <w:t>≥</w:t>
            </w:r>
          </w:p>
        </w:tc>
        <w:tc>
          <w:tcPr>
            <w:tcW w:w="1382" w:type="dxa"/>
            <w:vAlign w:val="center"/>
          </w:tcPr>
          <w:p>
            <w:pPr>
              <w:keepNext w:val="0"/>
              <w:keepLines w:val="0"/>
              <w:pageBreakBefore w:val="0"/>
              <w:widowControl/>
              <w:suppressLineNumbers w:val="0"/>
              <w:kinsoku/>
              <w:wordWrap/>
              <w:overflowPunct/>
              <w:topLinePunct w:val="0"/>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color w:val="auto"/>
                <w:sz w:val="16"/>
                <w:szCs w:val="16"/>
                <w:highlight w:val="none"/>
                <w:shd w:val="clear" w:color="auto" w:fill="FFFFFF"/>
                <w:vertAlign w:val="baseline"/>
              </w:rPr>
            </w:pPr>
            <w:r>
              <w:rPr>
                <w:rFonts w:hint="default" w:ascii="Times New Roman" w:hAnsi="Times New Roman" w:eastAsia="方正仿宋_GBK" w:cs="Times New Roman"/>
                <w:i w:val="0"/>
                <w:color w:val="000000"/>
                <w:kern w:val="0"/>
                <w:sz w:val="16"/>
                <w:szCs w:val="16"/>
                <w:u w:val="none"/>
                <w:lang w:val="en-US" w:eastAsia="zh-CN" w:bidi="ar"/>
              </w:rPr>
              <w:t>90</w:t>
            </w:r>
          </w:p>
        </w:tc>
        <w:tc>
          <w:tcPr>
            <w:tcW w:w="660" w:type="dxa"/>
            <w:vAlign w:val="center"/>
          </w:tcPr>
          <w:p>
            <w:pPr>
              <w:keepNext w:val="0"/>
              <w:keepLines w:val="0"/>
              <w:pageBreakBefore w:val="0"/>
              <w:widowControl/>
              <w:suppressLineNumbers w:val="0"/>
              <w:kinsoku/>
              <w:wordWrap/>
              <w:overflowPunct/>
              <w:topLinePunct w:val="0"/>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color w:val="auto"/>
                <w:sz w:val="16"/>
                <w:szCs w:val="16"/>
                <w:highlight w:val="none"/>
                <w:shd w:val="clear" w:color="auto" w:fill="FFFFFF"/>
                <w:vertAlign w:val="baseline"/>
              </w:rPr>
            </w:pPr>
            <w:r>
              <w:rPr>
                <w:rFonts w:hint="default" w:ascii="Times New Roman" w:hAnsi="Times New Roman" w:eastAsia="方正仿宋_GBK" w:cs="Times New Roman"/>
                <w:i w:val="0"/>
                <w:color w:val="000000"/>
                <w:kern w:val="0"/>
                <w:sz w:val="16"/>
                <w:szCs w:val="16"/>
                <w:u w:val="none"/>
                <w:lang w:val="en-US" w:eastAsia="zh-CN" w:bidi="ar"/>
              </w:rPr>
              <w:t>10</w:t>
            </w:r>
          </w:p>
        </w:tc>
        <w:tc>
          <w:tcPr>
            <w:tcW w:w="1050" w:type="dxa"/>
            <w:gridSpan w:val="2"/>
            <w:vAlign w:val="center"/>
          </w:tcPr>
          <w:p>
            <w:pPr>
              <w:keepNext w:val="0"/>
              <w:keepLines w:val="0"/>
              <w:pageBreakBefore w:val="0"/>
              <w:widowControl/>
              <w:suppressLineNumbers w:val="0"/>
              <w:kinsoku/>
              <w:wordWrap/>
              <w:overflowPunct/>
              <w:topLinePunct w:val="0"/>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color w:val="auto"/>
                <w:sz w:val="16"/>
                <w:szCs w:val="16"/>
                <w:highlight w:val="none"/>
                <w:shd w:val="clear" w:color="auto" w:fill="FFFFFF"/>
                <w:vertAlign w:val="baseline"/>
              </w:rPr>
            </w:pPr>
            <w:r>
              <w:rPr>
                <w:rFonts w:hint="default" w:ascii="Times New Roman" w:hAnsi="Times New Roman" w:eastAsia="方正仿宋_GBK" w:cs="Times New Roman"/>
                <w:i w:val="0"/>
                <w:color w:val="000000"/>
                <w:kern w:val="0"/>
                <w:sz w:val="16"/>
                <w:szCs w:val="16"/>
                <w:u w:val="none"/>
                <w:lang w:val="en-US" w:eastAsia="zh-CN" w:bidi="ar"/>
              </w:rPr>
              <w:t>90</w:t>
            </w:r>
          </w:p>
        </w:tc>
        <w:tc>
          <w:tcPr>
            <w:tcW w:w="1175" w:type="dxa"/>
            <w:vAlign w:val="center"/>
          </w:tcPr>
          <w:p>
            <w:pPr>
              <w:keepNext w:val="0"/>
              <w:keepLines w:val="0"/>
              <w:pageBreakBefore w:val="0"/>
              <w:widowControl/>
              <w:suppressLineNumbers w:val="0"/>
              <w:kinsoku/>
              <w:wordWrap/>
              <w:overflowPunct/>
              <w:topLinePunct w:val="0"/>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color w:val="auto"/>
                <w:sz w:val="16"/>
                <w:szCs w:val="16"/>
                <w:highlight w:val="none"/>
                <w:shd w:val="clear" w:color="auto" w:fill="FFFFFF"/>
                <w:vertAlign w:val="baseline"/>
              </w:rPr>
            </w:pPr>
            <w:r>
              <w:rPr>
                <w:rFonts w:hint="default" w:ascii="Times New Roman" w:hAnsi="Times New Roman" w:eastAsia="方正仿宋_GBK" w:cs="Times New Roman"/>
                <w:i w:val="0"/>
                <w:color w:val="000000"/>
                <w:kern w:val="0"/>
                <w:sz w:val="16"/>
                <w:szCs w:val="16"/>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vMerge w:val="continue"/>
          </w:tcPr>
          <w:p>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16"/>
                <w:szCs w:val="16"/>
                <w:highlight w:val="none"/>
                <w:shd w:val="clear" w:color="auto" w:fill="FFFFFF"/>
                <w:vertAlign w:val="baseline"/>
              </w:rPr>
            </w:pPr>
          </w:p>
        </w:tc>
        <w:tc>
          <w:tcPr>
            <w:tcW w:w="1665" w:type="dxa"/>
            <w:gridSpan w:val="2"/>
            <w:vAlign w:val="center"/>
          </w:tcPr>
          <w:p>
            <w:pPr>
              <w:keepNext w:val="0"/>
              <w:keepLines w:val="0"/>
              <w:pageBreakBefore w:val="0"/>
              <w:widowControl/>
              <w:suppressLineNumbers w:val="0"/>
              <w:kinsoku/>
              <w:wordWrap/>
              <w:overflowPunct/>
              <w:topLinePunct w:val="0"/>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color w:val="auto"/>
                <w:sz w:val="16"/>
                <w:szCs w:val="16"/>
                <w:highlight w:val="none"/>
                <w:shd w:val="clear" w:color="auto" w:fill="FFFFFF"/>
                <w:vertAlign w:val="baseline"/>
              </w:rPr>
            </w:pPr>
            <w:r>
              <w:rPr>
                <w:rFonts w:hint="default" w:ascii="Times New Roman" w:hAnsi="Times New Roman" w:eastAsia="方正仿宋_GBK" w:cs="Times New Roman"/>
                <w:i w:val="0"/>
                <w:color w:val="000000"/>
                <w:kern w:val="0"/>
                <w:sz w:val="16"/>
                <w:szCs w:val="16"/>
                <w:u w:val="none"/>
                <w:lang w:val="en-US" w:eastAsia="zh-CN" w:bidi="ar"/>
              </w:rPr>
              <w:t>民政资金按时发放率</w:t>
            </w:r>
          </w:p>
        </w:tc>
        <w:tc>
          <w:tcPr>
            <w:tcW w:w="690" w:type="dxa"/>
            <w:gridSpan w:val="2"/>
            <w:vAlign w:val="center"/>
          </w:tcPr>
          <w:p>
            <w:pPr>
              <w:keepNext w:val="0"/>
              <w:keepLines w:val="0"/>
              <w:pageBreakBefore w:val="0"/>
              <w:widowControl/>
              <w:suppressLineNumbers w:val="0"/>
              <w:kinsoku/>
              <w:wordWrap/>
              <w:overflowPunct/>
              <w:topLinePunct w:val="0"/>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color w:val="auto"/>
                <w:sz w:val="16"/>
                <w:szCs w:val="16"/>
                <w:highlight w:val="none"/>
                <w:shd w:val="clear" w:color="auto" w:fill="FFFFFF"/>
                <w:vertAlign w:val="baseline"/>
              </w:rPr>
            </w:pPr>
            <w:r>
              <w:rPr>
                <w:rFonts w:hint="default" w:ascii="Times New Roman" w:hAnsi="Times New Roman" w:eastAsia="方正仿宋_GBK" w:cs="Times New Roman"/>
                <w:i w:val="0"/>
                <w:color w:val="000000"/>
                <w:kern w:val="0"/>
                <w:sz w:val="16"/>
                <w:szCs w:val="16"/>
                <w:u w:val="none"/>
                <w:lang w:val="en-US" w:eastAsia="zh-CN" w:bidi="ar"/>
              </w:rPr>
              <w:t>%</w:t>
            </w:r>
          </w:p>
        </w:tc>
        <w:tc>
          <w:tcPr>
            <w:tcW w:w="718" w:type="dxa"/>
            <w:vAlign w:val="center"/>
          </w:tcPr>
          <w:p>
            <w:pPr>
              <w:keepNext w:val="0"/>
              <w:keepLines w:val="0"/>
              <w:pageBreakBefore w:val="0"/>
              <w:widowControl/>
              <w:suppressLineNumbers w:val="0"/>
              <w:kinsoku/>
              <w:wordWrap/>
              <w:overflowPunct/>
              <w:topLinePunct w:val="0"/>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color w:val="auto"/>
                <w:sz w:val="16"/>
                <w:szCs w:val="16"/>
                <w:highlight w:val="none"/>
                <w:shd w:val="clear" w:color="auto" w:fill="FFFFFF"/>
                <w:vertAlign w:val="baseline"/>
              </w:rPr>
            </w:pPr>
            <w:r>
              <w:rPr>
                <w:rFonts w:hint="default" w:ascii="Times New Roman" w:hAnsi="Times New Roman" w:eastAsia="方正仿宋_GBK" w:cs="Times New Roman"/>
                <w:i w:val="0"/>
                <w:color w:val="000000"/>
                <w:kern w:val="0"/>
                <w:sz w:val="16"/>
                <w:szCs w:val="16"/>
                <w:u w:val="none"/>
                <w:lang w:val="en-US" w:eastAsia="zh-CN" w:bidi="ar"/>
              </w:rPr>
              <w:t>≥</w:t>
            </w:r>
          </w:p>
        </w:tc>
        <w:tc>
          <w:tcPr>
            <w:tcW w:w="1382" w:type="dxa"/>
            <w:vAlign w:val="center"/>
          </w:tcPr>
          <w:p>
            <w:pPr>
              <w:keepNext w:val="0"/>
              <w:keepLines w:val="0"/>
              <w:pageBreakBefore w:val="0"/>
              <w:widowControl/>
              <w:suppressLineNumbers w:val="0"/>
              <w:kinsoku/>
              <w:wordWrap/>
              <w:overflowPunct/>
              <w:topLinePunct w:val="0"/>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color w:val="auto"/>
                <w:sz w:val="16"/>
                <w:szCs w:val="16"/>
                <w:highlight w:val="none"/>
                <w:shd w:val="clear" w:color="auto" w:fill="FFFFFF"/>
                <w:vertAlign w:val="baseline"/>
              </w:rPr>
            </w:pPr>
            <w:r>
              <w:rPr>
                <w:rFonts w:hint="default" w:ascii="Times New Roman" w:hAnsi="Times New Roman" w:eastAsia="方正仿宋_GBK" w:cs="Times New Roman"/>
                <w:i w:val="0"/>
                <w:color w:val="000000"/>
                <w:kern w:val="0"/>
                <w:sz w:val="16"/>
                <w:szCs w:val="16"/>
                <w:u w:val="none"/>
                <w:lang w:val="en-US" w:eastAsia="zh-CN" w:bidi="ar"/>
              </w:rPr>
              <w:t>90</w:t>
            </w:r>
          </w:p>
        </w:tc>
        <w:tc>
          <w:tcPr>
            <w:tcW w:w="660" w:type="dxa"/>
            <w:vAlign w:val="center"/>
          </w:tcPr>
          <w:p>
            <w:pPr>
              <w:keepNext w:val="0"/>
              <w:keepLines w:val="0"/>
              <w:pageBreakBefore w:val="0"/>
              <w:widowControl/>
              <w:suppressLineNumbers w:val="0"/>
              <w:kinsoku/>
              <w:wordWrap/>
              <w:overflowPunct/>
              <w:topLinePunct w:val="0"/>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color w:val="auto"/>
                <w:sz w:val="16"/>
                <w:szCs w:val="16"/>
                <w:highlight w:val="none"/>
                <w:shd w:val="clear" w:color="auto" w:fill="FFFFFF"/>
                <w:vertAlign w:val="baseline"/>
              </w:rPr>
            </w:pPr>
            <w:r>
              <w:rPr>
                <w:rFonts w:hint="default" w:ascii="Times New Roman" w:hAnsi="Times New Roman" w:eastAsia="方正仿宋_GBK" w:cs="Times New Roman"/>
                <w:i w:val="0"/>
                <w:color w:val="000000"/>
                <w:kern w:val="0"/>
                <w:sz w:val="16"/>
                <w:szCs w:val="16"/>
                <w:u w:val="none"/>
                <w:lang w:val="en-US" w:eastAsia="zh-CN" w:bidi="ar"/>
              </w:rPr>
              <w:t>20</w:t>
            </w:r>
          </w:p>
        </w:tc>
        <w:tc>
          <w:tcPr>
            <w:tcW w:w="1050" w:type="dxa"/>
            <w:gridSpan w:val="2"/>
            <w:vAlign w:val="center"/>
          </w:tcPr>
          <w:p>
            <w:pPr>
              <w:keepNext w:val="0"/>
              <w:keepLines w:val="0"/>
              <w:pageBreakBefore w:val="0"/>
              <w:widowControl/>
              <w:suppressLineNumbers w:val="0"/>
              <w:kinsoku/>
              <w:wordWrap/>
              <w:overflowPunct/>
              <w:topLinePunct w:val="0"/>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color w:val="auto"/>
                <w:sz w:val="16"/>
                <w:szCs w:val="16"/>
                <w:highlight w:val="none"/>
                <w:shd w:val="clear" w:color="auto" w:fill="FFFFFF"/>
                <w:vertAlign w:val="baseline"/>
              </w:rPr>
            </w:pPr>
            <w:r>
              <w:rPr>
                <w:rFonts w:hint="default" w:ascii="Times New Roman" w:hAnsi="Times New Roman" w:eastAsia="方正仿宋_GBK" w:cs="Times New Roman"/>
                <w:i w:val="0"/>
                <w:color w:val="000000"/>
                <w:kern w:val="0"/>
                <w:sz w:val="16"/>
                <w:szCs w:val="16"/>
                <w:u w:val="none"/>
                <w:lang w:val="en-US" w:eastAsia="zh-CN" w:bidi="ar"/>
              </w:rPr>
              <w:t>90</w:t>
            </w:r>
          </w:p>
        </w:tc>
        <w:tc>
          <w:tcPr>
            <w:tcW w:w="1175" w:type="dxa"/>
            <w:vAlign w:val="center"/>
          </w:tcPr>
          <w:p>
            <w:pPr>
              <w:keepNext w:val="0"/>
              <w:keepLines w:val="0"/>
              <w:pageBreakBefore w:val="0"/>
              <w:widowControl/>
              <w:suppressLineNumbers w:val="0"/>
              <w:kinsoku/>
              <w:wordWrap/>
              <w:overflowPunct/>
              <w:topLinePunct w:val="0"/>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color w:val="auto"/>
                <w:sz w:val="16"/>
                <w:szCs w:val="16"/>
                <w:highlight w:val="none"/>
                <w:shd w:val="clear" w:color="auto" w:fill="FFFFFF"/>
                <w:vertAlign w:val="baseline"/>
              </w:rPr>
            </w:pPr>
            <w:r>
              <w:rPr>
                <w:rFonts w:hint="default" w:ascii="Times New Roman" w:hAnsi="Times New Roman" w:eastAsia="方正仿宋_GBK" w:cs="Times New Roman"/>
                <w:i w:val="0"/>
                <w:color w:val="000000"/>
                <w:kern w:val="0"/>
                <w:sz w:val="16"/>
                <w:szCs w:val="16"/>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vMerge w:val="continue"/>
          </w:tcPr>
          <w:p>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16"/>
                <w:szCs w:val="16"/>
                <w:highlight w:val="none"/>
                <w:shd w:val="clear" w:color="auto" w:fill="FFFFFF"/>
                <w:vertAlign w:val="baseline"/>
              </w:rPr>
            </w:pPr>
          </w:p>
        </w:tc>
        <w:tc>
          <w:tcPr>
            <w:tcW w:w="1665" w:type="dxa"/>
            <w:gridSpan w:val="2"/>
            <w:vAlign w:val="center"/>
          </w:tcPr>
          <w:p>
            <w:pPr>
              <w:keepNext w:val="0"/>
              <w:keepLines w:val="0"/>
              <w:pageBreakBefore w:val="0"/>
              <w:widowControl/>
              <w:suppressLineNumbers w:val="0"/>
              <w:kinsoku/>
              <w:wordWrap/>
              <w:overflowPunct/>
              <w:topLinePunct w:val="0"/>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color w:val="auto"/>
                <w:sz w:val="16"/>
                <w:szCs w:val="16"/>
                <w:highlight w:val="none"/>
                <w:shd w:val="clear" w:color="auto" w:fill="FFFFFF"/>
                <w:vertAlign w:val="baseline"/>
              </w:rPr>
            </w:pPr>
            <w:r>
              <w:rPr>
                <w:rFonts w:hint="default" w:ascii="Times New Roman" w:hAnsi="Times New Roman" w:eastAsia="方正仿宋_GBK" w:cs="Times New Roman"/>
                <w:i w:val="0"/>
                <w:color w:val="000000"/>
                <w:kern w:val="0"/>
                <w:sz w:val="16"/>
                <w:szCs w:val="16"/>
                <w:u w:val="none"/>
                <w:lang w:val="en-US" w:eastAsia="zh-CN" w:bidi="ar"/>
              </w:rPr>
              <w:t>群众生活水平提高</w:t>
            </w:r>
          </w:p>
        </w:tc>
        <w:tc>
          <w:tcPr>
            <w:tcW w:w="690" w:type="dxa"/>
            <w:gridSpan w:val="2"/>
            <w:vAlign w:val="center"/>
          </w:tcPr>
          <w:p>
            <w:pPr>
              <w:keepNext w:val="0"/>
              <w:keepLines w:val="0"/>
              <w:pageBreakBefore w:val="0"/>
              <w:widowControl/>
              <w:kinsoku/>
              <w:wordWrap/>
              <w:overflowPunct/>
              <w:topLinePunct w:val="0"/>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color w:val="auto"/>
                <w:sz w:val="16"/>
                <w:szCs w:val="16"/>
                <w:highlight w:val="none"/>
                <w:shd w:val="clear" w:color="auto" w:fill="FFFFFF"/>
                <w:vertAlign w:val="baseline"/>
              </w:rPr>
            </w:pPr>
          </w:p>
        </w:tc>
        <w:tc>
          <w:tcPr>
            <w:tcW w:w="718" w:type="dxa"/>
            <w:vAlign w:val="center"/>
          </w:tcPr>
          <w:p>
            <w:pPr>
              <w:keepNext w:val="0"/>
              <w:keepLines w:val="0"/>
              <w:pageBreakBefore w:val="0"/>
              <w:widowControl/>
              <w:suppressLineNumbers w:val="0"/>
              <w:kinsoku/>
              <w:wordWrap/>
              <w:overflowPunct/>
              <w:topLinePunct w:val="0"/>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color w:val="auto"/>
                <w:sz w:val="16"/>
                <w:szCs w:val="16"/>
                <w:highlight w:val="none"/>
                <w:shd w:val="clear" w:color="auto" w:fill="FFFFFF"/>
                <w:vertAlign w:val="baseline"/>
              </w:rPr>
            </w:pPr>
            <w:r>
              <w:rPr>
                <w:rFonts w:hint="default" w:ascii="Times New Roman" w:hAnsi="Times New Roman" w:eastAsia="方正仿宋_GBK" w:cs="Times New Roman"/>
                <w:i w:val="0"/>
                <w:color w:val="000000"/>
                <w:kern w:val="0"/>
                <w:sz w:val="16"/>
                <w:szCs w:val="16"/>
                <w:u w:val="none"/>
                <w:lang w:val="en-US" w:eastAsia="zh-CN" w:bidi="ar"/>
              </w:rPr>
              <w:t>定性</w:t>
            </w:r>
          </w:p>
        </w:tc>
        <w:tc>
          <w:tcPr>
            <w:tcW w:w="1382" w:type="dxa"/>
            <w:vAlign w:val="center"/>
          </w:tcPr>
          <w:p>
            <w:pPr>
              <w:keepNext w:val="0"/>
              <w:keepLines w:val="0"/>
              <w:pageBreakBefore w:val="0"/>
              <w:widowControl/>
              <w:suppressLineNumbers w:val="0"/>
              <w:kinsoku/>
              <w:wordWrap/>
              <w:overflowPunct/>
              <w:topLinePunct w:val="0"/>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color w:val="auto"/>
                <w:sz w:val="16"/>
                <w:szCs w:val="16"/>
                <w:highlight w:val="none"/>
                <w:shd w:val="clear" w:color="auto" w:fill="FFFFFF"/>
                <w:vertAlign w:val="baseline"/>
              </w:rPr>
            </w:pPr>
            <w:r>
              <w:rPr>
                <w:rFonts w:hint="default" w:ascii="Times New Roman" w:hAnsi="Times New Roman" w:eastAsia="方正仿宋_GBK" w:cs="Times New Roman"/>
                <w:i w:val="0"/>
                <w:color w:val="000000"/>
                <w:kern w:val="0"/>
                <w:sz w:val="16"/>
                <w:szCs w:val="16"/>
                <w:u w:val="none"/>
                <w:lang w:val="en-US" w:eastAsia="zh-CN" w:bidi="ar"/>
              </w:rPr>
              <w:t>显著</w:t>
            </w:r>
          </w:p>
        </w:tc>
        <w:tc>
          <w:tcPr>
            <w:tcW w:w="660" w:type="dxa"/>
            <w:vAlign w:val="center"/>
          </w:tcPr>
          <w:p>
            <w:pPr>
              <w:keepNext w:val="0"/>
              <w:keepLines w:val="0"/>
              <w:pageBreakBefore w:val="0"/>
              <w:widowControl/>
              <w:suppressLineNumbers w:val="0"/>
              <w:kinsoku/>
              <w:wordWrap/>
              <w:overflowPunct/>
              <w:topLinePunct w:val="0"/>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color w:val="auto"/>
                <w:sz w:val="16"/>
                <w:szCs w:val="16"/>
                <w:highlight w:val="none"/>
                <w:shd w:val="clear" w:color="auto" w:fill="FFFFFF"/>
                <w:vertAlign w:val="baseline"/>
              </w:rPr>
            </w:pPr>
            <w:r>
              <w:rPr>
                <w:rFonts w:hint="default" w:ascii="Times New Roman" w:hAnsi="Times New Roman" w:eastAsia="方正仿宋_GBK" w:cs="Times New Roman"/>
                <w:i w:val="0"/>
                <w:color w:val="000000"/>
                <w:kern w:val="0"/>
                <w:sz w:val="16"/>
                <w:szCs w:val="16"/>
                <w:u w:val="none"/>
                <w:lang w:val="en-US" w:eastAsia="zh-CN" w:bidi="ar"/>
              </w:rPr>
              <w:t>10</w:t>
            </w:r>
          </w:p>
        </w:tc>
        <w:tc>
          <w:tcPr>
            <w:tcW w:w="1050" w:type="dxa"/>
            <w:gridSpan w:val="2"/>
            <w:vAlign w:val="center"/>
          </w:tcPr>
          <w:p>
            <w:pPr>
              <w:keepNext w:val="0"/>
              <w:keepLines w:val="0"/>
              <w:pageBreakBefore w:val="0"/>
              <w:widowControl/>
              <w:suppressLineNumbers w:val="0"/>
              <w:kinsoku/>
              <w:wordWrap/>
              <w:overflowPunct/>
              <w:topLinePunct w:val="0"/>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color w:val="auto"/>
                <w:sz w:val="16"/>
                <w:szCs w:val="16"/>
                <w:highlight w:val="none"/>
                <w:shd w:val="clear" w:color="auto" w:fill="FFFFFF"/>
                <w:vertAlign w:val="baseline"/>
              </w:rPr>
            </w:pPr>
            <w:r>
              <w:rPr>
                <w:rFonts w:hint="default" w:ascii="Times New Roman" w:hAnsi="Times New Roman" w:eastAsia="方正仿宋_GBK" w:cs="Times New Roman"/>
                <w:i w:val="0"/>
                <w:color w:val="000000"/>
                <w:kern w:val="0"/>
                <w:sz w:val="16"/>
                <w:szCs w:val="16"/>
                <w:u w:val="none"/>
                <w:lang w:val="en-US" w:eastAsia="zh-CN" w:bidi="ar"/>
              </w:rPr>
              <w:t>1</w:t>
            </w:r>
          </w:p>
        </w:tc>
        <w:tc>
          <w:tcPr>
            <w:tcW w:w="1175" w:type="dxa"/>
            <w:vAlign w:val="center"/>
          </w:tcPr>
          <w:p>
            <w:pPr>
              <w:keepNext w:val="0"/>
              <w:keepLines w:val="0"/>
              <w:pageBreakBefore w:val="0"/>
              <w:widowControl/>
              <w:suppressLineNumbers w:val="0"/>
              <w:kinsoku/>
              <w:wordWrap/>
              <w:overflowPunct/>
              <w:topLinePunct w:val="0"/>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color w:val="auto"/>
                <w:sz w:val="16"/>
                <w:szCs w:val="16"/>
                <w:highlight w:val="none"/>
                <w:shd w:val="clear" w:color="auto" w:fill="FFFFFF"/>
                <w:vertAlign w:val="baseline"/>
              </w:rPr>
            </w:pPr>
            <w:r>
              <w:rPr>
                <w:rFonts w:hint="default" w:ascii="Times New Roman" w:hAnsi="Times New Roman" w:eastAsia="方正仿宋_GBK" w:cs="Times New Roman"/>
                <w:i w:val="0"/>
                <w:color w:val="000000"/>
                <w:kern w:val="0"/>
                <w:sz w:val="16"/>
                <w:szCs w:val="16"/>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vMerge w:val="continue"/>
          </w:tcPr>
          <w:p>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16"/>
                <w:szCs w:val="16"/>
                <w:highlight w:val="none"/>
                <w:shd w:val="clear" w:color="auto" w:fill="FFFFFF"/>
                <w:vertAlign w:val="baseline"/>
              </w:rPr>
            </w:pPr>
          </w:p>
        </w:tc>
        <w:tc>
          <w:tcPr>
            <w:tcW w:w="1665" w:type="dxa"/>
            <w:gridSpan w:val="2"/>
            <w:vAlign w:val="center"/>
          </w:tcPr>
          <w:p>
            <w:pPr>
              <w:keepNext w:val="0"/>
              <w:keepLines w:val="0"/>
              <w:pageBreakBefore w:val="0"/>
              <w:widowControl/>
              <w:suppressLineNumbers w:val="0"/>
              <w:kinsoku/>
              <w:wordWrap/>
              <w:overflowPunct/>
              <w:topLinePunct w:val="0"/>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color w:val="auto"/>
                <w:sz w:val="16"/>
                <w:szCs w:val="16"/>
                <w:highlight w:val="none"/>
                <w:shd w:val="clear" w:color="auto" w:fill="FFFFFF"/>
                <w:vertAlign w:val="baseline"/>
              </w:rPr>
            </w:pPr>
            <w:r>
              <w:rPr>
                <w:rFonts w:hint="default" w:ascii="Times New Roman" w:hAnsi="Times New Roman" w:eastAsia="方正仿宋_GBK" w:cs="Times New Roman"/>
                <w:i w:val="0"/>
                <w:color w:val="000000"/>
                <w:kern w:val="0"/>
                <w:sz w:val="16"/>
                <w:szCs w:val="16"/>
                <w:u w:val="none"/>
                <w:lang w:val="en-US" w:eastAsia="zh-CN" w:bidi="ar"/>
              </w:rPr>
              <w:t>森林植被覆盖率</w:t>
            </w:r>
          </w:p>
        </w:tc>
        <w:tc>
          <w:tcPr>
            <w:tcW w:w="690" w:type="dxa"/>
            <w:gridSpan w:val="2"/>
            <w:vAlign w:val="center"/>
          </w:tcPr>
          <w:p>
            <w:pPr>
              <w:keepNext w:val="0"/>
              <w:keepLines w:val="0"/>
              <w:pageBreakBefore w:val="0"/>
              <w:widowControl/>
              <w:suppressLineNumbers w:val="0"/>
              <w:kinsoku/>
              <w:wordWrap/>
              <w:overflowPunct/>
              <w:topLinePunct w:val="0"/>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color w:val="auto"/>
                <w:sz w:val="16"/>
                <w:szCs w:val="16"/>
                <w:highlight w:val="none"/>
                <w:shd w:val="clear" w:color="auto" w:fill="FFFFFF"/>
                <w:vertAlign w:val="baseline"/>
              </w:rPr>
            </w:pPr>
            <w:r>
              <w:rPr>
                <w:rFonts w:hint="default" w:ascii="Times New Roman" w:hAnsi="Times New Roman" w:eastAsia="方正仿宋_GBK" w:cs="Times New Roman"/>
                <w:i w:val="0"/>
                <w:color w:val="000000"/>
                <w:kern w:val="0"/>
                <w:sz w:val="16"/>
                <w:szCs w:val="16"/>
                <w:u w:val="none"/>
                <w:lang w:val="en-US" w:eastAsia="zh-CN" w:bidi="ar"/>
              </w:rPr>
              <w:t>%</w:t>
            </w:r>
          </w:p>
        </w:tc>
        <w:tc>
          <w:tcPr>
            <w:tcW w:w="718" w:type="dxa"/>
            <w:vAlign w:val="center"/>
          </w:tcPr>
          <w:p>
            <w:pPr>
              <w:keepNext w:val="0"/>
              <w:keepLines w:val="0"/>
              <w:pageBreakBefore w:val="0"/>
              <w:widowControl/>
              <w:suppressLineNumbers w:val="0"/>
              <w:kinsoku/>
              <w:wordWrap/>
              <w:overflowPunct/>
              <w:topLinePunct w:val="0"/>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color w:val="auto"/>
                <w:sz w:val="16"/>
                <w:szCs w:val="16"/>
                <w:highlight w:val="none"/>
                <w:shd w:val="clear" w:color="auto" w:fill="FFFFFF"/>
                <w:vertAlign w:val="baseline"/>
              </w:rPr>
            </w:pPr>
            <w:r>
              <w:rPr>
                <w:rFonts w:hint="default" w:ascii="Times New Roman" w:hAnsi="Times New Roman" w:eastAsia="方正仿宋_GBK" w:cs="Times New Roman"/>
                <w:i w:val="0"/>
                <w:color w:val="000000"/>
                <w:kern w:val="0"/>
                <w:sz w:val="16"/>
                <w:szCs w:val="16"/>
                <w:u w:val="none"/>
                <w:lang w:val="en-US" w:eastAsia="zh-CN" w:bidi="ar"/>
              </w:rPr>
              <w:t>≥</w:t>
            </w:r>
          </w:p>
        </w:tc>
        <w:tc>
          <w:tcPr>
            <w:tcW w:w="1382" w:type="dxa"/>
            <w:vAlign w:val="center"/>
          </w:tcPr>
          <w:p>
            <w:pPr>
              <w:keepNext w:val="0"/>
              <w:keepLines w:val="0"/>
              <w:pageBreakBefore w:val="0"/>
              <w:widowControl/>
              <w:suppressLineNumbers w:val="0"/>
              <w:kinsoku/>
              <w:wordWrap/>
              <w:overflowPunct/>
              <w:topLinePunct w:val="0"/>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color w:val="auto"/>
                <w:sz w:val="16"/>
                <w:szCs w:val="16"/>
                <w:highlight w:val="none"/>
                <w:shd w:val="clear" w:color="auto" w:fill="FFFFFF"/>
                <w:vertAlign w:val="baseline"/>
              </w:rPr>
            </w:pPr>
            <w:r>
              <w:rPr>
                <w:rFonts w:hint="default" w:ascii="Times New Roman" w:hAnsi="Times New Roman" w:eastAsia="方正仿宋_GBK" w:cs="Times New Roman"/>
                <w:i w:val="0"/>
                <w:color w:val="000000"/>
                <w:kern w:val="0"/>
                <w:sz w:val="16"/>
                <w:szCs w:val="16"/>
                <w:u w:val="none"/>
                <w:lang w:val="en-US" w:eastAsia="zh-CN" w:bidi="ar"/>
              </w:rPr>
              <w:t>68</w:t>
            </w:r>
          </w:p>
        </w:tc>
        <w:tc>
          <w:tcPr>
            <w:tcW w:w="660" w:type="dxa"/>
            <w:vAlign w:val="center"/>
          </w:tcPr>
          <w:p>
            <w:pPr>
              <w:keepNext w:val="0"/>
              <w:keepLines w:val="0"/>
              <w:pageBreakBefore w:val="0"/>
              <w:widowControl/>
              <w:suppressLineNumbers w:val="0"/>
              <w:kinsoku/>
              <w:wordWrap/>
              <w:overflowPunct/>
              <w:topLinePunct w:val="0"/>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color w:val="auto"/>
                <w:sz w:val="16"/>
                <w:szCs w:val="16"/>
                <w:highlight w:val="none"/>
                <w:shd w:val="clear" w:color="auto" w:fill="FFFFFF"/>
                <w:vertAlign w:val="baseline"/>
              </w:rPr>
            </w:pPr>
            <w:r>
              <w:rPr>
                <w:rFonts w:hint="default" w:ascii="Times New Roman" w:hAnsi="Times New Roman" w:eastAsia="方正仿宋_GBK" w:cs="Times New Roman"/>
                <w:i w:val="0"/>
                <w:color w:val="000000"/>
                <w:kern w:val="0"/>
                <w:sz w:val="16"/>
                <w:szCs w:val="16"/>
                <w:u w:val="none"/>
                <w:lang w:val="en-US" w:eastAsia="zh-CN" w:bidi="ar"/>
              </w:rPr>
              <w:t>10</w:t>
            </w:r>
          </w:p>
        </w:tc>
        <w:tc>
          <w:tcPr>
            <w:tcW w:w="1050" w:type="dxa"/>
            <w:gridSpan w:val="2"/>
            <w:vAlign w:val="center"/>
          </w:tcPr>
          <w:p>
            <w:pPr>
              <w:keepNext w:val="0"/>
              <w:keepLines w:val="0"/>
              <w:pageBreakBefore w:val="0"/>
              <w:widowControl/>
              <w:suppressLineNumbers w:val="0"/>
              <w:kinsoku/>
              <w:wordWrap/>
              <w:overflowPunct/>
              <w:topLinePunct w:val="0"/>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color w:val="auto"/>
                <w:sz w:val="16"/>
                <w:szCs w:val="16"/>
                <w:highlight w:val="none"/>
                <w:shd w:val="clear" w:color="auto" w:fill="FFFFFF"/>
                <w:vertAlign w:val="baseline"/>
              </w:rPr>
            </w:pPr>
            <w:r>
              <w:rPr>
                <w:rFonts w:hint="default" w:ascii="Times New Roman" w:hAnsi="Times New Roman" w:eastAsia="方正仿宋_GBK" w:cs="Times New Roman"/>
                <w:i w:val="0"/>
                <w:color w:val="000000"/>
                <w:kern w:val="0"/>
                <w:sz w:val="16"/>
                <w:szCs w:val="16"/>
                <w:u w:val="none"/>
                <w:lang w:val="en-US" w:eastAsia="zh-CN" w:bidi="ar"/>
              </w:rPr>
              <w:t>68</w:t>
            </w:r>
          </w:p>
        </w:tc>
        <w:tc>
          <w:tcPr>
            <w:tcW w:w="1175" w:type="dxa"/>
            <w:vAlign w:val="center"/>
          </w:tcPr>
          <w:p>
            <w:pPr>
              <w:keepNext w:val="0"/>
              <w:keepLines w:val="0"/>
              <w:pageBreakBefore w:val="0"/>
              <w:widowControl/>
              <w:suppressLineNumbers w:val="0"/>
              <w:kinsoku/>
              <w:wordWrap/>
              <w:overflowPunct/>
              <w:topLinePunct w:val="0"/>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color w:val="auto"/>
                <w:sz w:val="16"/>
                <w:szCs w:val="16"/>
                <w:highlight w:val="none"/>
                <w:shd w:val="clear" w:color="auto" w:fill="FFFFFF"/>
                <w:vertAlign w:val="baseline"/>
              </w:rPr>
            </w:pPr>
            <w:r>
              <w:rPr>
                <w:rFonts w:hint="default" w:ascii="Times New Roman" w:hAnsi="Times New Roman" w:eastAsia="方正仿宋_GBK" w:cs="Times New Roman"/>
                <w:i w:val="0"/>
                <w:color w:val="000000"/>
                <w:kern w:val="0"/>
                <w:sz w:val="16"/>
                <w:szCs w:val="16"/>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vMerge w:val="continue"/>
          </w:tcPr>
          <w:p>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16"/>
                <w:szCs w:val="16"/>
                <w:highlight w:val="none"/>
                <w:shd w:val="clear" w:color="auto" w:fill="FFFFFF"/>
                <w:vertAlign w:val="baseline"/>
              </w:rPr>
            </w:pPr>
          </w:p>
        </w:tc>
        <w:tc>
          <w:tcPr>
            <w:tcW w:w="1665" w:type="dxa"/>
            <w:gridSpan w:val="2"/>
            <w:vAlign w:val="center"/>
          </w:tcPr>
          <w:p>
            <w:pPr>
              <w:keepNext w:val="0"/>
              <w:keepLines w:val="0"/>
              <w:pageBreakBefore w:val="0"/>
              <w:widowControl/>
              <w:suppressLineNumbers w:val="0"/>
              <w:kinsoku/>
              <w:wordWrap/>
              <w:overflowPunct/>
              <w:topLinePunct w:val="0"/>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color w:val="auto"/>
                <w:sz w:val="16"/>
                <w:szCs w:val="16"/>
                <w:highlight w:val="none"/>
                <w:shd w:val="clear" w:color="auto" w:fill="FFFFFF"/>
                <w:vertAlign w:val="baseline"/>
              </w:rPr>
            </w:pPr>
            <w:r>
              <w:rPr>
                <w:rFonts w:hint="default" w:ascii="Times New Roman" w:hAnsi="Times New Roman" w:eastAsia="方正仿宋_GBK" w:cs="Times New Roman"/>
                <w:i w:val="0"/>
                <w:color w:val="000000"/>
                <w:kern w:val="0"/>
                <w:sz w:val="16"/>
                <w:szCs w:val="16"/>
                <w:u w:val="none"/>
                <w:lang w:val="en-US" w:eastAsia="zh-CN" w:bidi="ar"/>
              </w:rPr>
              <w:t>村集体收入增长率</w:t>
            </w:r>
          </w:p>
        </w:tc>
        <w:tc>
          <w:tcPr>
            <w:tcW w:w="690" w:type="dxa"/>
            <w:gridSpan w:val="2"/>
            <w:vAlign w:val="center"/>
          </w:tcPr>
          <w:p>
            <w:pPr>
              <w:keepNext w:val="0"/>
              <w:keepLines w:val="0"/>
              <w:pageBreakBefore w:val="0"/>
              <w:widowControl/>
              <w:suppressLineNumbers w:val="0"/>
              <w:kinsoku/>
              <w:wordWrap/>
              <w:overflowPunct/>
              <w:topLinePunct w:val="0"/>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color w:val="auto"/>
                <w:sz w:val="16"/>
                <w:szCs w:val="16"/>
                <w:highlight w:val="none"/>
                <w:shd w:val="clear" w:color="auto" w:fill="FFFFFF"/>
                <w:vertAlign w:val="baseline"/>
              </w:rPr>
            </w:pPr>
            <w:r>
              <w:rPr>
                <w:rFonts w:hint="default" w:ascii="Times New Roman" w:hAnsi="Times New Roman" w:eastAsia="方正仿宋_GBK" w:cs="Times New Roman"/>
                <w:i w:val="0"/>
                <w:color w:val="000000"/>
                <w:kern w:val="0"/>
                <w:sz w:val="16"/>
                <w:szCs w:val="16"/>
                <w:u w:val="none"/>
                <w:lang w:val="en-US" w:eastAsia="zh-CN" w:bidi="ar"/>
              </w:rPr>
              <w:t>%</w:t>
            </w:r>
          </w:p>
        </w:tc>
        <w:tc>
          <w:tcPr>
            <w:tcW w:w="718" w:type="dxa"/>
            <w:vAlign w:val="center"/>
          </w:tcPr>
          <w:p>
            <w:pPr>
              <w:keepNext w:val="0"/>
              <w:keepLines w:val="0"/>
              <w:pageBreakBefore w:val="0"/>
              <w:widowControl/>
              <w:suppressLineNumbers w:val="0"/>
              <w:kinsoku/>
              <w:wordWrap/>
              <w:overflowPunct/>
              <w:topLinePunct w:val="0"/>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color w:val="auto"/>
                <w:sz w:val="16"/>
                <w:szCs w:val="16"/>
                <w:highlight w:val="none"/>
                <w:shd w:val="clear" w:color="auto" w:fill="FFFFFF"/>
                <w:vertAlign w:val="baseline"/>
              </w:rPr>
            </w:pPr>
            <w:r>
              <w:rPr>
                <w:rFonts w:hint="default" w:ascii="Times New Roman" w:hAnsi="Times New Roman" w:eastAsia="方正仿宋_GBK" w:cs="Times New Roman"/>
                <w:i w:val="0"/>
                <w:color w:val="000000"/>
                <w:kern w:val="0"/>
                <w:sz w:val="16"/>
                <w:szCs w:val="16"/>
                <w:u w:val="none"/>
                <w:lang w:val="en-US" w:eastAsia="zh-CN" w:bidi="ar"/>
              </w:rPr>
              <w:t>≥</w:t>
            </w:r>
          </w:p>
        </w:tc>
        <w:tc>
          <w:tcPr>
            <w:tcW w:w="1382" w:type="dxa"/>
            <w:vAlign w:val="center"/>
          </w:tcPr>
          <w:p>
            <w:pPr>
              <w:keepNext w:val="0"/>
              <w:keepLines w:val="0"/>
              <w:pageBreakBefore w:val="0"/>
              <w:widowControl/>
              <w:suppressLineNumbers w:val="0"/>
              <w:kinsoku/>
              <w:wordWrap/>
              <w:overflowPunct/>
              <w:topLinePunct w:val="0"/>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color w:val="auto"/>
                <w:sz w:val="16"/>
                <w:szCs w:val="16"/>
                <w:highlight w:val="none"/>
                <w:shd w:val="clear" w:color="auto" w:fill="FFFFFF"/>
                <w:vertAlign w:val="baseline"/>
              </w:rPr>
            </w:pPr>
            <w:r>
              <w:rPr>
                <w:rFonts w:hint="default" w:ascii="Times New Roman" w:hAnsi="Times New Roman" w:eastAsia="方正仿宋_GBK" w:cs="Times New Roman"/>
                <w:i w:val="0"/>
                <w:color w:val="000000"/>
                <w:kern w:val="0"/>
                <w:sz w:val="16"/>
                <w:szCs w:val="16"/>
                <w:u w:val="none"/>
                <w:lang w:val="en-US" w:eastAsia="zh-CN" w:bidi="ar"/>
              </w:rPr>
              <w:t>5</w:t>
            </w:r>
          </w:p>
        </w:tc>
        <w:tc>
          <w:tcPr>
            <w:tcW w:w="660" w:type="dxa"/>
            <w:vAlign w:val="center"/>
          </w:tcPr>
          <w:p>
            <w:pPr>
              <w:keepNext w:val="0"/>
              <w:keepLines w:val="0"/>
              <w:pageBreakBefore w:val="0"/>
              <w:widowControl/>
              <w:suppressLineNumbers w:val="0"/>
              <w:kinsoku/>
              <w:wordWrap/>
              <w:overflowPunct/>
              <w:topLinePunct w:val="0"/>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color w:val="auto"/>
                <w:sz w:val="16"/>
                <w:szCs w:val="16"/>
                <w:highlight w:val="none"/>
                <w:shd w:val="clear" w:color="auto" w:fill="FFFFFF"/>
                <w:vertAlign w:val="baseline"/>
              </w:rPr>
            </w:pPr>
            <w:r>
              <w:rPr>
                <w:rFonts w:hint="default" w:ascii="Times New Roman" w:hAnsi="Times New Roman" w:eastAsia="方正仿宋_GBK" w:cs="Times New Roman"/>
                <w:i w:val="0"/>
                <w:color w:val="000000"/>
                <w:kern w:val="0"/>
                <w:sz w:val="16"/>
                <w:szCs w:val="16"/>
                <w:u w:val="none"/>
                <w:lang w:val="en-US" w:eastAsia="zh-CN" w:bidi="ar"/>
              </w:rPr>
              <w:t>10</w:t>
            </w:r>
          </w:p>
        </w:tc>
        <w:tc>
          <w:tcPr>
            <w:tcW w:w="1050" w:type="dxa"/>
            <w:gridSpan w:val="2"/>
            <w:vAlign w:val="center"/>
          </w:tcPr>
          <w:p>
            <w:pPr>
              <w:keepNext w:val="0"/>
              <w:keepLines w:val="0"/>
              <w:pageBreakBefore w:val="0"/>
              <w:widowControl/>
              <w:suppressLineNumbers w:val="0"/>
              <w:kinsoku/>
              <w:wordWrap/>
              <w:overflowPunct/>
              <w:topLinePunct w:val="0"/>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color w:val="auto"/>
                <w:sz w:val="16"/>
                <w:szCs w:val="16"/>
                <w:highlight w:val="none"/>
                <w:shd w:val="clear" w:color="auto" w:fill="FFFFFF"/>
                <w:vertAlign w:val="baseline"/>
              </w:rPr>
            </w:pPr>
            <w:r>
              <w:rPr>
                <w:rFonts w:hint="default" w:ascii="Times New Roman" w:hAnsi="Times New Roman" w:eastAsia="方正仿宋_GBK" w:cs="Times New Roman"/>
                <w:i w:val="0"/>
                <w:color w:val="000000"/>
                <w:kern w:val="0"/>
                <w:sz w:val="16"/>
                <w:szCs w:val="16"/>
                <w:u w:val="none"/>
                <w:lang w:val="en-US" w:eastAsia="zh-CN" w:bidi="ar"/>
              </w:rPr>
              <w:t>5</w:t>
            </w:r>
          </w:p>
        </w:tc>
        <w:tc>
          <w:tcPr>
            <w:tcW w:w="1175" w:type="dxa"/>
            <w:vAlign w:val="center"/>
          </w:tcPr>
          <w:p>
            <w:pPr>
              <w:keepNext w:val="0"/>
              <w:keepLines w:val="0"/>
              <w:pageBreakBefore w:val="0"/>
              <w:widowControl/>
              <w:suppressLineNumbers w:val="0"/>
              <w:kinsoku/>
              <w:wordWrap/>
              <w:overflowPunct/>
              <w:topLinePunct w:val="0"/>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color w:val="auto"/>
                <w:sz w:val="16"/>
                <w:szCs w:val="16"/>
                <w:highlight w:val="none"/>
                <w:shd w:val="clear" w:color="auto" w:fill="FFFFFF"/>
                <w:vertAlign w:val="baseline"/>
              </w:rPr>
            </w:pPr>
            <w:r>
              <w:rPr>
                <w:rFonts w:hint="default" w:ascii="Times New Roman" w:hAnsi="Times New Roman" w:eastAsia="方正仿宋_GBK" w:cs="Times New Roman"/>
                <w:i w:val="0"/>
                <w:color w:val="000000"/>
                <w:kern w:val="0"/>
                <w:sz w:val="16"/>
                <w:szCs w:val="16"/>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vMerge w:val="continue"/>
          </w:tcPr>
          <w:p>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16"/>
                <w:szCs w:val="16"/>
                <w:highlight w:val="none"/>
                <w:shd w:val="clear" w:color="auto" w:fill="FFFFFF"/>
                <w:vertAlign w:val="baseline"/>
              </w:rPr>
            </w:pPr>
          </w:p>
        </w:tc>
        <w:tc>
          <w:tcPr>
            <w:tcW w:w="1665" w:type="dxa"/>
            <w:gridSpan w:val="2"/>
            <w:vAlign w:val="center"/>
          </w:tcPr>
          <w:p>
            <w:pPr>
              <w:keepNext w:val="0"/>
              <w:keepLines w:val="0"/>
              <w:pageBreakBefore w:val="0"/>
              <w:widowControl/>
              <w:suppressLineNumbers w:val="0"/>
              <w:kinsoku/>
              <w:wordWrap/>
              <w:overflowPunct/>
              <w:topLinePunct w:val="0"/>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color w:val="auto"/>
                <w:sz w:val="16"/>
                <w:szCs w:val="16"/>
                <w:highlight w:val="none"/>
                <w:shd w:val="clear" w:color="auto" w:fill="FFFFFF"/>
                <w:vertAlign w:val="baseline"/>
              </w:rPr>
            </w:pPr>
            <w:r>
              <w:rPr>
                <w:rFonts w:hint="default" w:ascii="Times New Roman" w:hAnsi="Times New Roman" w:eastAsia="方正仿宋_GBK" w:cs="Times New Roman"/>
                <w:i w:val="0"/>
                <w:color w:val="000000"/>
                <w:kern w:val="0"/>
                <w:sz w:val="16"/>
                <w:szCs w:val="16"/>
                <w:u w:val="none"/>
                <w:lang w:val="en-US" w:eastAsia="zh-CN" w:bidi="ar"/>
              </w:rPr>
              <w:t>群众对政府工作满意度</w:t>
            </w:r>
          </w:p>
        </w:tc>
        <w:tc>
          <w:tcPr>
            <w:tcW w:w="690" w:type="dxa"/>
            <w:gridSpan w:val="2"/>
            <w:vAlign w:val="center"/>
          </w:tcPr>
          <w:p>
            <w:pPr>
              <w:keepNext w:val="0"/>
              <w:keepLines w:val="0"/>
              <w:pageBreakBefore w:val="0"/>
              <w:widowControl/>
              <w:suppressLineNumbers w:val="0"/>
              <w:kinsoku/>
              <w:wordWrap/>
              <w:overflowPunct/>
              <w:topLinePunct w:val="0"/>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color w:val="auto"/>
                <w:sz w:val="16"/>
                <w:szCs w:val="16"/>
                <w:highlight w:val="none"/>
                <w:shd w:val="clear" w:color="auto" w:fill="FFFFFF"/>
                <w:vertAlign w:val="baseline"/>
              </w:rPr>
            </w:pPr>
            <w:r>
              <w:rPr>
                <w:rFonts w:hint="default" w:ascii="Times New Roman" w:hAnsi="Times New Roman" w:eastAsia="方正仿宋_GBK" w:cs="Times New Roman"/>
                <w:i w:val="0"/>
                <w:color w:val="000000"/>
                <w:kern w:val="0"/>
                <w:sz w:val="16"/>
                <w:szCs w:val="16"/>
                <w:u w:val="none"/>
                <w:lang w:val="en-US" w:eastAsia="zh-CN" w:bidi="ar"/>
              </w:rPr>
              <w:t>%</w:t>
            </w:r>
          </w:p>
        </w:tc>
        <w:tc>
          <w:tcPr>
            <w:tcW w:w="718" w:type="dxa"/>
            <w:vAlign w:val="center"/>
          </w:tcPr>
          <w:p>
            <w:pPr>
              <w:keepNext w:val="0"/>
              <w:keepLines w:val="0"/>
              <w:pageBreakBefore w:val="0"/>
              <w:widowControl/>
              <w:suppressLineNumbers w:val="0"/>
              <w:kinsoku/>
              <w:wordWrap/>
              <w:overflowPunct/>
              <w:topLinePunct w:val="0"/>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color w:val="auto"/>
                <w:sz w:val="16"/>
                <w:szCs w:val="16"/>
                <w:highlight w:val="none"/>
                <w:shd w:val="clear" w:color="auto" w:fill="FFFFFF"/>
                <w:vertAlign w:val="baseline"/>
              </w:rPr>
            </w:pPr>
            <w:r>
              <w:rPr>
                <w:rFonts w:hint="default" w:ascii="Times New Roman" w:hAnsi="Times New Roman" w:eastAsia="方正仿宋_GBK" w:cs="Times New Roman"/>
                <w:i w:val="0"/>
                <w:color w:val="000000"/>
                <w:kern w:val="0"/>
                <w:sz w:val="16"/>
                <w:szCs w:val="16"/>
                <w:u w:val="none"/>
                <w:lang w:val="en-US" w:eastAsia="zh-CN" w:bidi="ar"/>
              </w:rPr>
              <w:t>≥</w:t>
            </w:r>
          </w:p>
        </w:tc>
        <w:tc>
          <w:tcPr>
            <w:tcW w:w="1382" w:type="dxa"/>
            <w:vAlign w:val="center"/>
          </w:tcPr>
          <w:p>
            <w:pPr>
              <w:keepNext w:val="0"/>
              <w:keepLines w:val="0"/>
              <w:pageBreakBefore w:val="0"/>
              <w:widowControl/>
              <w:suppressLineNumbers w:val="0"/>
              <w:kinsoku/>
              <w:wordWrap/>
              <w:overflowPunct/>
              <w:topLinePunct w:val="0"/>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color w:val="auto"/>
                <w:sz w:val="16"/>
                <w:szCs w:val="16"/>
                <w:highlight w:val="none"/>
                <w:shd w:val="clear" w:color="auto" w:fill="FFFFFF"/>
                <w:vertAlign w:val="baseline"/>
              </w:rPr>
            </w:pPr>
            <w:r>
              <w:rPr>
                <w:rFonts w:hint="default" w:ascii="Times New Roman" w:hAnsi="Times New Roman" w:eastAsia="方正仿宋_GBK" w:cs="Times New Roman"/>
                <w:i w:val="0"/>
                <w:color w:val="000000"/>
                <w:kern w:val="0"/>
                <w:sz w:val="16"/>
                <w:szCs w:val="16"/>
                <w:u w:val="none"/>
                <w:lang w:val="en-US" w:eastAsia="zh-CN" w:bidi="ar"/>
              </w:rPr>
              <w:t>90</w:t>
            </w:r>
          </w:p>
        </w:tc>
        <w:tc>
          <w:tcPr>
            <w:tcW w:w="660" w:type="dxa"/>
            <w:vAlign w:val="center"/>
          </w:tcPr>
          <w:p>
            <w:pPr>
              <w:keepNext w:val="0"/>
              <w:keepLines w:val="0"/>
              <w:pageBreakBefore w:val="0"/>
              <w:widowControl/>
              <w:suppressLineNumbers w:val="0"/>
              <w:kinsoku/>
              <w:wordWrap/>
              <w:overflowPunct/>
              <w:topLinePunct w:val="0"/>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color w:val="auto"/>
                <w:sz w:val="16"/>
                <w:szCs w:val="16"/>
                <w:highlight w:val="none"/>
                <w:shd w:val="clear" w:color="auto" w:fill="FFFFFF"/>
                <w:vertAlign w:val="baseline"/>
              </w:rPr>
            </w:pPr>
            <w:r>
              <w:rPr>
                <w:rFonts w:hint="default" w:ascii="Times New Roman" w:hAnsi="Times New Roman" w:eastAsia="方正仿宋_GBK" w:cs="Times New Roman"/>
                <w:i w:val="0"/>
                <w:color w:val="000000"/>
                <w:kern w:val="0"/>
                <w:sz w:val="16"/>
                <w:szCs w:val="16"/>
                <w:u w:val="none"/>
                <w:lang w:val="en-US" w:eastAsia="zh-CN" w:bidi="ar"/>
              </w:rPr>
              <w:t>10</w:t>
            </w:r>
          </w:p>
        </w:tc>
        <w:tc>
          <w:tcPr>
            <w:tcW w:w="1050" w:type="dxa"/>
            <w:gridSpan w:val="2"/>
            <w:vAlign w:val="center"/>
          </w:tcPr>
          <w:p>
            <w:pPr>
              <w:keepNext w:val="0"/>
              <w:keepLines w:val="0"/>
              <w:pageBreakBefore w:val="0"/>
              <w:widowControl/>
              <w:suppressLineNumbers w:val="0"/>
              <w:kinsoku/>
              <w:wordWrap/>
              <w:overflowPunct/>
              <w:topLinePunct w:val="0"/>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color w:val="auto"/>
                <w:sz w:val="16"/>
                <w:szCs w:val="16"/>
                <w:highlight w:val="none"/>
                <w:shd w:val="clear" w:color="auto" w:fill="FFFFFF"/>
                <w:vertAlign w:val="baseline"/>
              </w:rPr>
            </w:pPr>
            <w:r>
              <w:rPr>
                <w:rFonts w:hint="default" w:ascii="Times New Roman" w:hAnsi="Times New Roman" w:eastAsia="方正仿宋_GBK" w:cs="Times New Roman"/>
                <w:i w:val="0"/>
                <w:color w:val="000000"/>
                <w:kern w:val="0"/>
                <w:sz w:val="16"/>
                <w:szCs w:val="16"/>
                <w:u w:val="none"/>
                <w:lang w:val="en-US" w:eastAsia="zh-CN" w:bidi="ar"/>
              </w:rPr>
              <w:t>90</w:t>
            </w:r>
          </w:p>
        </w:tc>
        <w:tc>
          <w:tcPr>
            <w:tcW w:w="1175" w:type="dxa"/>
            <w:vAlign w:val="center"/>
          </w:tcPr>
          <w:p>
            <w:pPr>
              <w:keepNext w:val="0"/>
              <w:keepLines w:val="0"/>
              <w:pageBreakBefore w:val="0"/>
              <w:widowControl/>
              <w:suppressLineNumbers w:val="0"/>
              <w:kinsoku/>
              <w:wordWrap/>
              <w:overflowPunct/>
              <w:topLinePunct w:val="0"/>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color w:val="auto"/>
                <w:sz w:val="16"/>
                <w:szCs w:val="16"/>
                <w:highlight w:val="none"/>
                <w:shd w:val="clear" w:color="auto" w:fill="FFFFFF"/>
                <w:vertAlign w:val="baseline"/>
              </w:rPr>
            </w:pPr>
            <w:r>
              <w:rPr>
                <w:rFonts w:hint="default" w:ascii="Times New Roman" w:hAnsi="Times New Roman" w:eastAsia="方正仿宋_GBK" w:cs="Times New Roman"/>
                <w:i w:val="0"/>
                <w:color w:val="000000"/>
                <w:kern w:val="0"/>
                <w:sz w:val="16"/>
                <w:szCs w:val="16"/>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vMerge w:val="continue"/>
          </w:tcPr>
          <w:p>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16"/>
                <w:szCs w:val="16"/>
                <w:highlight w:val="none"/>
                <w:shd w:val="clear" w:color="auto" w:fill="FFFFFF"/>
                <w:vertAlign w:val="baseline"/>
              </w:rPr>
            </w:pPr>
          </w:p>
        </w:tc>
        <w:tc>
          <w:tcPr>
            <w:tcW w:w="1665" w:type="dxa"/>
            <w:gridSpan w:val="2"/>
            <w:vAlign w:val="center"/>
          </w:tcPr>
          <w:p>
            <w:pPr>
              <w:keepNext w:val="0"/>
              <w:keepLines w:val="0"/>
              <w:pageBreakBefore w:val="0"/>
              <w:widowControl/>
              <w:suppressLineNumbers w:val="0"/>
              <w:kinsoku/>
              <w:wordWrap/>
              <w:overflowPunct/>
              <w:topLinePunct w:val="0"/>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color w:val="auto"/>
                <w:sz w:val="16"/>
                <w:szCs w:val="16"/>
                <w:highlight w:val="none"/>
                <w:shd w:val="clear" w:color="auto" w:fill="FFFFFF"/>
                <w:vertAlign w:val="baseline"/>
              </w:rPr>
            </w:pPr>
            <w:r>
              <w:rPr>
                <w:rFonts w:hint="default" w:ascii="Times New Roman" w:hAnsi="Times New Roman" w:eastAsia="方正仿宋_GBK" w:cs="Times New Roman"/>
                <w:i w:val="0"/>
                <w:color w:val="000000"/>
                <w:kern w:val="0"/>
                <w:sz w:val="16"/>
                <w:szCs w:val="16"/>
                <w:u w:val="none"/>
                <w:lang w:val="en-US" w:eastAsia="zh-CN" w:bidi="ar"/>
              </w:rPr>
              <w:t>"三公"经费下降</w:t>
            </w:r>
          </w:p>
        </w:tc>
        <w:tc>
          <w:tcPr>
            <w:tcW w:w="690" w:type="dxa"/>
            <w:gridSpan w:val="2"/>
            <w:vAlign w:val="center"/>
          </w:tcPr>
          <w:p>
            <w:pPr>
              <w:keepNext w:val="0"/>
              <w:keepLines w:val="0"/>
              <w:pageBreakBefore w:val="0"/>
              <w:widowControl/>
              <w:suppressLineNumbers w:val="0"/>
              <w:kinsoku/>
              <w:wordWrap/>
              <w:overflowPunct/>
              <w:topLinePunct w:val="0"/>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color w:val="auto"/>
                <w:sz w:val="16"/>
                <w:szCs w:val="16"/>
                <w:highlight w:val="none"/>
                <w:shd w:val="clear" w:color="auto" w:fill="FFFFFF"/>
                <w:vertAlign w:val="baseline"/>
              </w:rPr>
            </w:pPr>
            <w:r>
              <w:rPr>
                <w:rFonts w:hint="default" w:ascii="Times New Roman" w:hAnsi="Times New Roman" w:eastAsia="方正仿宋_GBK" w:cs="Times New Roman"/>
                <w:i w:val="0"/>
                <w:color w:val="000000"/>
                <w:kern w:val="0"/>
                <w:sz w:val="16"/>
                <w:szCs w:val="16"/>
                <w:u w:val="none"/>
                <w:lang w:val="en-US" w:eastAsia="zh-CN" w:bidi="ar"/>
              </w:rPr>
              <w:t>%</w:t>
            </w:r>
          </w:p>
        </w:tc>
        <w:tc>
          <w:tcPr>
            <w:tcW w:w="718" w:type="dxa"/>
            <w:vAlign w:val="center"/>
          </w:tcPr>
          <w:p>
            <w:pPr>
              <w:keepNext w:val="0"/>
              <w:keepLines w:val="0"/>
              <w:pageBreakBefore w:val="0"/>
              <w:widowControl/>
              <w:suppressLineNumbers w:val="0"/>
              <w:kinsoku/>
              <w:wordWrap/>
              <w:overflowPunct/>
              <w:topLinePunct w:val="0"/>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color w:val="auto"/>
                <w:sz w:val="16"/>
                <w:szCs w:val="16"/>
                <w:highlight w:val="none"/>
                <w:shd w:val="clear" w:color="auto" w:fill="FFFFFF"/>
                <w:vertAlign w:val="baseline"/>
              </w:rPr>
            </w:pPr>
            <w:r>
              <w:rPr>
                <w:rFonts w:hint="default" w:ascii="Times New Roman" w:hAnsi="Times New Roman" w:eastAsia="方正仿宋_GBK" w:cs="Times New Roman"/>
                <w:i w:val="0"/>
                <w:color w:val="000000"/>
                <w:kern w:val="0"/>
                <w:sz w:val="16"/>
                <w:szCs w:val="16"/>
                <w:u w:val="none"/>
                <w:lang w:val="en-US" w:eastAsia="zh-CN" w:bidi="ar"/>
              </w:rPr>
              <w:t>≥</w:t>
            </w:r>
          </w:p>
        </w:tc>
        <w:tc>
          <w:tcPr>
            <w:tcW w:w="1382" w:type="dxa"/>
            <w:vAlign w:val="center"/>
          </w:tcPr>
          <w:p>
            <w:pPr>
              <w:keepNext w:val="0"/>
              <w:keepLines w:val="0"/>
              <w:pageBreakBefore w:val="0"/>
              <w:widowControl/>
              <w:suppressLineNumbers w:val="0"/>
              <w:kinsoku/>
              <w:wordWrap/>
              <w:overflowPunct/>
              <w:topLinePunct w:val="0"/>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color w:val="auto"/>
                <w:sz w:val="16"/>
                <w:szCs w:val="16"/>
                <w:highlight w:val="none"/>
                <w:shd w:val="clear" w:color="auto" w:fill="FFFFFF"/>
                <w:vertAlign w:val="baseline"/>
              </w:rPr>
            </w:pPr>
            <w:r>
              <w:rPr>
                <w:rFonts w:hint="default" w:ascii="Times New Roman" w:hAnsi="Times New Roman" w:eastAsia="方正仿宋_GBK" w:cs="Times New Roman"/>
                <w:i w:val="0"/>
                <w:color w:val="000000"/>
                <w:kern w:val="0"/>
                <w:sz w:val="16"/>
                <w:szCs w:val="16"/>
                <w:u w:val="none"/>
                <w:lang w:val="en-US" w:eastAsia="zh-CN" w:bidi="ar"/>
              </w:rPr>
              <w:t>5</w:t>
            </w:r>
          </w:p>
        </w:tc>
        <w:tc>
          <w:tcPr>
            <w:tcW w:w="660" w:type="dxa"/>
            <w:vAlign w:val="center"/>
          </w:tcPr>
          <w:p>
            <w:pPr>
              <w:keepNext w:val="0"/>
              <w:keepLines w:val="0"/>
              <w:pageBreakBefore w:val="0"/>
              <w:widowControl/>
              <w:suppressLineNumbers w:val="0"/>
              <w:kinsoku/>
              <w:wordWrap/>
              <w:overflowPunct/>
              <w:topLinePunct w:val="0"/>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color w:val="auto"/>
                <w:sz w:val="16"/>
                <w:szCs w:val="16"/>
                <w:highlight w:val="none"/>
                <w:shd w:val="clear" w:color="auto" w:fill="FFFFFF"/>
                <w:vertAlign w:val="baseline"/>
              </w:rPr>
            </w:pPr>
            <w:r>
              <w:rPr>
                <w:rFonts w:hint="default" w:ascii="Times New Roman" w:hAnsi="Times New Roman" w:eastAsia="方正仿宋_GBK" w:cs="Times New Roman"/>
                <w:i w:val="0"/>
                <w:color w:val="000000"/>
                <w:kern w:val="0"/>
                <w:sz w:val="16"/>
                <w:szCs w:val="16"/>
                <w:u w:val="none"/>
                <w:lang w:val="en-US" w:eastAsia="zh-CN" w:bidi="ar"/>
              </w:rPr>
              <w:t>10</w:t>
            </w:r>
          </w:p>
        </w:tc>
        <w:tc>
          <w:tcPr>
            <w:tcW w:w="1050" w:type="dxa"/>
            <w:gridSpan w:val="2"/>
            <w:vAlign w:val="center"/>
          </w:tcPr>
          <w:p>
            <w:pPr>
              <w:keepNext w:val="0"/>
              <w:keepLines w:val="0"/>
              <w:pageBreakBefore w:val="0"/>
              <w:widowControl/>
              <w:suppressLineNumbers w:val="0"/>
              <w:kinsoku/>
              <w:wordWrap/>
              <w:overflowPunct/>
              <w:topLinePunct w:val="0"/>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color w:val="auto"/>
                <w:sz w:val="16"/>
                <w:szCs w:val="16"/>
                <w:highlight w:val="none"/>
                <w:shd w:val="clear" w:color="auto" w:fill="FFFFFF"/>
                <w:vertAlign w:val="baseline"/>
              </w:rPr>
            </w:pPr>
            <w:r>
              <w:rPr>
                <w:rFonts w:hint="default" w:ascii="Times New Roman" w:hAnsi="Times New Roman" w:eastAsia="方正仿宋_GBK" w:cs="Times New Roman"/>
                <w:i w:val="0"/>
                <w:color w:val="000000"/>
                <w:kern w:val="0"/>
                <w:sz w:val="16"/>
                <w:szCs w:val="16"/>
                <w:u w:val="none"/>
                <w:lang w:val="en-US" w:eastAsia="zh-CN" w:bidi="ar"/>
              </w:rPr>
              <w:t>5</w:t>
            </w:r>
          </w:p>
        </w:tc>
        <w:tc>
          <w:tcPr>
            <w:tcW w:w="1175" w:type="dxa"/>
            <w:vAlign w:val="center"/>
          </w:tcPr>
          <w:p>
            <w:pPr>
              <w:keepNext w:val="0"/>
              <w:keepLines w:val="0"/>
              <w:pageBreakBefore w:val="0"/>
              <w:widowControl/>
              <w:suppressLineNumbers w:val="0"/>
              <w:kinsoku/>
              <w:wordWrap/>
              <w:overflowPunct/>
              <w:topLinePunct w:val="0"/>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color w:val="auto"/>
                <w:sz w:val="16"/>
                <w:szCs w:val="16"/>
                <w:highlight w:val="none"/>
                <w:shd w:val="clear" w:color="auto" w:fill="FFFFFF"/>
                <w:vertAlign w:val="baseline"/>
              </w:rPr>
            </w:pPr>
            <w:r>
              <w:rPr>
                <w:rFonts w:hint="default" w:ascii="Times New Roman" w:hAnsi="Times New Roman" w:eastAsia="方正仿宋_GBK" w:cs="Times New Roman"/>
                <w:i w:val="0"/>
                <w:color w:val="000000"/>
                <w:kern w:val="0"/>
                <w:sz w:val="16"/>
                <w:szCs w:val="16"/>
                <w:u w:val="none"/>
                <w:lang w:val="en-US" w:eastAsia="zh-CN" w:bidi="ar"/>
              </w:rPr>
              <w:t>10</w:t>
            </w:r>
          </w:p>
        </w:tc>
      </w:tr>
    </w:tbl>
    <w:p>
      <w:pPr>
        <w:keepNext w:val="0"/>
        <w:keepLines w:val="0"/>
        <w:pageBreakBefore w:val="0"/>
        <w:widowControl/>
        <w:kinsoku/>
        <w:wordWrap/>
        <w:overflowPunct/>
        <w:topLinePunct w:val="0"/>
        <w:autoSpaceDN/>
        <w:bidi w:val="0"/>
        <w:adjustRightInd/>
        <w:snapToGrid/>
        <w:spacing w:line="400" w:lineRule="exact"/>
        <w:ind w:left="0" w:leftChars="0" w:right="0" w:rightChars="0" w:firstLine="0" w:firstLineChars="0"/>
        <w:rPr>
          <w:rFonts w:hint="default" w:ascii="Times New Roman" w:hAnsi="Times New Roman" w:cs="Times New Roman"/>
        </w:rPr>
      </w:pPr>
    </w:p>
    <w:tbl>
      <w:tblPr>
        <w:tblStyle w:val="12"/>
        <w:tblW w:w="8533" w:type="dxa"/>
        <w:jc w:val="center"/>
        <w:tblInd w:w="93" w:type="dxa"/>
        <w:tblLayout w:type="fixed"/>
        <w:tblCellMar>
          <w:top w:w="0" w:type="dxa"/>
          <w:left w:w="108" w:type="dxa"/>
          <w:bottom w:w="0" w:type="dxa"/>
          <w:right w:w="108" w:type="dxa"/>
        </w:tblCellMar>
      </w:tblPr>
      <w:tblGrid>
        <w:gridCol w:w="600"/>
        <w:gridCol w:w="750"/>
        <w:gridCol w:w="1433"/>
        <w:gridCol w:w="390"/>
        <w:gridCol w:w="795"/>
        <w:gridCol w:w="382"/>
        <w:gridCol w:w="705"/>
        <w:gridCol w:w="945"/>
        <w:gridCol w:w="983"/>
        <w:gridCol w:w="735"/>
        <w:gridCol w:w="815"/>
      </w:tblGrid>
      <w:tr>
        <w:tblPrEx>
          <w:tblLayout w:type="fixed"/>
          <w:tblCellMar>
            <w:top w:w="0" w:type="dxa"/>
            <w:left w:w="108" w:type="dxa"/>
            <w:bottom w:w="0" w:type="dxa"/>
            <w:right w:w="108" w:type="dxa"/>
          </w:tblCellMar>
        </w:tblPrEx>
        <w:trPr>
          <w:trHeight w:val="780" w:hRule="atLeast"/>
          <w:jc w:val="center"/>
        </w:trPr>
        <w:tc>
          <w:tcPr>
            <w:tcW w:w="8533" w:type="dxa"/>
            <w:gridSpan w:val="11"/>
            <w:tcBorders>
              <w:top w:val="nil"/>
              <w:left w:val="nil"/>
              <w:bottom w:val="single" w:color="000000" w:sz="4" w:space="0"/>
              <w:right w:val="nil"/>
            </w:tcBorders>
            <w:vAlign w:val="center"/>
          </w:tcPr>
          <w:p>
            <w:pPr>
              <w:keepNext w:val="0"/>
              <w:keepLines w:val="0"/>
              <w:pageBreakBefore w:val="0"/>
              <w:widowControl/>
              <w:kinsoku/>
              <w:wordWrap/>
              <w:overflowPunct/>
              <w:topLinePunct w:val="0"/>
              <w:autoSpaceDN/>
              <w:bidi w:val="0"/>
              <w:adjustRightInd/>
              <w:snapToGrid/>
              <w:spacing w:afterAutospacing="0" w:line="400" w:lineRule="exact"/>
              <w:ind w:left="0" w:leftChars="0" w:right="0" w:rightChars="0" w:firstLine="0" w:firstLineChars="0"/>
              <w:jc w:val="both"/>
              <w:textAlignment w:val="center"/>
              <w:outlineLvl w:val="9"/>
              <w:rPr>
                <w:rFonts w:hint="default" w:ascii="Times New Roman" w:hAnsi="Times New Roman" w:eastAsia="方正仿宋_GBK" w:cs="Times New Roman"/>
                <w:b w:val="0"/>
                <w:bCs/>
                <w:kern w:val="0"/>
                <w:sz w:val="32"/>
                <w:szCs w:val="32"/>
                <w:shd w:val="clear" w:color="auto" w:fill="FFFFFF"/>
                <w:lang w:val="en-US" w:eastAsia="zh-CN" w:bidi="ar"/>
              </w:rPr>
            </w:pPr>
          </w:p>
          <w:p>
            <w:pPr>
              <w:keepNext w:val="0"/>
              <w:keepLines w:val="0"/>
              <w:pageBreakBefore w:val="0"/>
              <w:widowControl/>
              <w:kinsoku/>
              <w:wordWrap/>
              <w:overflowPunct/>
              <w:topLinePunct w:val="0"/>
              <w:autoSpaceDN/>
              <w:bidi w:val="0"/>
              <w:adjustRightInd/>
              <w:snapToGrid/>
              <w:spacing w:afterAutospacing="0" w:line="400" w:lineRule="exact"/>
              <w:ind w:left="0" w:leftChars="0" w:right="0" w:rightChars="0" w:firstLine="0" w:firstLineChars="0"/>
              <w:jc w:val="center"/>
              <w:textAlignment w:val="center"/>
              <w:outlineLvl w:val="9"/>
              <w:rPr>
                <w:rFonts w:hint="default" w:ascii="Times New Roman" w:hAnsi="Times New Roman" w:eastAsia="方正小标宋_GBK" w:cs="Times New Roman"/>
                <w:b w:val="0"/>
                <w:bCs/>
                <w:kern w:val="0"/>
                <w:sz w:val="32"/>
                <w:szCs w:val="32"/>
                <w:shd w:val="clear" w:color="auto" w:fill="FFFFFF"/>
                <w:lang w:val="en-US" w:eastAsia="zh-CN" w:bidi="ar"/>
              </w:rPr>
            </w:pPr>
            <w:r>
              <w:rPr>
                <w:rFonts w:hint="default" w:ascii="Times New Roman" w:hAnsi="Times New Roman" w:eastAsia="方正小标宋_GBK" w:cs="Times New Roman"/>
                <w:b w:val="0"/>
                <w:bCs/>
                <w:kern w:val="0"/>
                <w:sz w:val="32"/>
                <w:szCs w:val="32"/>
                <w:shd w:val="clear" w:color="auto" w:fill="FFFFFF"/>
                <w:lang w:val="en-US" w:eastAsia="zh-CN" w:bidi="ar"/>
              </w:rPr>
              <w:t>秀山土家族苗族自治县石耶镇人民政府</w:t>
            </w:r>
          </w:p>
          <w:p>
            <w:pPr>
              <w:keepNext w:val="0"/>
              <w:keepLines w:val="0"/>
              <w:pageBreakBefore w:val="0"/>
              <w:widowControl/>
              <w:kinsoku/>
              <w:wordWrap/>
              <w:overflowPunct/>
              <w:topLinePunct w:val="0"/>
              <w:autoSpaceDN/>
              <w:bidi w:val="0"/>
              <w:adjustRightInd/>
              <w:snapToGrid/>
              <w:spacing w:afterAutospacing="0" w:line="400" w:lineRule="exact"/>
              <w:ind w:left="0" w:leftChars="0" w:right="0" w:rightChars="0" w:firstLine="0" w:firstLineChars="0"/>
              <w:jc w:val="center"/>
              <w:textAlignment w:val="center"/>
              <w:outlineLvl w:val="9"/>
              <w:rPr>
                <w:rFonts w:hint="default" w:ascii="Times New Roman" w:hAnsi="Times New Roman" w:eastAsia="方正小标宋_GBK" w:cs="Times New Roman"/>
                <w:color w:val="000000"/>
                <w:sz w:val="36"/>
                <w:szCs w:val="36"/>
              </w:rPr>
            </w:pPr>
            <w:r>
              <w:rPr>
                <w:rFonts w:hint="default" w:ascii="Times New Roman" w:hAnsi="Times New Roman" w:eastAsia="方正小标宋_GBK" w:cs="Times New Roman"/>
                <w:b w:val="0"/>
                <w:bCs/>
                <w:kern w:val="0"/>
                <w:sz w:val="32"/>
                <w:szCs w:val="32"/>
                <w:shd w:val="clear" w:color="auto" w:fill="FFFFFF"/>
                <w:lang w:val="en-US" w:eastAsia="zh-CN" w:bidi="ar"/>
              </w:rPr>
              <w:t>2023年度项目支出绩效自评表（二级项目）</w:t>
            </w:r>
          </w:p>
        </w:tc>
      </w:tr>
      <w:tr>
        <w:tblPrEx>
          <w:tblLayout w:type="fixed"/>
          <w:tblCellMar>
            <w:top w:w="0" w:type="dxa"/>
            <w:left w:w="108" w:type="dxa"/>
            <w:bottom w:w="0" w:type="dxa"/>
            <w:right w:w="108" w:type="dxa"/>
          </w:tblCellMar>
        </w:tblPrEx>
        <w:trPr>
          <w:trHeight w:val="600" w:hRule="atLeast"/>
          <w:jc w:val="center"/>
        </w:trPr>
        <w:tc>
          <w:tcPr>
            <w:tcW w:w="600"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textAlignment w:val="center"/>
              <w:outlineLvl w:val="9"/>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lang w:bidi="ar"/>
              </w:rPr>
              <w:t>序号</w:t>
            </w:r>
          </w:p>
        </w:tc>
        <w:tc>
          <w:tcPr>
            <w:tcW w:w="750"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textAlignment w:val="center"/>
              <w:outlineLvl w:val="9"/>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lang w:bidi="ar"/>
              </w:rPr>
              <w:t>项目名称</w:t>
            </w:r>
          </w:p>
        </w:tc>
        <w:tc>
          <w:tcPr>
            <w:tcW w:w="1433"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textAlignment w:val="center"/>
              <w:outlineLvl w:val="9"/>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lang w:bidi="ar"/>
              </w:rPr>
              <w:t>指标名称</w:t>
            </w:r>
          </w:p>
        </w:tc>
        <w:tc>
          <w:tcPr>
            <w:tcW w:w="390"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textAlignment w:val="center"/>
              <w:outlineLvl w:val="9"/>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lang w:bidi="ar"/>
              </w:rPr>
              <w:t>指标性质</w:t>
            </w:r>
          </w:p>
        </w:tc>
        <w:tc>
          <w:tcPr>
            <w:tcW w:w="795"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textAlignment w:val="center"/>
              <w:outlineLvl w:val="9"/>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lang w:bidi="ar"/>
              </w:rPr>
              <w:t>指标值</w:t>
            </w:r>
          </w:p>
        </w:tc>
        <w:tc>
          <w:tcPr>
            <w:tcW w:w="382"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textAlignment w:val="center"/>
              <w:outlineLvl w:val="9"/>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lang w:bidi="ar"/>
              </w:rPr>
              <w:t>计量单位</w:t>
            </w:r>
          </w:p>
        </w:tc>
        <w:tc>
          <w:tcPr>
            <w:tcW w:w="705"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textAlignment w:val="center"/>
              <w:outlineLvl w:val="9"/>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lang w:bidi="ar"/>
              </w:rPr>
              <w:t>指标权重</w:t>
            </w:r>
          </w:p>
        </w:tc>
        <w:tc>
          <w:tcPr>
            <w:tcW w:w="945"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textAlignment w:val="center"/>
              <w:outlineLvl w:val="9"/>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lang w:bidi="ar"/>
              </w:rPr>
              <w:t>全年完成值</w:t>
            </w:r>
          </w:p>
        </w:tc>
        <w:tc>
          <w:tcPr>
            <w:tcW w:w="983"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textAlignment w:val="center"/>
              <w:outlineLvl w:val="9"/>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lang w:bidi="ar"/>
              </w:rPr>
              <w:t>指标得分</w:t>
            </w:r>
          </w:p>
        </w:tc>
        <w:tc>
          <w:tcPr>
            <w:tcW w:w="735"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textAlignment w:val="center"/>
              <w:outlineLvl w:val="9"/>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lang w:bidi="ar"/>
              </w:rPr>
              <w:t>说明</w:t>
            </w:r>
          </w:p>
        </w:tc>
        <w:tc>
          <w:tcPr>
            <w:tcW w:w="815"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textAlignment w:val="center"/>
              <w:outlineLvl w:val="9"/>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lang w:bidi="ar"/>
              </w:rPr>
              <w:t>自评得分</w:t>
            </w:r>
          </w:p>
        </w:tc>
      </w:tr>
      <w:tr>
        <w:tblPrEx>
          <w:tblLayout w:type="fixed"/>
          <w:tblCellMar>
            <w:top w:w="0" w:type="dxa"/>
            <w:left w:w="108" w:type="dxa"/>
            <w:bottom w:w="0" w:type="dxa"/>
            <w:right w:w="108" w:type="dxa"/>
          </w:tblCellMar>
        </w:tblPrEx>
        <w:trPr>
          <w:trHeight w:val="432" w:hRule="atLeast"/>
          <w:jc w:val="center"/>
        </w:trPr>
        <w:tc>
          <w:tcPr>
            <w:tcW w:w="60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textAlignment w:val="center"/>
              <w:outlineLvl w:val="9"/>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lang w:bidi="ar"/>
              </w:rPr>
              <w:t>1</w:t>
            </w:r>
          </w:p>
        </w:tc>
        <w:tc>
          <w:tcPr>
            <w:tcW w:w="75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乡镇环保专项</w:t>
            </w:r>
          </w:p>
        </w:tc>
        <w:tc>
          <w:tcPr>
            <w:tcW w:w="14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color w:val="000000"/>
                <w:kern w:val="0"/>
                <w:sz w:val="21"/>
                <w:szCs w:val="21"/>
                <w:u w:val="none"/>
                <w:lang w:val="en-US" w:eastAsia="zh-CN" w:bidi="ar"/>
              </w:rPr>
              <w:t>垃圾转运次数</w:t>
            </w:r>
          </w:p>
        </w:tc>
        <w:tc>
          <w:tcPr>
            <w:tcW w:w="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color w:val="000000"/>
                <w:kern w:val="0"/>
                <w:sz w:val="21"/>
                <w:szCs w:val="21"/>
                <w:u w:val="none"/>
                <w:lang w:val="en-US" w:eastAsia="zh-CN" w:bidi="ar"/>
              </w:rPr>
              <w:t>≥</w:t>
            </w:r>
          </w:p>
        </w:tc>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right"/>
              <w:textAlignment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i w:val="0"/>
                <w:color w:val="000000"/>
                <w:kern w:val="0"/>
                <w:sz w:val="21"/>
                <w:szCs w:val="21"/>
                <w:u w:val="none"/>
                <w:lang w:val="en-US" w:eastAsia="zh-CN" w:bidi="ar"/>
              </w:rPr>
              <w:t>12</w:t>
            </w:r>
          </w:p>
        </w:tc>
        <w:tc>
          <w:tcPr>
            <w:tcW w:w="3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i w:val="0"/>
                <w:color w:val="000000"/>
                <w:kern w:val="0"/>
                <w:sz w:val="21"/>
                <w:szCs w:val="21"/>
                <w:u w:val="none"/>
                <w:lang w:val="en-US" w:eastAsia="zh-CN" w:bidi="ar"/>
              </w:rPr>
              <w:t>次</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right"/>
              <w:textAlignment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i w:val="0"/>
                <w:color w:val="000000"/>
                <w:kern w:val="0"/>
                <w:sz w:val="21"/>
                <w:szCs w:val="21"/>
                <w:u w:val="none"/>
                <w:lang w:val="en-US" w:eastAsia="zh-CN" w:bidi="ar"/>
              </w:rPr>
              <w:t>20</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right"/>
              <w:textAlignment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i w:val="0"/>
                <w:color w:val="000000"/>
                <w:kern w:val="0"/>
                <w:sz w:val="21"/>
                <w:szCs w:val="21"/>
                <w:u w:val="none"/>
                <w:lang w:val="en-US" w:eastAsia="zh-CN" w:bidi="ar"/>
              </w:rPr>
              <w:t>12</w:t>
            </w:r>
          </w:p>
        </w:tc>
        <w:tc>
          <w:tcPr>
            <w:tcW w:w="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righ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color w:val="000000"/>
                <w:kern w:val="0"/>
                <w:sz w:val="21"/>
                <w:szCs w:val="21"/>
                <w:u w:val="none"/>
                <w:lang w:val="en-US" w:eastAsia="zh-CN" w:bidi="ar"/>
              </w:rPr>
              <w:t>20</w:t>
            </w: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rPr>
                <w:rFonts w:hint="default" w:ascii="Times New Roman" w:hAnsi="Times New Roman" w:eastAsia="方正仿宋_GBK" w:cs="Times New Roman"/>
                <w:color w:val="000000"/>
                <w:sz w:val="21"/>
                <w:szCs w:val="21"/>
              </w:rPr>
            </w:pPr>
          </w:p>
        </w:tc>
        <w:tc>
          <w:tcPr>
            <w:tcW w:w="81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100</w:t>
            </w:r>
          </w:p>
        </w:tc>
      </w:tr>
      <w:tr>
        <w:tblPrEx>
          <w:tblLayout w:type="fixed"/>
          <w:tblCellMar>
            <w:top w:w="0" w:type="dxa"/>
            <w:left w:w="108" w:type="dxa"/>
            <w:bottom w:w="0" w:type="dxa"/>
            <w:right w:w="108" w:type="dxa"/>
          </w:tblCellMar>
        </w:tblPrEx>
        <w:trPr>
          <w:trHeight w:val="432" w:hRule="atLeast"/>
          <w:jc w:val="center"/>
        </w:trPr>
        <w:tc>
          <w:tcPr>
            <w:tcW w:w="60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0" w:firstLineChars="0"/>
              <w:jc w:val="both"/>
              <w:textAlignment w:val="center"/>
              <w:outlineLvl w:val="9"/>
              <w:rPr>
                <w:rFonts w:hint="default" w:ascii="Times New Roman" w:hAnsi="Times New Roman" w:eastAsia="方正仿宋_GBK" w:cs="Times New Roman"/>
                <w:color w:val="000000"/>
                <w:sz w:val="21"/>
                <w:szCs w:val="21"/>
              </w:rPr>
            </w:pPr>
          </w:p>
        </w:tc>
        <w:tc>
          <w:tcPr>
            <w:tcW w:w="75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p>
        </w:tc>
        <w:tc>
          <w:tcPr>
            <w:tcW w:w="14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color w:val="000000"/>
                <w:kern w:val="0"/>
                <w:sz w:val="21"/>
                <w:szCs w:val="21"/>
                <w:u w:val="none"/>
                <w:lang w:val="en-US" w:eastAsia="zh-CN" w:bidi="ar"/>
              </w:rPr>
              <w:t>涉及集镇数量</w:t>
            </w:r>
          </w:p>
        </w:tc>
        <w:tc>
          <w:tcPr>
            <w:tcW w:w="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left"/>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i w:val="0"/>
                <w:color w:val="000000"/>
                <w:kern w:val="0"/>
                <w:sz w:val="21"/>
                <w:szCs w:val="21"/>
                <w:u w:val="none"/>
                <w:lang w:val="en-US" w:eastAsia="zh-CN" w:bidi="ar"/>
              </w:rPr>
              <w:t>≥</w:t>
            </w:r>
          </w:p>
        </w:tc>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right"/>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i w:val="0"/>
                <w:color w:val="000000"/>
                <w:kern w:val="0"/>
                <w:sz w:val="21"/>
                <w:szCs w:val="21"/>
                <w:u w:val="none"/>
                <w:lang w:val="en-US" w:eastAsia="zh-CN" w:bidi="ar"/>
              </w:rPr>
              <w:t>1</w:t>
            </w:r>
          </w:p>
        </w:tc>
        <w:tc>
          <w:tcPr>
            <w:tcW w:w="3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left"/>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i w:val="0"/>
                <w:color w:val="000000"/>
                <w:kern w:val="0"/>
                <w:sz w:val="21"/>
                <w:szCs w:val="21"/>
                <w:u w:val="none"/>
                <w:lang w:val="en-US" w:eastAsia="zh-CN" w:bidi="ar"/>
              </w:rPr>
              <w:t>个</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right"/>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i w:val="0"/>
                <w:color w:val="000000"/>
                <w:kern w:val="0"/>
                <w:sz w:val="21"/>
                <w:szCs w:val="21"/>
                <w:u w:val="none"/>
                <w:lang w:val="en-US" w:eastAsia="zh-CN" w:bidi="ar"/>
              </w:rPr>
              <w:t>20</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right"/>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i w:val="0"/>
                <w:color w:val="000000"/>
                <w:kern w:val="0"/>
                <w:sz w:val="21"/>
                <w:szCs w:val="21"/>
                <w:u w:val="none"/>
                <w:lang w:val="en-US" w:eastAsia="zh-CN" w:bidi="ar"/>
              </w:rPr>
              <w:t>1</w:t>
            </w:r>
          </w:p>
        </w:tc>
        <w:tc>
          <w:tcPr>
            <w:tcW w:w="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right"/>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i w:val="0"/>
                <w:color w:val="000000"/>
                <w:kern w:val="0"/>
                <w:sz w:val="21"/>
                <w:szCs w:val="21"/>
                <w:u w:val="none"/>
                <w:lang w:val="en-US" w:eastAsia="zh-CN" w:bidi="ar"/>
              </w:rPr>
              <w:t>20</w:t>
            </w: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rPr>
                <w:rFonts w:hint="default" w:ascii="Times New Roman" w:hAnsi="Times New Roman" w:eastAsia="方正仿宋_GBK" w:cs="Times New Roman"/>
                <w:sz w:val="21"/>
                <w:szCs w:val="21"/>
              </w:rPr>
            </w:pPr>
          </w:p>
        </w:tc>
        <w:tc>
          <w:tcPr>
            <w:tcW w:w="81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rPr>
                <w:rFonts w:hint="default" w:ascii="Times New Roman" w:hAnsi="Times New Roman" w:eastAsia="方正仿宋_GBK" w:cs="Times New Roman"/>
                <w:sz w:val="21"/>
                <w:szCs w:val="21"/>
              </w:rPr>
            </w:pPr>
          </w:p>
        </w:tc>
      </w:tr>
      <w:tr>
        <w:tblPrEx>
          <w:tblLayout w:type="fixed"/>
          <w:tblCellMar>
            <w:top w:w="0" w:type="dxa"/>
            <w:left w:w="108" w:type="dxa"/>
            <w:bottom w:w="0" w:type="dxa"/>
            <w:right w:w="108" w:type="dxa"/>
          </w:tblCellMar>
        </w:tblPrEx>
        <w:trPr>
          <w:trHeight w:val="432" w:hRule="atLeast"/>
          <w:jc w:val="center"/>
        </w:trPr>
        <w:tc>
          <w:tcPr>
            <w:tcW w:w="600" w:type="dxa"/>
            <w:vMerge w:val="continue"/>
            <w:tcBorders>
              <w:left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0" w:firstLineChars="0"/>
              <w:jc w:val="both"/>
              <w:textAlignment w:val="center"/>
              <w:outlineLvl w:val="9"/>
              <w:rPr>
                <w:rFonts w:hint="default" w:ascii="Times New Roman" w:hAnsi="Times New Roman" w:eastAsia="方正仿宋_GBK" w:cs="Times New Roman"/>
                <w:color w:val="000000"/>
                <w:sz w:val="21"/>
                <w:szCs w:val="21"/>
              </w:rPr>
            </w:pPr>
          </w:p>
        </w:tc>
        <w:tc>
          <w:tcPr>
            <w:tcW w:w="750" w:type="dxa"/>
            <w:vMerge w:val="continue"/>
            <w:tcBorders>
              <w:left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p>
        </w:tc>
        <w:tc>
          <w:tcPr>
            <w:tcW w:w="14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color w:val="000000"/>
                <w:kern w:val="0"/>
                <w:sz w:val="21"/>
                <w:szCs w:val="21"/>
                <w:u w:val="none"/>
                <w:lang w:val="en-US" w:eastAsia="zh-CN" w:bidi="ar"/>
              </w:rPr>
              <w:t>资金规模</w:t>
            </w:r>
          </w:p>
        </w:tc>
        <w:tc>
          <w:tcPr>
            <w:tcW w:w="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left"/>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i w:val="0"/>
                <w:color w:val="000000"/>
                <w:kern w:val="0"/>
                <w:sz w:val="21"/>
                <w:szCs w:val="21"/>
                <w:u w:val="none"/>
                <w:lang w:val="en-US" w:eastAsia="zh-CN" w:bidi="ar"/>
              </w:rPr>
              <w:t>＝</w:t>
            </w:r>
          </w:p>
        </w:tc>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right"/>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i w:val="0"/>
                <w:color w:val="000000"/>
                <w:kern w:val="0"/>
                <w:sz w:val="21"/>
                <w:szCs w:val="21"/>
                <w:u w:val="none"/>
                <w:lang w:val="en-US" w:eastAsia="zh-CN" w:bidi="ar"/>
              </w:rPr>
              <w:t>50</w:t>
            </w:r>
          </w:p>
        </w:tc>
        <w:tc>
          <w:tcPr>
            <w:tcW w:w="3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left"/>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i w:val="0"/>
                <w:color w:val="000000"/>
                <w:kern w:val="0"/>
                <w:sz w:val="21"/>
                <w:szCs w:val="21"/>
                <w:u w:val="none"/>
                <w:lang w:val="en-US" w:eastAsia="zh-CN" w:bidi="ar"/>
              </w:rPr>
              <w:t>万元</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right"/>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i w:val="0"/>
                <w:color w:val="000000"/>
                <w:kern w:val="0"/>
                <w:sz w:val="21"/>
                <w:szCs w:val="21"/>
                <w:u w:val="none"/>
                <w:lang w:val="en-US" w:eastAsia="zh-CN" w:bidi="ar"/>
              </w:rPr>
              <w:t>20</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right"/>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i w:val="0"/>
                <w:color w:val="000000"/>
                <w:kern w:val="0"/>
                <w:sz w:val="21"/>
                <w:szCs w:val="21"/>
                <w:u w:val="none"/>
                <w:lang w:val="en-US" w:eastAsia="zh-CN" w:bidi="ar"/>
              </w:rPr>
              <w:t>50</w:t>
            </w:r>
          </w:p>
        </w:tc>
        <w:tc>
          <w:tcPr>
            <w:tcW w:w="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right"/>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i w:val="0"/>
                <w:color w:val="000000"/>
                <w:kern w:val="0"/>
                <w:sz w:val="21"/>
                <w:szCs w:val="21"/>
                <w:u w:val="none"/>
                <w:lang w:val="en-US" w:eastAsia="zh-CN" w:bidi="ar"/>
              </w:rPr>
              <w:t>20</w:t>
            </w: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rPr>
                <w:rFonts w:hint="default" w:ascii="Times New Roman" w:hAnsi="Times New Roman" w:eastAsia="方正仿宋_GBK" w:cs="Times New Roman"/>
                <w:sz w:val="21"/>
                <w:szCs w:val="21"/>
              </w:rPr>
            </w:pPr>
          </w:p>
        </w:tc>
        <w:tc>
          <w:tcPr>
            <w:tcW w:w="81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rPr>
                <w:rFonts w:hint="default" w:ascii="Times New Roman" w:hAnsi="Times New Roman" w:eastAsia="方正仿宋_GBK" w:cs="Times New Roman"/>
                <w:sz w:val="21"/>
                <w:szCs w:val="21"/>
              </w:rPr>
            </w:pPr>
          </w:p>
        </w:tc>
      </w:tr>
      <w:tr>
        <w:tblPrEx>
          <w:tblLayout w:type="fixed"/>
          <w:tblCellMar>
            <w:top w:w="0" w:type="dxa"/>
            <w:left w:w="108" w:type="dxa"/>
            <w:bottom w:w="0" w:type="dxa"/>
            <w:right w:w="108" w:type="dxa"/>
          </w:tblCellMar>
        </w:tblPrEx>
        <w:trPr>
          <w:trHeight w:val="432" w:hRule="atLeast"/>
          <w:jc w:val="center"/>
        </w:trPr>
        <w:tc>
          <w:tcPr>
            <w:tcW w:w="600" w:type="dxa"/>
            <w:vMerge w:val="continue"/>
            <w:tcBorders>
              <w:left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0" w:firstLineChars="0"/>
              <w:jc w:val="both"/>
              <w:textAlignment w:val="center"/>
              <w:outlineLvl w:val="9"/>
              <w:rPr>
                <w:rFonts w:hint="default" w:ascii="Times New Roman" w:hAnsi="Times New Roman" w:eastAsia="方正仿宋_GBK" w:cs="Times New Roman"/>
                <w:color w:val="000000"/>
                <w:sz w:val="21"/>
                <w:szCs w:val="21"/>
              </w:rPr>
            </w:pPr>
          </w:p>
        </w:tc>
        <w:tc>
          <w:tcPr>
            <w:tcW w:w="750" w:type="dxa"/>
            <w:vMerge w:val="continue"/>
            <w:tcBorders>
              <w:left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p>
        </w:tc>
        <w:tc>
          <w:tcPr>
            <w:tcW w:w="14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color w:val="000000"/>
                <w:kern w:val="0"/>
                <w:sz w:val="21"/>
                <w:szCs w:val="21"/>
                <w:u w:val="none"/>
                <w:lang w:val="en-US" w:eastAsia="zh-CN" w:bidi="ar"/>
              </w:rPr>
              <w:t>集镇环境美化率</w:t>
            </w:r>
          </w:p>
        </w:tc>
        <w:tc>
          <w:tcPr>
            <w:tcW w:w="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left"/>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i w:val="0"/>
                <w:color w:val="000000"/>
                <w:kern w:val="0"/>
                <w:sz w:val="21"/>
                <w:szCs w:val="21"/>
                <w:u w:val="none"/>
                <w:lang w:val="en-US" w:eastAsia="zh-CN" w:bidi="ar"/>
              </w:rPr>
              <w:t>≥</w:t>
            </w:r>
          </w:p>
        </w:tc>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right"/>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i w:val="0"/>
                <w:color w:val="000000"/>
                <w:kern w:val="0"/>
                <w:sz w:val="21"/>
                <w:szCs w:val="21"/>
                <w:u w:val="none"/>
                <w:lang w:val="en-US" w:eastAsia="zh-CN" w:bidi="ar"/>
              </w:rPr>
              <w:t>98</w:t>
            </w:r>
          </w:p>
        </w:tc>
        <w:tc>
          <w:tcPr>
            <w:tcW w:w="3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left"/>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i w:val="0"/>
                <w:color w:val="000000"/>
                <w:kern w:val="0"/>
                <w:sz w:val="21"/>
                <w:szCs w:val="21"/>
                <w:u w:val="none"/>
                <w:lang w:val="en-US" w:eastAsia="zh-CN" w:bidi="ar"/>
              </w:rPr>
              <w:t>%</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right"/>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i w:val="0"/>
                <w:color w:val="000000"/>
                <w:kern w:val="0"/>
                <w:sz w:val="21"/>
                <w:szCs w:val="21"/>
                <w:u w:val="none"/>
                <w:lang w:val="en-US" w:eastAsia="zh-CN" w:bidi="ar"/>
              </w:rPr>
              <w:t>20</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right"/>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i w:val="0"/>
                <w:color w:val="000000"/>
                <w:kern w:val="0"/>
                <w:sz w:val="21"/>
                <w:szCs w:val="21"/>
                <w:u w:val="none"/>
                <w:lang w:val="en-US" w:eastAsia="zh-CN" w:bidi="ar"/>
              </w:rPr>
              <w:t>98</w:t>
            </w:r>
          </w:p>
        </w:tc>
        <w:tc>
          <w:tcPr>
            <w:tcW w:w="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right"/>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i w:val="0"/>
                <w:color w:val="000000"/>
                <w:kern w:val="0"/>
                <w:sz w:val="21"/>
                <w:szCs w:val="21"/>
                <w:u w:val="none"/>
                <w:lang w:val="en-US" w:eastAsia="zh-CN" w:bidi="ar"/>
              </w:rPr>
              <w:t>20</w:t>
            </w: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rPr>
                <w:rFonts w:hint="default" w:ascii="Times New Roman" w:hAnsi="Times New Roman" w:eastAsia="方正仿宋_GBK" w:cs="Times New Roman"/>
                <w:sz w:val="21"/>
                <w:szCs w:val="21"/>
              </w:rPr>
            </w:pPr>
          </w:p>
        </w:tc>
        <w:tc>
          <w:tcPr>
            <w:tcW w:w="81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rPr>
                <w:rFonts w:hint="default" w:ascii="Times New Roman" w:hAnsi="Times New Roman" w:eastAsia="方正仿宋_GBK" w:cs="Times New Roman"/>
                <w:sz w:val="21"/>
                <w:szCs w:val="21"/>
              </w:rPr>
            </w:pPr>
          </w:p>
        </w:tc>
      </w:tr>
      <w:tr>
        <w:tblPrEx>
          <w:tblLayout w:type="fixed"/>
          <w:tblCellMar>
            <w:top w:w="0" w:type="dxa"/>
            <w:left w:w="108" w:type="dxa"/>
            <w:bottom w:w="0" w:type="dxa"/>
            <w:right w:w="108" w:type="dxa"/>
          </w:tblCellMar>
        </w:tblPrEx>
        <w:trPr>
          <w:trHeight w:val="432" w:hRule="atLeast"/>
          <w:jc w:val="center"/>
        </w:trPr>
        <w:tc>
          <w:tcPr>
            <w:tcW w:w="600" w:type="dxa"/>
            <w:vMerge w:val="continue"/>
            <w:tcBorders>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0" w:firstLineChars="0"/>
              <w:jc w:val="both"/>
              <w:textAlignment w:val="center"/>
              <w:outlineLvl w:val="9"/>
              <w:rPr>
                <w:rFonts w:hint="default" w:ascii="Times New Roman" w:hAnsi="Times New Roman" w:eastAsia="方正仿宋_GBK" w:cs="Times New Roman"/>
                <w:color w:val="000000"/>
                <w:sz w:val="21"/>
                <w:szCs w:val="21"/>
              </w:rPr>
            </w:pPr>
          </w:p>
        </w:tc>
        <w:tc>
          <w:tcPr>
            <w:tcW w:w="750" w:type="dxa"/>
            <w:vMerge w:val="continue"/>
            <w:tcBorders>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0" w:firstLineChars="0"/>
              <w:jc w:val="both"/>
              <w:outlineLvl w:val="9"/>
              <w:rPr>
                <w:rFonts w:hint="default" w:ascii="Times New Roman" w:hAnsi="Times New Roman" w:eastAsia="方正仿宋_GBK" w:cs="Times New Roman"/>
                <w:color w:val="000000"/>
                <w:sz w:val="21"/>
                <w:szCs w:val="21"/>
              </w:rPr>
            </w:pPr>
          </w:p>
        </w:tc>
        <w:tc>
          <w:tcPr>
            <w:tcW w:w="14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color w:val="000000"/>
                <w:kern w:val="0"/>
                <w:sz w:val="21"/>
                <w:szCs w:val="21"/>
                <w:u w:val="none"/>
                <w:lang w:val="en-US" w:eastAsia="zh-CN" w:bidi="ar"/>
              </w:rPr>
              <w:t>环境美化可持续发展率</w:t>
            </w:r>
          </w:p>
        </w:tc>
        <w:tc>
          <w:tcPr>
            <w:tcW w:w="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left"/>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i w:val="0"/>
                <w:color w:val="000000"/>
                <w:kern w:val="0"/>
                <w:sz w:val="21"/>
                <w:szCs w:val="21"/>
                <w:u w:val="none"/>
                <w:lang w:val="en-US" w:eastAsia="zh-CN" w:bidi="ar"/>
              </w:rPr>
              <w:t>≥</w:t>
            </w:r>
          </w:p>
        </w:tc>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right"/>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i w:val="0"/>
                <w:color w:val="000000"/>
                <w:kern w:val="0"/>
                <w:sz w:val="21"/>
                <w:szCs w:val="21"/>
                <w:u w:val="none"/>
                <w:lang w:val="en-US" w:eastAsia="zh-CN" w:bidi="ar"/>
              </w:rPr>
              <w:t>98</w:t>
            </w:r>
          </w:p>
        </w:tc>
        <w:tc>
          <w:tcPr>
            <w:tcW w:w="3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left"/>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i w:val="0"/>
                <w:color w:val="000000"/>
                <w:kern w:val="0"/>
                <w:sz w:val="21"/>
                <w:szCs w:val="21"/>
                <w:u w:val="none"/>
                <w:lang w:val="en-US" w:eastAsia="zh-CN" w:bidi="ar"/>
              </w:rPr>
              <w:t>%</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right"/>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i w:val="0"/>
                <w:color w:val="000000"/>
                <w:kern w:val="0"/>
                <w:sz w:val="21"/>
                <w:szCs w:val="21"/>
                <w:u w:val="none"/>
                <w:lang w:val="en-US" w:eastAsia="zh-CN" w:bidi="ar"/>
              </w:rPr>
              <w:t>10</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right"/>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i w:val="0"/>
                <w:color w:val="000000"/>
                <w:kern w:val="0"/>
                <w:sz w:val="21"/>
                <w:szCs w:val="21"/>
                <w:u w:val="none"/>
                <w:lang w:val="en-US" w:eastAsia="zh-CN" w:bidi="ar"/>
              </w:rPr>
              <w:t>98</w:t>
            </w:r>
          </w:p>
        </w:tc>
        <w:tc>
          <w:tcPr>
            <w:tcW w:w="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right"/>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i w:val="0"/>
                <w:color w:val="000000"/>
                <w:kern w:val="0"/>
                <w:sz w:val="21"/>
                <w:szCs w:val="21"/>
                <w:u w:val="none"/>
                <w:lang w:val="en-US" w:eastAsia="zh-CN" w:bidi="ar"/>
              </w:rPr>
              <w:t>10</w:t>
            </w: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rPr>
                <w:rFonts w:hint="default" w:ascii="Times New Roman" w:hAnsi="Times New Roman" w:eastAsia="方正仿宋_GBK" w:cs="Times New Roman"/>
                <w:sz w:val="21"/>
                <w:szCs w:val="21"/>
              </w:rPr>
            </w:pPr>
          </w:p>
        </w:tc>
        <w:tc>
          <w:tcPr>
            <w:tcW w:w="81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rPr>
                <w:rFonts w:hint="default" w:ascii="Times New Roman" w:hAnsi="Times New Roman" w:eastAsia="方正仿宋_GBK" w:cs="Times New Roman"/>
                <w:sz w:val="21"/>
                <w:szCs w:val="21"/>
              </w:rPr>
            </w:pPr>
          </w:p>
        </w:tc>
      </w:tr>
    </w:tbl>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11"/>
          <w:rFonts w:hint="default" w:ascii="方正楷体_GBK" w:hAnsi="方正楷体_GBK" w:eastAsia="方正楷体_GBK" w:cs="方正楷体_GBK"/>
          <w:b w:val="0"/>
          <w:bCs/>
          <w:color w:val="auto"/>
          <w:sz w:val="32"/>
          <w:szCs w:val="32"/>
          <w:highlight w:val="none"/>
          <w:shd w:val="clear" w:color="auto" w:fill="FFFFFF"/>
        </w:rPr>
      </w:pPr>
      <w:r>
        <w:rPr>
          <w:rStyle w:val="11"/>
          <w:rFonts w:hint="default" w:ascii="方正楷体_GBK" w:hAnsi="方正楷体_GBK" w:eastAsia="方正楷体_GBK" w:cs="方正楷体_GBK"/>
          <w:b w:val="0"/>
          <w:bCs/>
          <w:color w:val="auto"/>
          <w:sz w:val="32"/>
          <w:szCs w:val="32"/>
          <w:highlight w:val="none"/>
          <w:shd w:val="clear" w:color="auto" w:fill="FFFFFF"/>
        </w:rPr>
        <w:t>（二）部门绩效评价情况</w:t>
      </w:r>
    </w:p>
    <w:p>
      <w:pPr>
        <w:pStyle w:val="19"/>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0" w:right="0" w:rightChars="0" w:firstLine="640" w:firstLineChars="200"/>
        <w:jc w:val="both"/>
        <w:textAlignment w:val="auto"/>
        <w:outlineLvl w:val="9"/>
        <w:rPr>
          <w:rFonts w:hint="default" w:ascii="Times New Roman" w:hAnsi="Times New Roman" w:cs="Times New Roman"/>
          <w:b/>
          <w:shd w:val="clear" w:color="auto" w:fill="FFFFFF"/>
        </w:rPr>
      </w:pPr>
      <w:r>
        <w:rPr>
          <w:rFonts w:hint="default" w:ascii="Times New Roman" w:hAnsi="Times New Roman" w:eastAsia="方正仿宋_GBK" w:cs="Times New Roman"/>
          <w:kern w:val="0"/>
          <w:sz w:val="32"/>
          <w:szCs w:val="32"/>
        </w:rPr>
        <w:t>本部门对部门整体</w:t>
      </w:r>
      <w:r>
        <w:rPr>
          <w:rFonts w:hint="default" w:ascii="Times New Roman" w:hAnsi="Times New Roman" w:eastAsia="方正仿宋_GBK" w:cs="Times New Roman"/>
          <w:kern w:val="0"/>
          <w:sz w:val="32"/>
          <w:szCs w:val="32"/>
          <w:lang w:val="en-US" w:eastAsia="zh-CN"/>
        </w:rPr>
        <w:t>90</w:t>
      </w:r>
      <w:r>
        <w:rPr>
          <w:rFonts w:hint="default" w:ascii="Times New Roman" w:hAnsi="Times New Roman" w:eastAsia="方正仿宋_GBK" w:cs="Times New Roman"/>
          <w:kern w:val="0"/>
          <w:sz w:val="32"/>
          <w:szCs w:val="32"/>
        </w:rPr>
        <w:t>个</w:t>
      </w:r>
      <w:r>
        <w:rPr>
          <w:rFonts w:hint="default" w:ascii="Times New Roman" w:hAnsi="Times New Roman" w:eastAsia="方正仿宋_GBK" w:cs="Times New Roman"/>
          <w:kern w:val="0"/>
          <w:sz w:val="32"/>
          <w:szCs w:val="32"/>
          <w:lang w:eastAsia="zh-CN"/>
        </w:rPr>
        <w:t>二级</w:t>
      </w:r>
      <w:r>
        <w:rPr>
          <w:rFonts w:hint="default" w:ascii="Times New Roman" w:hAnsi="Times New Roman" w:eastAsia="方正仿宋_GBK" w:cs="Times New Roman"/>
          <w:kern w:val="0"/>
          <w:sz w:val="32"/>
          <w:szCs w:val="32"/>
        </w:rPr>
        <w:t>项目开展了绩效自评，其中，以填报目标自评表形式开展自评</w:t>
      </w:r>
      <w:r>
        <w:rPr>
          <w:rFonts w:hint="default" w:ascii="Times New Roman" w:hAnsi="Times New Roman" w:eastAsia="方正仿宋_GBK" w:cs="Times New Roman"/>
          <w:kern w:val="0"/>
          <w:sz w:val="32"/>
          <w:szCs w:val="32"/>
          <w:lang w:val="en-US" w:eastAsia="zh-CN"/>
        </w:rPr>
        <w:t>92</w:t>
      </w:r>
      <w:r>
        <w:rPr>
          <w:rFonts w:hint="default" w:ascii="Times New Roman" w:hAnsi="Times New Roman" w:eastAsia="方正仿宋_GBK" w:cs="Times New Roman"/>
          <w:kern w:val="0"/>
          <w:sz w:val="32"/>
          <w:szCs w:val="32"/>
        </w:rPr>
        <w:t>项，这些项目主要用于社区环境卫生维护、基础设施建设等，从评价情况来看，这些资金的使用维护了社会的稳定，为构建和谐社会打下了基础。</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11"/>
          <w:rFonts w:hint="default" w:ascii="方正楷体_GBK" w:hAnsi="方正楷体_GBK" w:eastAsia="方正楷体_GBK" w:cs="方正楷体_GBK"/>
          <w:b w:val="0"/>
          <w:bCs/>
          <w:color w:val="auto"/>
          <w:sz w:val="32"/>
          <w:szCs w:val="32"/>
          <w:highlight w:val="none"/>
          <w:shd w:val="clear" w:color="auto" w:fill="FFFFFF"/>
        </w:rPr>
      </w:pPr>
      <w:r>
        <w:rPr>
          <w:rStyle w:val="11"/>
          <w:rFonts w:hint="default" w:ascii="方正楷体_GBK" w:hAnsi="方正楷体_GBK" w:eastAsia="方正楷体_GBK" w:cs="方正楷体_GBK"/>
          <w:b w:val="0"/>
          <w:bCs/>
          <w:color w:val="auto"/>
          <w:sz w:val="32"/>
          <w:szCs w:val="32"/>
          <w:highlight w:val="none"/>
          <w:shd w:val="clear" w:color="auto" w:fill="FFFFFF"/>
        </w:rPr>
        <w:t>（三）财政绩效评价情况</w:t>
      </w:r>
    </w:p>
    <w:p>
      <w:pPr>
        <w:pStyle w:val="14"/>
        <w:keepNext w:val="0"/>
        <w:keepLines w:val="0"/>
        <w:pageBreakBefore w:val="0"/>
        <w:widowControl/>
        <w:kinsoku/>
        <w:overflowPunct/>
        <w:topLinePunct w:val="0"/>
        <w:autoSpaceDE w:val="0"/>
        <w:autoSpaceDN/>
        <w:bidi w:val="0"/>
        <w:adjustRightInd/>
        <w:spacing w:beforeAutospacing="0" w:afterAutospacing="0" w:line="560" w:lineRule="exact"/>
        <w:ind w:right="0" w:rightChars="0" w:firstLine="643"/>
        <w:outlineLvl w:val="9"/>
        <w:rPr>
          <w:rFonts w:hint="default" w:ascii="Times New Roman" w:hAnsi="Times New Roman" w:eastAsia="方正仿宋_GBK" w:cs="Times New Roman"/>
          <w:color w:val="auto"/>
          <w:sz w:val="32"/>
          <w:szCs w:val="32"/>
          <w:highlight w:val="none"/>
          <w:shd w:val="clear" w:color="auto" w:fill="FFFFFF"/>
          <w:lang w:val="en-US" w:eastAsia="zh-CN" w:bidi="ar-SA"/>
        </w:rPr>
      </w:pPr>
      <w:r>
        <w:rPr>
          <w:rFonts w:hint="default" w:ascii="Times New Roman" w:hAnsi="Times New Roman" w:eastAsia="方正仿宋_GBK" w:cs="Times New Roman"/>
          <w:color w:val="auto"/>
          <w:sz w:val="32"/>
          <w:szCs w:val="32"/>
          <w:highlight w:val="none"/>
          <w:shd w:val="clear" w:color="auto" w:fill="FFFFFF"/>
          <w:lang w:val="en-US" w:eastAsia="zh-CN" w:bidi="ar-SA"/>
        </w:rPr>
        <w:t>县财政局未委托第三方对我部门开展绩效评价。</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11"/>
          <w:rFonts w:hint="default" w:ascii="方正黑体_GBK" w:hAnsi="方正黑体_GBK" w:eastAsia="方正黑体_GBK" w:cs="方正黑体_GBK"/>
          <w:color w:val="auto"/>
          <w:sz w:val="32"/>
          <w:szCs w:val="32"/>
          <w:highlight w:val="none"/>
          <w:shd w:val="clear" w:color="auto" w:fill="FFFFFF"/>
        </w:rPr>
      </w:pPr>
      <w:r>
        <w:rPr>
          <w:rStyle w:val="11"/>
          <w:rFonts w:hint="default" w:ascii="方正黑体_GBK" w:hAnsi="方正黑体_GBK" w:eastAsia="方正黑体_GBK" w:cs="方正黑体_GBK"/>
          <w:b w:val="0"/>
          <w:bCs/>
          <w:color w:val="auto"/>
          <w:sz w:val="32"/>
          <w:szCs w:val="32"/>
          <w:highlight w:val="none"/>
          <w:shd w:val="clear" w:color="auto" w:fill="FFFFFF"/>
        </w:rPr>
        <w:t>六、专业名词解释</w:t>
      </w:r>
    </w:p>
    <w:p>
      <w:pPr>
        <w:pStyle w:val="9"/>
        <w:keepNext w:val="0"/>
        <w:keepLines w:val="0"/>
        <w:pageBreakBefore w:val="0"/>
        <w:widowControl/>
        <w:kinsoku/>
        <w:overflowPunct/>
        <w:topLinePunct w:val="0"/>
        <w:autoSpaceDN/>
        <w:bidi w:val="0"/>
        <w:adjustRightInd/>
        <w:snapToGrid w:val="0"/>
        <w:spacing w:before="0" w:beforeAutospacing="0" w:after="0" w:afterAutospacing="0" w:line="560" w:lineRule="exact"/>
        <w:ind w:right="0" w:rightChars="0" w:firstLine="640" w:firstLineChars="200"/>
        <w:jc w:val="both"/>
        <w:outlineLvl w:val="9"/>
        <w:rPr>
          <w:rFonts w:hint="default" w:ascii="Times New Roman" w:hAnsi="Times New Roman" w:eastAsia="方正仿宋_GBK" w:cs="Times New Roman"/>
          <w:color w:val="auto"/>
          <w:sz w:val="32"/>
          <w:szCs w:val="32"/>
          <w:highlight w:val="none"/>
        </w:rPr>
      </w:pPr>
      <w:r>
        <w:rPr>
          <w:rStyle w:val="11"/>
          <w:rFonts w:hint="default" w:ascii="方正楷体_GBK" w:hAnsi="方正楷体_GBK" w:eastAsia="方正楷体_GBK" w:cs="方正楷体_GBK"/>
          <w:b w:val="0"/>
          <w:bCs/>
          <w:color w:val="auto"/>
          <w:sz w:val="32"/>
          <w:szCs w:val="32"/>
          <w:highlight w:val="none"/>
          <w:shd w:val="clear" w:color="auto" w:fill="FFFFFF"/>
        </w:rPr>
        <w:t>（一）财政拨款收入：</w:t>
      </w:r>
      <w:r>
        <w:rPr>
          <w:rFonts w:hint="default" w:ascii="Times New Roman" w:hAnsi="Times New Roman" w:eastAsia="方正仿宋_GBK" w:cs="Times New Roman"/>
          <w:color w:val="auto"/>
          <w:sz w:val="32"/>
          <w:szCs w:val="32"/>
          <w:highlight w:val="none"/>
          <w:shd w:val="clear" w:color="auto" w:fill="FFFFFF"/>
        </w:rPr>
        <w:t>指本年度从本级财政部门取得的财政拨款，包括一般公共预算财政拨款和政府性基金预算财政拨款。</w:t>
      </w:r>
    </w:p>
    <w:p>
      <w:pPr>
        <w:pStyle w:val="9"/>
        <w:keepNext w:val="0"/>
        <w:keepLines w:val="0"/>
        <w:pageBreakBefore w:val="0"/>
        <w:widowControl/>
        <w:kinsoku/>
        <w:overflowPunct/>
        <w:topLinePunct w:val="0"/>
        <w:autoSpaceDN/>
        <w:bidi w:val="0"/>
        <w:adjustRightInd/>
        <w:snapToGrid w:val="0"/>
        <w:spacing w:before="0" w:beforeAutospacing="0" w:after="0" w:afterAutospacing="0" w:line="560" w:lineRule="exact"/>
        <w:ind w:right="0" w:rightChars="0" w:firstLine="640" w:firstLineChars="200"/>
        <w:jc w:val="both"/>
        <w:outlineLvl w:val="9"/>
        <w:rPr>
          <w:rFonts w:hint="default" w:ascii="Times New Roman" w:hAnsi="Times New Roman" w:eastAsia="方正仿宋_GBK" w:cs="Times New Roman"/>
          <w:color w:val="auto"/>
          <w:sz w:val="32"/>
          <w:szCs w:val="32"/>
          <w:highlight w:val="none"/>
        </w:rPr>
      </w:pPr>
      <w:r>
        <w:rPr>
          <w:rStyle w:val="11"/>
          <w:rFonts w:hint="default" w:ascii="方正楷体_GBK" w:hAnsi="方正楷体_GBK" w:eastAsia="方正楷体_GBK" w:cs="方正楷体_GBK"/>
          <w:b w:val="0"/>
          <w:bCs/>
          <w:color w:val="auto"/>
          <w:sz w:val="32"/>
          <w:szCs w:val="32"/>
          <w:highlight w:val="none"/>
          <w:shd w:val="clear" w:color="auto" w:fill="FFFFFF"/>
        </w:rPr>
        <w:t>（二）事业收入：</w:t>
      </w:r>
      <w:r>
        <w:rPr>
          <w:rFonts w:hint="default" w:ascii="Times New Roman" w:hAnsi="Times New Roman" w:eastAsia="方正仿宋_GBK" w:cs="Times New Roman"/>
          <w:color w:val="auto"/>
          <w:sz w:val="32"/>
          <w:szCs w:val="32"/>
          <w:highlight w:val="none"/>
          <w:shd w:val="clear" w:color="auto" w:fill="FFFFFF"/>
        </w:rPr>
        <w:t>指事业单位开展专业业务活动及其辅助活动取得的现金流入；事业单位收到的财政专户实际核拨的教育收费等资金在此反映。</w:t>
      </w:r>
    </w:p>
    <w:p>
      <w:pPr>
        <w:pStyle w:val="9"/>
        <w:keepNext w:val="0"/>
        <w:keepLines w:val="0"/>
        <w:pageBreakBefore w:val="0"/>
        <w:widowControl/>
        <w:kinsoku/>
        <w:overflowPunct/>
        <w:topLinePunct w:val="0"/>
        <w:autoSpaceDN/>
        <w:bidi w:val="0"/>
        <w:adjustRightInd/>
        <w:snapToGrid w:val="0"/>
        <w:spacing w:before="0" w:beforeAutospacing="0" w:after="0" w:afterAutospacing="0" w:line="560" w:lineRule="exact"/>
        <w:ind w:right="0" w:rightChars="0" w:firstLine="640" w:firstLineChars="200"/>
        <w:jc w:val="both"/>
        <w:outlineLvl w:val="9"/>
        <w:rPr>
          <w:rFonts w:hint="default" w:ascii="Times New Roman" w:hAnsi="Times New Roman" w:eastAsia="方正仿宋_GBK" w:cs="Times New Roman"/>
          <w:color w:val="auto"/>
          <w:sz w:val="32"/>
          <w:szCs w:val="32"/>
          <w:highlight w:val="none"/>
        </w:rPr>
      </w:pPr>
      <w:r>
        <w:rPr>
          <w:rStyle w:val="11"/>
          <w:rFonts w:hint="default" w:ascii="方正楷体_GBK" w:hAnsi="方正楷体_GBK" w:eastAsia="方正楷体_GBK" w:cs="方正楷体_GBK"/>
          <w:b w:val="0"/>
          <w:bCs/>
          <w:color w:val="auto"/>
          <w:sz w:val="32"/>
          <w:szCs w:val="32"/>
          <w:highlight w:val="none"/>
          <w:shd w:val="clear" w:color="auto" w:fill="FFFFFF"/>
        </w:rPr>
        <w:t>（三）经营收入：</w:t>
      </w:r>
      <w:r>
        <w:rPr>
          <w:rFonts w:hint="default" w:ascii="Times New Roman" w:hAnsi="Times New Roman" w:eastAsia="方正仿宋_GBK" w:cs="Times New Roman"/>
          <w:color w:val="auto"/>
          <w:sz w:val="32"/>
          <w:szCs w:val="32"/>
          <w:highlight w:val="none"/>
          <w:shd w:val="clear" w:color="auto" w:fill="FFFFFF"/>
        </w:rPr>
        <w:t>指事业单位在专业业务活动及其辅助活动之外开展非独立核算经营活动取得的现金流入。</w:t>
      </w:r>
    </w:p>
    <w:p>
      <w:pPr>
        <w:pStyle w:val="9"/>
        <w:keepNext w:val="0"/>
        <w:keepLines w:val="0"/>
        <w:pageBreakBefore w:val="0"/>
        <w:widowControl/>
        <w:kinsoku/>
        <w:overflowPunct/>
        <w:topLinePunct w:val="0"/>
        <w:autoSpaceDN/>
        <w:bidi w:val="0"/>
        <w:adjustRightInd/>
        <w:snapToGrid w:val="0"/>
        <w:spacing w:before="0" w:beforeAutospacing="0" w:after="0" w:afterAutospacing="0" w:line="560" w:lineRule="exact"/>
        <w:ind w:right="0" w:rightChars="0" w:firstLine="640" w:firstLineChars="200"/>
        <w:jc w:val="both"/>
        <w:outlineLvl w:val="9"/>
        <w:rPr>
          <w:rFonts w:hint="default" w:ascii="Times New Roman" w:hAnsi="Times New Roman" w:eastAsia="方正仿宋_GBK" w:cs="Times New Roman"/>
          <w:color w:val="auto"/>
          <w:sz w:val="32"/>
          <w:szCs w:val="32"/>
          <w:highlight w:val="none"/>
        </w:rPr>
      </w:pPr>
      <w:r>
        <w:rPr>
          <w:rStyle w:val="11"/>
          <w:rFonts w:hint="default" w:ascii="方正楷体_GBK" w:hAnsi="方正楷体_GBK" w:eastAsia="方正楷体_GBK" w:cs="方正楷体_GBK"/>
          <w:b w:val="0"/>
          <w:bCs/>
          <w:color w:val="auto"/>
          <w:sz w:val="32"/>
          <w:szCs w:val="32"/>
          <w:highlight w:val="none"/>
          <w:shd w:val="clear" w:color="auto" w:fill="FFFFFF"/>
        </w:rPr>
        <w:t>（四）其他收入：</w:t>
      </w:r>
      <w:r>
        <w:rPr>
          <w:rFonts w:hint="default" w:ascii="Times New Roman" w:hAnsi="Times New Roman" w:eastAsia="方正仿宋_GBK" w:cs="Times New Roman"/>
          <w:color w:val="auto"/>
          <w:sz w:val="32"/>
          <w:szCs w:val="32"/>
          <w:highlight w:val="none"/>
          <w:shd w:val="clear" w:color="auto" w:fill="FFFFFF"/>
        </w:rPr>
        <w:t>指单位取得的除</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财政拨款收入</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事业收入</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经营收入</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9"/>
        <w:keepNext w:val="0"/>
        <w:keepLines w:val="0"/>
        <w:pageBreakBefore w:val="0"/>
        <w:widowControl/>
        <w:kinsoku/>
        <w:overflowPunct/>
        <w:topLinePunct w:val="0"/>
        <w:autoSpaceDN/>
        <w:bidi w:val="0"/>
        <w:adjustRightInd/>
        <w:snapToGrid w:val="0"/>
        <w:spacing w:before="0" w:beforeAutospacing="0" w:after="0" w:afterAutospacing="0" w:line="560" w:lineRule="exact"/>
        <w:ind w:right="0" w:rightChars="0" w:firstLine="640" w:firstLineChars="200"/>
        <w:jc w:val="both"/>
        <w:outlineLvl w:val="9"/>
        <w:rPr>
          <w:rFonts w:hint="default" w:ascii="Times New Roman" w:hAnsi="Times New Roman" w:eastAsia="方正仿宋_GBK" w:cs="Times New Roman"/>
          <w:color w:val="auto"/>
          <w:sz w:val="32"/>
          <w:szCs w:val="32"/>
          <w:highlight w:val="none"/>
        </w:rPr>
      </w:pPr>
      <w:r>
        <w:rPr>
          <w:rStyle w:val="11"/>
          <w:rFonts w:hint="default" w:ascii="方正楷体_GBK" w:hAnsi="方正楷体_GBK" w:eastAsia="方正楷体_GBK" w:cs="方正楷体_GBK"/>
          <w:b w:val="0"/>
          <w:bCs/>
          <w:color w:val="auto"/>
          <w:sz w:val="32"/>
          <w:szCs w:val="32"/>
          <w:highlight w:val="none"/>
          <w:shd w:val="clear" w:color="auto" w:fill="FFFFFF"/>
        </w:rPr>
        <w:t>（五）使用非财政拨款结余：</w:t>
      </w:r>
      <w:r>
        <w:rPr>
          <w:rFonts w:hint="default" w:ascii="Times New Roman" w:hAnsi="Times New Roman" w:eastAsia="方正仿宋_GBK" w:cs="Times New Roman"/>
          <w:color w:val="auto"/>
          <w:sz w:val="32"/>
          <w:szCs w:val="32"/>
          <w:highlight w:val="none"/>
          <w:shd w:val="clear" w:color="auto" w:fill="FFFFFF"/>
        </w:rPr>
        <w:t>指单位在当年的</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财政拨款收入</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事业收入</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经营收入</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其他收入</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等不足以安排当年支出的情况下，使用以前年度积累的非财政拨款结余弥补本年度收支缺口的资金。</w:t>
      </w:r>
    </w:p>
    <w:p>
      <w:pPr>
        <w:pStyle w:val="9"/>
        <w:keepNext w:val="0"/>
        <w:keepLines w:val="0"/>
        <w:pageBreakBefore w:val="0"/>
        <w:widowControl/>
        <w:kinsoku/>
        <w:overflowPunct/>
        <w:topLinePunct w:val="0"/>
        <w:autoSpaceDN/>
        <w:bidi w:val="0"/>
        <w:adjustRightInd/>
        <w:snapToGrid w:val="0"/>
        <w:spacing w:before="0" w:beforeAutospacing="0" w:after="0" w:afterAutospacing="0" w:line="560" w:lineRule="exact"/>
        <w:ind w:right="0" w:rightChars="0" w:firstLine="640" w:firstLineChars="200"/>
        <w:jc w:val="both"/>
        <w:outlineLvl w:val="9"/>
        <w:rPr>
          <w:rFonts w:hint="default" w:ascii="Times New Roman" w:hAnsi="Times New Roman" w:eastAsia="方正仿宋_GBK" w:cs="Times New Roman"/>
          <w:color w:val="auto"/>
          <w:sz w:val="32"/>
          <w:szCs w:val="32"/>
          <w:highlight w:val="none"/>
        </w:rPr>
      </w:pPr>
      <w:r>
        <w:rPr>
          <w:rStyle w:val="11"/>
          <w:rFonts w:hint="default" w:ascii="方正楷体_GBK" w:hAnsi="方正楷体_GBK" w:eastAsia="方正楷体_GBK" w:cs="方正楷体_GBK"/>
          <w:b w:val="0"/>
          <w:bCs/>
          <w:color w:val="auto"/>
          <w:sz w:val="32"/>
          <w:szCs w:val="32"/>
          <w:highlight w:val="none"/>
          <w:shd w:val="clear" w:color="auto" w:fill="FFFFFF"/>
        </w:rPr>
        <w:t>（六）年初结转和结余：</w:t>
      </w:r>
      <w:r>
        <w:rPr>
          <w:rFonts w:hint="default" w:ascii="Times New Roman" w:hAnsi="Times New Roman" w:eastAsia="方正仿宋_GBK" w:cs="Times New Roman"/>
          <w:color w:val="auto"/>
          <w:sz w:val="32"/>
          <w:szCs w:val="32"/>
          <w:highlight w:val="none"/>
          <w:shd w:val="clear" w:color="auto" w:fill="FFFFFF"/>
        </w:rPr>
        <w:t>指单位上年结转本年使用的基本支出结转、项目支出结转和结余、经营结余。</w:t>
      </w:r>
    </w:p>
    <w:p>
      <w:pPr>
        <w:pStyle w:val="9"/>
        <w:keepNext w:val="0"/>
        <w:keepLines w:val="0"/>
        <w:pageBreakBefore w:val="0"/>
        <w:widowControl/>
        <w:kinsoku/>
        <w:overflowPunct/>
        <w:topLinePunct w:val="0"/>
        <w:autoSpaceDN/>
        <w:bidi w:val="0"/>
        <w:adjustRightInd/>
        <w:snapToGrid w:val="0"/>
        <w:spacing w:before="0" w:beforeAutospacing="0" w:after="0" w:afterAutospacing="0" w:line="560" w:lineRule="exact"/>
        <w:ind w:right="0" w:rightChars="0" w:firstLine="640" w:firstLineChars="200"/>
        <w:jc w:val="both"/>
        <w:outlineLvl w:val="9"/>
        <w:rPr>
          <w:rFonts w:hint="default" w:ascii="Times New Roman" w:hAnsi="Times New Roman" w:eastAsia="方正仿宋_GBK" w:cs="Times New Roman"/>
          <w:color w:val="auto"/>
          <w:sz w:val="32"/>
          <w:szCs w:val="32"/>
          <w:highlight w:val="none"/>
        </w:rPr>
      </w:pPr>
      <w:r>
        <w:rPr>
          <w:rStyle w:val="11"/>
          <w:rFonts w:hint="default" w:ascii="方正楷体_GBK" w:hAnsi="方正楷体_GBK" w:eastAsia="方正楷体_GBK" w:cs="方正楷体_GBK"/>
          <w:b w:val="0"/>
          <w:bCs/>
          <w:color w:val="auto"/>
          <w:sz w:val="32"/>
          <w:szCs w:val="32"/>
          <w:highlight w:val="none"/>
          <w:shd w:val="clear" w:color="auto" w:fill="FFFFFF"/>
        </w:rPr>
        <w:t>（七）结余分配：</w:t>
      </w:r>
      <w:r>
        <w:rPr>
          <w:rFonts w:hint="default" w:ascii="Times New Roman" w:hAnsi="Times New Roman" w:eastAsia="方正仿宋_GBK" w:cs="Times New Roman"/>
          <w:color w:val="auto"/>
          <w:sz w:val="32"/>
          <w:szCs w:val="32"/>
          <w:highlight w:val="none"/>
          <w:shd w:val="clear" w:color="auto" w:fill="FFFFFF"/>
        </w:rPr>
        <w:t>指单位按照国家有关规定，缴纳所得税、提取专用基金、转入非财政拨款结余等当年结余的分配情况。</w:t>
      </w:r>
    </w:p>
    <w:p>
      <w:pPr>
        <w:pStyle w:val="9"/>
        <w:keepNext w:val="0"/>
        <w:keepLines w:val="0"/>
        <w:pageBreakBefore w:val="0"/>
        <w:widowControl/>
        <w:kinsoku/>
        <w:overflowPunct/>
        <w:topLinePunct w:val="0"/>
        <w:autoSpaceDN/>
        <w:bidi w:val="0"/>
        <w:adjustRightInd/>
        <w:snapToGrid w:val="0"/>
        <w:spacing w:before="0" w:beforeAutospacing="0" w:after="0" w:afterAutospacing="0" w:line="560" w:lineRule="exact"/>
        <w:ind w:right="0" w:rightChars="0" w:firstLine="640" w:firstLineChars="200"/>
        <w:jc w:val="both"/>
        <w:outlineLvl w:val="9"/>
        <w:rPr>
          <w:rFonts w:hint="default" w:ascii="Times New Roman" w:hAnsi="Times New Roman" w:eastAsia="方正仿宋_GBK" w:cs="Times New Roman"/>
          <w:color w:val="auto"/>
          <w:sz w:val="32"/>
          <w:szCs w:val="32"/>
          <w:highlight w:val="none"/>
        </w:rPr>
      </w:pPr>
      <w:r>
        <w:rPr>
          <w:rStyle w:val="11"/>
          <w:rFonts w:hint="default" w:ascii="方正楷体_GBK" w:hAnsi="方正楷体_GBK" w:eastAsia="方正楷体_GBK" w:cs="方正楷体_GBK"/>
          <w:b w:val="0"/>
          <w:bCs/>
          <w:color w:val="auto"/>
          <w:sz w:val="32"/>
          <w:szCs w:val="32"/>
          <w:highlight w:val="none"/>
          <w:shd w:val="clear" w:color="auto" w:fill="FFFFFF"/>
        </w:rPr>
        <w:t>（八）年末结转和结余：</w:t>
      </w:r>
      <w:r>
        <w:rPr>
          <w:rFonts w:hint="default" w:ascii="Times New Roman" w:hAnsi="Times New Roman" w:eastAsia="方正仿宋_GBK" w:cs="Times New Roman"/>
          <w:color w:val="auto"/>
          <w:sz w:val="32"/>
          <w:szCs w:val="32"/>
          <w:highlight w:val="none"/>
          <w:shd w:val="clear" w:color="auto" w:fill="FFFFFF"/>
        </w:rPr>
        <w:t>指单位结转下年的基本支出结转、项目支出结转和结余、经营结余。</w:t>
      </w:r>
    </w:p>
    <w:p>
      <w:pPr>
        <w:pStyle w:val="9"/>
        <w:keepNext w:val="0"/>
        <w:keepLines w:val="0"/>
        <w:pageBreakBefore w:val="0"/>
        <w:widowControl/>
        <w:kinsoku/>
        <w:overflowPunct/>
        <w:topLinePunct w:val="0"/>
        <w:autoSpaceDN/>
        <w:bidi w:val="0"/>
        <w:adjustRightInd/>
        <w:snapToGrid w:val="0"/>
        <w:spacing w:before="0" w:beforeAutospacing="0" w:after="0" w:afterAutospacing="0" w:line="560" w:lineRule="exact"/>
        <w:ind w:right="0" w:rightChars="0" w:firstLine="640" w:firstLineChars="200"/>
        <w:jc w:val="both"/>
        <w:outlineLvl w:val="9"/>
        <w:rPr>
          <w:rFonts w:hint="default" w:ascii="Times New Roman" w:hAnsi="Times New Roman" w:eastAsia="方正仿宋_GBK" w:cs="Times New Roman"/>
          <w:color w:val="auto"/>
          <w:sz w:val="32"/>
          <w:szCs w:val="32"/>
          <w:highlight w:val="none"/>
        </w:rPr>
      </w:pPr>
      <w:r>
        <w:rPr>
          <w:rStyle w:val="11"/>
          <w:rFonts w:hint="default" w:ascii="方正楷体_GBK" w:hAnsi="方正楷体_GBK" w:eastAsia="方正楷体_GBK" w:cs="方正楷体_GBK"/>
          <w:b w:val="0"/>
          <w:bCs/>
          <w:color w:val="auto"/>
          <w:sz w:val="32"/>
          <w:szCs w:val="32"/>
          <w:highlight w:val="none"/>
          <w:shd w:val="clear" w:color="auto" w:fill="FFFFFF"/>
        </w:rPr>
        <w:t>（九）基本支出：</w:t>
      </w:r>
      <w:r>
        <w:rPr>
          <w:rFonts w:hint="default" w:ascii="Times New Roman" w:hAnsi="Times New Roman" w:eastAsia="方正仿宋_GBK" w:cs="Times New Roman"/>
          <w:color w:val="auto"/>
          <w:sz w:val="32"/>
          <w:szCs w:val="32"/>
          <w:highlight w:val="none"/>
          <w:shd w:val="clear" w:color="auto" w:fill="FFFFFF"/>
        </w:rPr>
        <w:t>指为保障机构正常运转、完成日常工作任务而发生的人员经费和公用经费。其中：人员经费指政府收支分类经济科目中的</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工资福利支出</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和</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对个人和家庭的补助</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；公用经费指政府收支分类经济科目中除</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工资福利支出</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和</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对个人和家庭的补助</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外的其他支出。</w:t>
      </w:r>
    </w:p>
    <w:p>
      <w:pPr>
        <w:pStyle w:val="9"/>
        <w:keepNext w:val="0"/>
        <w:keepLines w:val="0"/>
        <w:pageBreakBefore w:val="0"/>
        <w:widowControl/>
        <w:kinsoku/>
        <w:overflowPunct/>
        <w:topLinePunct w:val="0"/>
        <w:autoSpaceDN/>
        <w:bidi w:val="0"/>
        <w:adjustRightInd/>
        <w:snapToGrid w:val="0"/>
        <w:spacing w:before="0" w:beforeAutospacing="0" w:after="0" w:afterAutospacing="0" w:line="560" w:lineRule="exact"/>
        <w:ind w:right="0" w:rightChars="0" w:firstLine="640" w:firstLineChars="200"/>
        <w:jc w:val="both"/>
        <w:outlineLvl w:val="9"/>
        <w:rPr>
          <w:rFonts w:hint="default" w:ascii="Times New Roman" w:hAnsi="Times New Roman" w:eastAsia="方正仿宋_GBK" w:cs="Times New Roman"/>
          <w:color w:val="auto"/>
          <w:sz w:val="32"/>
          <w:szCs w:val="32"/>
          <w:highlight w:val="none"/>
        </w:rPr>
      </w:pPr>
      <w:r>
        <w:rPr>
          <w:rStyle w:val="11"/>
          <w:rFonts w:hint="default" w:ascii="方正楷体_GBK" w:hAnsi="方正楷体_GBK" w:eastAsia="方正楷体_GBK" w:cs="方正楷体_GBK"/>
          <w:b w:val="0"/>
          <w:bCs/>
          <w:color w:val="auto"/>
          <w:sz w:val="32"/>
          <w:szCs w:val="32"/>
          <w:highlight w:val="none"/>
          <w:shd w:val="clear" w:color="auto" w:fill="FFFFFF"/>
        </w:rPr>
        <w:t>（十）项目支出：</w:t>
      </w:r>
      <w:r>
        <w:rPr>
          <w:rFonts w:hint="default" w:ascii="Times New Roman" w:hAnsi="Times New Roman" w:eastAsia="方正仿宋_GBK" w:cs="Times New Roman"/>
          <w:color w:val="auto"/>
          <w:sz w:val="32"/>
          <w:szCs w:val="32"/>
          <w:highlight w:val="none"/>
          <w:shd w:val="clear" w:color="auto" w:fill="FFFFFF"/>
        </w:rPr>
        <w:t>指在基本支出之外为完成特定行政任务和事业发展目标所发生的支出。</w:t>
      </w:r>
    </w:p>
    <w:p>
      <w:pPr>
        <w:pStyle w:val="9"/>
        <w:keepNext w:val="0"/>
        <w:keepLines w:val="0"/>
        <w:pageBreakBefore w:val="0"/>
        <w:widowControl/>
        <w:kinsoku/>
        <w:overflowPunct/>
        <w:topLinePunct w:val="0"/>
        <w:autoSpaceDN/>
        <w:bidi w:val="0"/>
        <w:adjustRightInd/>
        <w:snapToGrid w:val="0"/>
        <w:spacing w:before="0" w:beforeAutospacing="0" w:after="0" w:afterAutospacing="0" w:line="560" w:lineRule="exact"/>
        <w:ind w:right="0" w:rightChars="0" w:firstLine="640" w:firstLineChars="200"/>
        <w:jc w:val="both"/>
        <w:outlineLvl w:val="9"/>
        <w:rPr>
          <w:rFonts w:hint="default" w:ascii="Times New Roman" w:hAnsi="Times New Roman" w:eastAsia="方正仿宋_GBK" w:cs="Times New Roman"/>
          <w:color w:val="auto"/>
          <w:sz w:val="32"/>
          <w:szCs w:val="32"/>
          <w:highlight w:val="none"/>
        </w:rPr>
      </w:pPr>
      <w:r>
        <w:rPr>
          <w:rStyle w:val="11"/>
          <w:rFonts w:hint="default" w:ascii="方正楷体_GBK" w:hAnsi="方正楷体_GBK" w:eastAsia="方正楷体_GBK" w:cs="方正楷体_GBK"/>
          <w:b w:val="0"/>
          <w:bCs/>
          <w:color w:val="auto"/>
          <w:sz w:val="32"/>
          <w:szCs w:val="32"/>
          <w:highlight w:val="none"/>
          <w:shd w:val="clear" w:color="auto" w:fill="FFFFFF"/>
        </w:rPr>
        <w:t>（十一）经营支出：</w:t>
      </w:r>
      <w:r>
        <w:rPr>
          <w:rFonts w:hint="default" w:ascii="Times New Roman" w:hAnsi="Times New Roman" w:eastAsia="方正仿宋_GBK" w:cs="Times New Roman"/>
          <w:color w:val="auto"/>
          <w:sz w:val="32"/>
          <w:szCs w:val="32"/>
          <w:highlight w:val="none"/>
          <w:shd w:val="clear" w:color="auto" w:fill="FFFFFF"/>
        </w:rPr>
        <w:t>指事业单位在专业业务活动及其辅助活动之外开展非独立核算经营活动发生的支出。</w:t>
      </w:r>
    </w:p>
    <w:p>
      <w:pPr>
        <w:pStyle w:val="9"/>
        <w:keepNext w:val="0"/>
        <w:keepLines w:val="0"/>
        <w:pageBreakBefore w:val="0"/>
        <w:widowControl/>
        <w:kinsoku/>
        <w:overflowPunct/>
        <w:topLinePunct w:val="0"/>
        <w:autoSpaceDN/>
        <w:bidi w:val="0"/>
        <w:adjustRightInd/>
        <w:snapToGrid w:val="0"/>
        <w:spacing w:before="0" w:beforeAutospacing="0" w:after="0" w:afterAutospacing="0" w:line="560" w:lineRule="exact"/>
        <w:ind w:right="0" w:rightChars="0" w:firstLine="640" w:firstLineChars="200"/>
        <w:jc w:val="both"/>
        <w:outlineLvl w:val="9"/>
        <w:rPr>
          <w:rFonts w:hint="default" w:ascii="Times New Roman" w:hAnsi="Times New Roman" w:eastAsia="方正仿宋_GBK" w:cs="Times New Roman"/>
          <w:color w:val="auto"/>
          <w:sz w:val="32"/>
          <w:szCs w:val="32"/>
          <w:highlight w:val="none"/>
        </w:rPr>
      </w:pPr>
      <w:r>
        <w:rPr>
          <w:rStyle w:val="11"/>
          <w:rFonts w:hint="default" w:ascii="方正楷体_GBK" w:hAnsi="方正楷体_GBK" w:eastAsia="方正楷体_GBK" w:cs="方正楷体_GBK"/>
          <w:b w:val="0"/>
          <w:bCs/>
          <w:color w:val="auto"/>
          <w:sz w:val="32"/>
          <w:szCs w:val="32"/>
          <w:highlight w:val="none"/>
          <w:shd w:val="clear" w:color="auto" w:fill="FFFFFF"/>
        </w:rPr>
        <w:t>（十二）</w:t>
      </w:r>
      <w:r>
        <w:rPr>
          <w:rStyle w:val="11"/>
          <w:rFonts w:hint="eastAsia" w:ascii="方正楷体_GBK" w:hAnsi="方正楷体_GBK" w:eastAsia="方正楷体_GBK" w:cs="方正楷体_GBK"/>
          <w:b w:val="0"/>
          <w:bCs/>
          <w:color w:val="auto"/>
          <w:sz w:val="32"/>
          <w:szCs w:val="32"/>
          <w:highlight w:val="none"/>
          <w:shd w:val="clear" w:color="auto" w:fill="FFFFFF"/>
          <w:lang w:eastAsia="zh-CN"/>
        </w:rPr>
        <w:t>“</w:t>
      </w:r>
      <w:r>
        <w:rPr>
          <w:rStyle w:val="11"/>
          <w:rFonts w:hint="default" w:ascii="方正楷体_GBK" w:hAnsi="方正楷体_GBK" w:eastAsia="方正楷体_GBK" w:cs="方正楷体_GBK"/>
          <w:b w:val="0"/>
          <w:bCs/>
          <w:color w:val="auto"/>
          <w:sz w:val="32"/>
          <w:szCs w:val="32"/>
          <w:highlight w:val="none"/>
          <w:shd w:val="clear" w:color="auto" w:fill="FFFFFF"/>
        </w:rPr>
        <w:t>三公</w:t>
      </w:r>
      <w:r>
        <w:rPr>
          <w:rStyle w:val="11"/>
          <w:rFonts w:hint="eastAsia" w:ascii="方正楷体_GBK" w:hAnsi="方正楷体_GBK" w:eastAsia="方正楷体_GBK" w:cs="方正楷体_GBK"/>
          <w:b w:val="0"/>
          <w:bCs/>
          <w:color w:val="auto"/>
          <w:sz w:val="32"/>
          <w:szCs w:val="32"/>
          <w:highlight w:val="none"/>
          <w:shd w:val="clear" w:color="auto" w:fill="FFFFFF"/>
          <w:lang w:eastAsia="zh-CN"/>
        </w:rPr>
        <w:t>”</w:t>
      </w:r>
      <w:r>
        <w:rPr>
          <w:rStyle w:val="11"/>
          <w:rFonts w:hint="default" w:ascii="方正楷体_GBK" w:hAnsi="方正楷体_GBK" w:eastAsia="方正楷体_GBK" w:cs="方正楷体_GBK"/>
          <w:b w:val="0"/>
          <w:bCs/>
          <w:color w:val="auto"/>
          <w:sz w:val="32"/>
          <w:szCs w:val="32"/>
          <w:highlight w:val="none"/>
          <w:shd w:val="clear" w:color="auto" w:fill="FFFFFF"/>
        </w:rPr>
        <w:t>经费：</w:t>
      </w:r>
      <w:r>
        <w:rPr>
          <w:rFonts w:hint="default" w:ascii="Times New Roman" w:hAnsi="Times New Roman" w:eastAsia="方正仿宋_GBK" w:cs="Times New Roman"/>
          <w:color w:val="auto"/>
          <w:sz w:val="32"/>
          <w:szCs w:val="32"/>
          <w:highlight w:val="none"/>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9"/>
        <w:keepNext w:val="0"/>
        <w:keepLines w:val="0"/>
        <w:pageBreakBefore w:val="0"/>
        <w:widowControl/>
        <w:kinsoku/>
        <w:overflowPunct/>
        <w:topLinePunct w:val="0"/>
        <w:autoSpaceDN/>
        <w:bidi w:val="0"/>
        <w:adjustRightInd/>
        <w:snapToGrid w:val="0"/>
        <w:spacing w:before="0" w:beforeAutospacing="0" w:after="0" w:afterAutospacing="0" w:line="560" w:lineRule="exact"/>
        <w:ind w:right="0" w:rightChars="0" w:firstLine="640" w:firstLineChars="200"/>
        <w:jc w:val="both"/>
        <w:outlineLvl w:val="9"/>
        <w:rPr>
          <w:rFonts w:hint="default" w:ascii="Times New Roman" w:hAnsi="Times New Roman" w:eastAsia="方正仿宋_GBK" w:cs="Times New Roman"/>
          <w:color w:val="auto"/>
          <w:sz w:val="32"/>
          <w:szCs w:val="32"/>
          <w:highlight w:val="none"/>
        </w:rPr>
      </w:pPr>
      <w:r>
        <w:rPr>
          <w:rStyle w:val="11"/>
          <w:rFonts w:hint="default" w:ascii="方正楷体_GBK" w:hAnsi="方正楷体_GBK" w:eastAsia="方正楷体_GBK" w:cs="方正楷体_GBK"/>
          <w:b w:val="0"/>
          <w:bCs/>
          <w:color w:val="auto"/>
          <w:sz w:val="32"/>
          <w:szCs w:val="32"/>
          <w:highlight w:val="none"/>
          <w:shd w:val="clear" w:color="auto" w:fill="FFFFFF"/>
        </w:rPr>
        <w:t>（十三）机关运行经费：</w:t>
      </w:r>
      <w:r>
        <w:rPr>
          <w:rFonts w:hint="default" w:ascii="Times New Roman" w:hAnsi="Times New Roman" w:eastAsia="方正仿宋_GBK" w:cs="Times New Roman"/>
          <w:color w:val="auto"/>
          <w:sz w:val="32"/>
          <w:szCs w:val="32"/>
          <w:highlight w:val="none"/>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9"/>
        <w:keepNext w:val="0"/>
        <w:keepLines w:val="0"/>
        <w:pageBreakBefore w:val="0"/>
        <w:widowControl/>
        <w:kinsoku/>
        <w:overflowPunct/>
        <w:topLinePunct w:val="0"/>
        <w:autoSpaceDN/>
        <w:bidi w:val="0"/>
        <w:adjustRightInd/>
        <w:snapToGrid w:val="0"/>
        <w:spacing w:before="0" w:beforeAutospacing="0" w:after="0" w:afterAutospacing="0" w:line="560" w:lineRule="exact"/>
        <w:ind w:right="0" w:rightChars="0" w:firstLine="640" w:firstLineChars="200"/>
        <w:jc w:val="both"/>
        <w:outlineLvl w:val="9"/>
        <w:rPr>
          <w:rFonts w:hint="default" w:ascii="Times New Roman" w:hAnsi="Times New Roman" w:eastAsia="方正仿宋_GBK" w:cs="Times New Roman"/>
          <w:color w:val="auto"/>
          <w:sz w:val="32"/>
          <w:szCs w:val="32"/>
          <w:highlight w:val="none"/>
        </w:rPr>
      </w:pPr>
      <w:r>
        <w:rPr>
          <w:rStyle w:val="11"/>
          <w:rFonts w:hint="default" w:ascii="方正楷体_GBK" w:hAnsi="方正楷体_GBK" w:eastAsia="方正楷体_GBK" w:cs="方正楷体_GBK"/>
          <w:b w:val="0"/>
          <w:bCs/>
          <w:color w:val="auto"/>
          <w:sz w:val="32"/>
          <w:szCs w:val="32"/>
          <w:highlight w:val="none"/>
          <w:shd w:val="clear" w:color="auto" w:fill="FFFFFF"/>
        </w:rPr>
        <w:t>（十四）工资福利支出（支出经济分类科目类级）：</w:t>
      </w:r>
      <w:r>
        <w:rPr>
          <w:rFonts w:hint="default" w:ascii="Times New Roman" w:hAnsi="Times New Roman" w:eastAsia="方正仿宋_GBK" w:cs="Times New Roman"/>
          <w:color w:val="auto"/>
          <w:sz w:val="32"/>
          <w:szCs w:val="32"/>
          <w:highlight w:val="none"/>
          <w:shd w:val="clear" w:color="auto" w:fill="FFFFFF"/>
        </w:rPr>
        <w:t>反映单位开支的在职职工和编制外长期聘用人员的各类劳动报酬，以及为上述人员缴纳的各项社会保险费等。</w:t>
      </w:r>
    </w:p>
    <w:p>
      <w:pPr>
        <w:pStyle w:val="9"/>
        <w:keepNext w:val="0"/>
        <w:keepLines w:val="0"/>
        <w:pageBreakBefore w:val="0"/>
        <w:widowControl/>
        <w:kinsoku/>
        <w:overflowPunct/>
        <w:topLinePunct w:val="0"/>
        <w:autoSpaceDN/>
        <w:bidi w:val="0"/>
        <w:adjustRightInd/>
        <w:snapToGrid w:val="0"/>
        <w:spacing w:before="0" w:beforeAutospacing="0" w:after="0" w:afterAutospacing="0" w:line="560" w:lineRule="exact"/>
        <w:ind w:right="0" w:rightChars="0" w:firstLine="640" w:firstLineChars="200"/>
        <w:jc w:val="both"/>
        <w:outlineLvl w:val="9"/>
        <w:rPr>
          <w:rFonts w:hint="default" w:ascii="Times New Roman" w:hAnsi="Times New Roman" w:eastAsia="方正仿宋_GBK" w:cs="Times New Roman"/>
          <w:color w:val="auto"/>
          <w:sz w:val="32"/>
          <w:szCs w:val="32"/>
          <w:highlight w:val="none"/>
        </w:rPr>
      </w:pPr>
      <w:r>
        <w:rPr>
          <w:rStyle w:val="11"/>
          <w:rFonts w:hint="default" w:ascii="方正楷体_GBK" w:hAnsi="方正楷体_GBK" w:eastAsia="方正楷体_GBK" w:cs="方正楷体_GBK"/>
          <w:b w:val="0"/>
          <w:bCs/>
          <w:color w:val="auto"/>
          <w:sz w:val="32"/>
          <w:szCs w:val="32"/>
          <w:highlight w:val="none"/>
          <w:shd w:val="clear" w:color="auto" w:fill="FFFFFF"/>
        </w:rPr>
        <w:t>（十五）商品和服务支出（支出经济分类科目类级）：</w:t>
      </w:r>
      <w:r>
        <w:rPr>
          <w:rFonts w:hint="default" w:ascii="Times New Roman" w:hAnsi="Times New Roman" w:eastAsia="方正仿宋_GBK" w:cs="Times New Roman"/>
          <w:color w:val="auto"/>
          <w:sz w:val="32"/>
          <w:szCs w:val="32"/>
          <w:highlight w:val="none"/>
          <w:shd w:val="clear" w:color="auto" w:fill="FFFFFF"/>
        </w:rPr>
        <w:t>反映单位购买商品和服务的支出（不包括用于购置固定资产的支出、战略性和应急储备支出）。</w:t>
      </w:r>
    </w:p>
    <w:p>
      <w:pPr>
        <w:pStyle w:val="9"/>
        <w:keepNext w:val="0"/>
        <w:keepLines w:val="0"/>
        <w:pageBreakBefore w:val="0"/>
        <w:widowControl/>
        <w:kinsoku/>
        <w:overflowPunct/>
        <w:topLinePunct w:val="0"/>
        <w:autoSpaceDN/>
        <w:bidi w:val="0"/>
        <w:adjustRightInd/>
        <w:snapToGrid w:val="0"/>
        <w:spacing w:before="0" w:beforeAutospacing="0" w:after="0" w:afterAutospacing="0" w:line="560" w:lineRule="exact"/>
        <w:ind w:right="0" w:rightChars="0" w:firstLine="640" w:firstLineChars="200"/>
        <w:jc w:val="both"/>
        <w:outlineLvl w:val="9"/>
        <w:rPr>
          <w:rFonts w:hint="default" w:ascii="Times New Roman" w:hAnsi="Times New Roman" w:eastAsia="方正仿宋_GBK" w:cs="Times New Roman"/>
          <w:color w:val="auto"/>
          <w:sz w:val="32"/>
          <w:szCs w:val="32"/>
          <w:highlight w:val="none"/>
        </w:rPr>
      </w:pPr>
      <w:r>
        <w:rPr>
          <w:rStyle w:val="11"/>
          <w:rFonts w:hint="default" w:ascii="方正楷体_GBK" w:hAnsi="方正楷体_GBK" w:eastAsia="方正楷体_GBK" w:cs="方正楷体_GBK"/>
          <w:b w:val="0"/>
          <w:bCs/>
          <w:color w:val="auto"/>
          <w:sz w:val="32"/>
          <w:szCs w:val="32"/>
          <w:highlight w:val="none"/>
          <w:shd w:val="clear" w:color="auto" w:fill="FFFFFF"/>
        </w:rPr>
        <w:t>（十六）对个人和家庭的补助（支出经济分类科目类级）：</w:t>
      </w:r>
      <w:r>
        <w:rPr>
          <w:rFonts w:hint="default" w:ascii="Times New Roman" w:hAnsi="Times New Roman" w:eastAsia="方正仿宋_GBK" w:cs="Times New Roman"/>
          <w:color w:val="auto"/>
          <w:sz w:val="32"/>
          <w:szCs w:val="32"/>
          <w:highlight w:val="none"/>
          <w:shd w:val="clear" w:color="auto" w:fill="FFFFFF"/>
        </w:rPr>
        <w:t>反映用于对个人和家庭的补助支出。</w:t>
      </w:r>
    </w:p>
    <w:p>
      <w:pPr>
        <w:pStyle w:val="9"/>
        <w:keepNext w:val="0"/>
        <w:keepLines w:val="0"/>
        <w:pageBreakBefore w:val="0"/>
        <w:widowControl/>
        <w:kinsoku/>
        <w:overflowPunct/>
        <w:topLinePunct w:val="0"/>
        <w:autoSpaceDN/>
        <w:bidi w:val="0"/>
        <w:adjustRightInd/>
        <w:snapToGrid w:val="0"/>
        <w:spacing w:before="0" w:beforeAutospacing="0" w:after="0" w:afterAutospacing="0" w:line="560" w:lineRule="exact"/>
        <w:ind w:right="0" w:rightChars="0" w:firstLine="640" w:firstLineChars="200"/>
        <w:jc w:val="both"/>
        <w:outlineLvl w:val="9"/>
        <w:rPr>
          <w:rFonts w:hint="default" w:ascii="Times New Roman" w:hAnsi="Times New Roman" w:eastAsia="方正仿宋_GBK" w:cs="Times New Roman"/>
          <w:color w:val="auto"/>
          <w:sz w:val="32"/>
          <w:szCs w:val="32"/>
          <w:highlight w:val="none"/>
        </w:rPr>
      </w:pPr>
      <w:r>
        <w:rPr>
          <w:rStyle w:val="11"/>
          <w:rFonts w:hint="default" w:ascii="方正楷体_GBK" w:hAnsi="方正楷体_GBK" w:eastAsia="方正楷体_GBK" w:cs="方正楷体_GBK"/>
          <w:b w:val="0"/>
          <w:bCs/>
          <w:color w:val="auto"/>
          <w:sz w:val="32"/>
          <w:szCs w:val="32"/>
          <w:highlight w:val="none"/>
          <w:shd w:val="clear" w:color="auto" w:fill="FFFFFF"/>
        </w:rPr>
        <w:t>（十七）其他资本性支出（支出经济分类科目类级）：</w:t>
      </w:r>
      <w:r>
        <w:rPr>
          <w:rFonts w:hint="default" w:ascii="Times New Roman" w:hAnsi="Times New Roman" w:eastAsia="方正仿宋_GBK" w:cs="Times New Roman"/>
          <w:color w:val="auto"/>
          <w:sz w:val="32"/>
          <w:szCs w:val="32"/>
          <w:highlight w:val="none"/>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11"/>
          <w:rFonts w:hint="eastAsia" w:ascii="方正黑体_GBK" w:hAnsi="方正黑体_GBK" w:eastAsia="方正黑体_GBK" w:cs="方正黑体_GBK"/>
          <w:b w:val="0"/>
          <w:bCs/>
          <w:color w:val="auto"/>
          <w:sz w:val="32"/>
          <w:szCs w:val="32"/>
          <w:highlight w:val="none"/>
          <w:shd w:val="clear" w:color="auto" w:fill="FFFFFF"/>
        </w:rPr>
      </w:pPr>
      <w:r>
        <w:rPr>
          <w:rStyle w:val="11"/>
          <w:rFonts w:hint="eastAsia" w:ascii="方正黑体_GBK" w:hAnsi="方正黑体_GBK" w:eastAsia="方正黑体_GBK" w:cs="方正黑体_GBK"/>
          <w:b w:val="0"/>
          <w:bCs/>
          <w:color w:val="auto"/>
          <w:sz w:val="32"/>
          <w:szCs w:val="32"/>
          <w:highlight w:val="none"/>
          <w:shd w:val="clear" w:color="auto" w:fill="FFFFFF"/>
        </w:rPr>
        <w:t>七、决算公开联系方式及信息反馈渠道</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319" w:leftChars="133" w:right="0" w:rightChars="0" w:firstLine="320" w:firstLineChars="100"/>
        <w:jc w:val="left"/>
        <w:textAlignment w:val="auto"/>
        <w:outlineLvl w:val="9"/>
        <w:rPr>
          <w:rFonts w:hint="eastAsia" w:ascii="Times New Roman" w:hAnsi="Times New Roman" w:eastAsia="方正仿宋_GBK" w:cs="Times New Roman"/>
          <w:color w:val="auto"/>
          <w:sz w:val="32"/>
          <w:szCs w:val="32"/>
          <w:highlight w:val="none"/>
          <w:shd w:val="clear" w:color="auto" w:fill="FFFFFF"/>
          <w:lang w:eastAsia="zh-CN"/>
        </w:rPr>
      </w:pPr>
      <w:r>
        <w:rPr>
          <w:rFonts w:hint="eastAsia" w:ascii="Times New Roman" w:hAnsi="Times New Roman" w:eastAsia="方正仿宋_GBK" w:cs="Times New Roman"/>
          <w:color w:val="auto"/>
          <w:sz w:val="32"/>
          <w:szCs w:val="32"/>
          <w:highlight w:val="none"/>
          <w:shd w:val="clear" w:color="auto" w:fill="FFFFFF"/>
          <w:lang w:eastAsia="zh-CN"/>
        </w:rPr>
        <w:t>石耶镇人民政府</w:t>
      </w:r>
      <w:r>
        <w:rPr>
          <w:rFonts w:hint="default" w:ascii="Times New Roman" w:hAnsi="Times New Roman" w:eastAsia="方正仿宋_GBK" w:cs="Times New Roman"/>
          <w:color w:val="auto"/>
          <w:sz w:val="32"/>
          <w:szCs w:val="32"/>
          <w:highlight w:val="none"/>
          <w:shd w:val="clear" w:color="auto" w:fill="FFFFFF"/>
        </w:rPr>
        <w:t>决算公开信息反馈和联系方</w:t>
      </w:r>
      <w:r>
        <w:rPr>
          <w:rFonts w:hint="eastAsia" w:ascii="Times New Roman" w:hAnsi="Times New Roman" w:eastAsia="方正仿宋_GBK" w:cs="Times New Roman"/>
          <w:color w:val="auto"/>
          <w:sz w:val="32"/>
          <w:szCs w:val="32"/>
          <w:highlight w:val="none"/>
          <w:shd w:val="clear" w:color="auto" w:fill="FFFFFF"/>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default" w:ascii="Times New Roman" w:hAnsi="Times New Roman" w:eastAsia="方正仿宋_GBK" w:cs="Times New Roman"/>
          <w:color w:val="auto"/>
          <w:sz w:val="32"/>
          <w:szCs w:val="32"/>
          <w:highlight w:val="none"/>
          <w:shd w:val="clear" w:color="auto" w:fill="FFFFFF"/>
          <w:lang w:val="en-US" w:eastAsia="zh-CN"/>
        </w:rPr>
      </w:pPr>
      <w:r>
        <w:rPr>
          <w:rFonts w:hint="eastAsia" w:ascii="Times New Roman" w:hAnsi="Times New Roman" w:eastAsia="方正仿宋_GBK" w:cs="Times New Roman"/>
          <w:color w:val="auto"/>
          <w:sz w:val="32"/>
          <w:szCs w:val="32"/>
          <w:highlight w:val="none"/>
          <w:shd w:val="clear" w:color="auto" w:fill="FFFFFF"/>
          <w:lang w:eastAsia="zh-CN"/>
        </w:rPr>
        <w:t>肖军胜</w:t>
      </w:r>
      <w:r>
        <w:rPr>
          <w:rFonts w:hint="eastAsia" w:ascii="Times New Roman" w:hAnsi="Times New Roman" w:eastAsia="方正仿宋_GBK" w:cs="Times New Roman"/>
          <w:color w:val="auto"/>
          <w:sz w:val="32"/>
          <w:szCs w:val="32"/>
          <w:highlight w:val="none"/>
          <w:shd w:val="clear" w:color="auto" w:fill="FFFFFF"/>
          <w:lang w:val="en-US" w:eastAsia="zh-CN"/>
        </w:rPr>
        <w:t xml:space="preserve">  </w:t>
      </w:r>
      <w:r>
        <w:rPr>
          <w:rFonts w:hint="default" w:ascii="Times New Roman" w:hAnsi="Times New Roman" w:eastAsia="方正仿宋_GBK" w:cs="Times New Roman"/>
          <w:color w:val="auto"/>
          <w:sz w:val="32"/>
          <w:szCs w:val="32"/>
          <w:highlight w:val="none"/>
          <w:shd w:val="clear" w:color="auto" w:fill="FFFFFF"/>
          <w:lang w:val="en-US" w:eastAsia="zh-CN"/>
        </w:rPr>
        <w:t>023-7662400</w:t>
      </w:r>
      <w:r>
        <w:rPr>
          <w:rFonts w:hint="eastAsia" w:ascii="Times New Roman" w:hAnsi="Times New Roman" w:eastAsia="方正仿宋_GBK" w:cs="Times New Roman"/>
          <w:color w:val="auto"/>
          <w:sz w:val="32"/>
          <w:szCs w:val="32"/>
          <w:highlight w:val="none"/>
          <w:shd w:val="clear" w:color="auto" w:fill="FFFFFF"/>
          <w:lang w:val="en-US" w:eastAsia="zh-CN"/>
        </w:rPr>
        <w:t>8</w:t>
      </w:r>
    </w:p>
    <w:p>
      <w:pPr>
        <w:rPr>
          <w:rFonts w:hint="default" w:ascii="Times New Roman" w:hAnsi="Times New Roman" w:eastAsia="方正仿宋_GBK" w:cs="Times New Roman"/>
          <w:color w:val="auto"/>
          <w:sz w:val="32"/>
          <w:szCs w:val="32"/>
          <w:highlight w:val="none"/>
          <w:shd w:val="clear" w:color="auto" w:fill="FFFFFF"/>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pStyle w:val="2"/>
        <w:rPr>
          <w:rFonts w:hint="default"/>
          <w:lang w:val="en-US" w:eastAsia="zh-CN"/>
        </w:rPr>
        <w:sectPr>
          <w:headerReference r:id="rId3" w:type="default"/>
          <w:footerReference r:id="rId4" w:type="default"/>
          <w:pgSz w:w="11850" w:h="16783"/>
          <w:pgMar w:top="2880" w:right="1440" w:bottom="2880" w:left="1440" w:header="0" w:footer="283" w:gutter="0"/>
          <w:pgNumType w:fmt="numberInDash"/>
          <w:cols w:space="720" w:num="1"/>
          <w:docGrid w:type="lines" w:linePitch="326" w:charSpace="0"/>
        </w:sectPr>
      </w:pPr>
    </w:p>
    <w:tbl>
      <w:tblPr>
        <w:tblStyle w:val="12"/>
        <w:tblpPr w:leftFromText="180" w:rightFromText="180" w:vertAnchor="text" w:horzAnchor="page" w:tblpX="1809" w:tblpY="484"/>
        <w:tblOverlap w:val="never"/>
        <w:tblW w:w="13208" w:type="dxa"/>
        <w:jc w:val="center"/>
        <w:tblInd w:w="0" w:type="dxa"/>
        <w:tblLayout w:type="fixed"/>
        <w:tblCellMar>
          <w:top w:w="0" w:type="dxa"/>
          <w:left w:w="0" w:type="dxa"/>
          <w:bottom w:w="0" w:type="dxa"/>
          <w:right w:w="0" w:type="dxa"/>
        </w:tblCellMar>
      </w:tblPr>
      <w:tblGrid>
        <w:gridCol w:w="5563"/>
        <w:gridCol w:w="1503"/>
        <w:gridCol w:w="3580"/>
        <w:gridCol w:w="2562"/>
      </w:tblGrid>
      <w:tr>
        <w:tblPrEx>
          <w:tblLayout w:type="fixed"/>
          <w:tblCellMar>
            <w:top w:w="0" w:type="dxa"/>
            <w:left w:w="0" w:type="dxa"/>
            <w:bottom w:w="0" w:type="dxa"/>
            <w:right w:w="0" w:type="dxa"/>
          </w:tblCellMar>
        </w:tblPrEx>
        <w:trPr>
          <w:trHeight w:val="665" w:hRule="atLeast"/>
          <w:jc w:val="center"/>
        </w:trPr>
        <w:tc>
          <w:tcPr>
            <w:tcW w:w="13208" w:type="dxa"/>
            <w:gridSpan w:val="4"/>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bottom"/>
              <w:outlineLvl w:val="9"/>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收入支出决算总表</w:t>
            </w:r>
          </w:p>
        </w:tc>
      </w:tr>
      <w:tr>
        <w:tblPrEx>
          <w:tblLayout w:type="fixed"/>
          <w:tblCellMar>
            <w:top w:w="0" w:type="dxa"/>
            <w:left w:w="0" w:type="dxa"/>
            <w:bottom w:w="0" w:type="dxa"/>
            <w:right w:w="0" w:type="dxa"/>
          </w:tblCellMar>
        </w:tblPrEx>
        <w:trPr>
          <w:trHeight w:val="347" w:hRule="atLeast"/>
          <w:jc w:val="center"/>
        </w:trPr>
        <w:tc>
          <w:tcPr>
            <w:tcW w:w="556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20"/>
                <w:szCs w:val="20"/>
                <w:highlight w:val="none"/>
              </w:rPr>
            </w:pPr>
          </w:p>
        </w:tc>
        <w:tc>
          <w:tcPr>
            <w:tcW w:w="150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outlineLvl w:val="9"/>
              <w:rPr>
                <w:rFonts w:hint="default" w:ascii="Times New Roman" w:hAnsi="Times New Roman" w:cs="Times New Roman"/>
                <w:color w:val="auto"/>
                <w:sz w:val="20"/>
                <w:szCs w:val="20"/>
                <w:highlight w:val="none"/>
              </w:rPr>
            </w:pPr>
          </w:p>
        </w:tc>
        <w:tc>
          <w:tcPr>
            <w:tcW w:w="358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20"/>
                <w:szCs w:val="20"/>
                <w:highlight w:val="none"/>
              </w:rPr>
            </w:pPr>
          </w:p>
        </w:tc>
        <w:tc>
          <w:tcPr>
            <w:tcW w:w="256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公开01表</w:t>
            </w:r>
          </w:p>
        </w:tc>
      </w:tr>
      <w:tr>
        <w:tblPrEx>
          <w:tblLayout w:type="fixed"/>
          <w:tblCellMar>
            <w:top w:w="0" w:type="dxa"/>
            <w:left w:w="0" w:type="dxa"/>
            <w:bottom w:w="0" w:type="dxa"/>
            <w:right w:w="0" w:type="dxa"/>
          </w:tblCellMar>
        </w:tblPrEx>
        <w:trPr>
          <w:trHeight w:val="665" w:hRule="atLeast"/>
          <w:jc w:val="center"/>
        </w:trPr>
        <w:tc>
          <w:tcPr>
            <w:tcW w:w="556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公开部门：重庆市秀山土家族苗族自治县石耶镇人民政府</w:t>
            </w:r>
          </w:p>
        </w:tc>
        <w:tc>
          <w:tcPr>
            <w:tcW w:w="150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outlineLvl w:val="9"/>
              <w:rPr>
                <w:rFonts w:hint="default" w:ascii="Times New Roman" w:hAnsi="Times New Roman" w:cs="Times New Roman"/>
                <w:color w:val="auto"/>
                <w:sz w:val="22"/>
                <w:szCs w:val="22"/>
                <w:highlight w:val="none"/>
              </w:rPr>
            </w:pPr>
          </w:p>
        </w:tc>
        <w:tc>
          <w:tcPr>
            <w:tcW w:w="358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22"/>
                <w:szCs w:val="22"/>
                <w:highlight w:val="none"/>
              </w:rPr>
            </w:pPr>
          </w:p>
        </w:tc>
        <w:tc>
          <w:tcPr>
            <w:tcW w:w="256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tblPrEx>
          <w:tblLayout w:type="fixed"/>
          <w:tblCellMar>
            <w:top w:w="0" w:type="dxa"/>
            <w:left w:w="0" w:type="dxa"/>
            <w:bottom w:w="0" w:type="dxa"/>
            <w:right w:w="0" w:type="dxa"/>
          </w:tblCellMar>
        </w:tblPrEx>
        <w:trPr>
          <w:trHeight w:val="367" w:hRule="atLeast"/>
          <w:jc w:val="center"/>
        </w:trPr>
        <w:tc>
          <w:tcPr>
            <w:tcW w:w="706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收入</w:t>
            </w:r>
          </w:p>
        </w:tc>
        <w:tc>
          <w:tcPr>
            <w:tcW w:w="6142"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支出</w:t>
            </w:r>
          </w:p>
        </w:tc>
      </w:tr>
      <w:tr>
        <w:tblPrEx>
          <w:tblLayout w:type="fixed"/>
          <w:tblCellMar>
            <w:top w:w="0" w:type="dxa"/>
            <w:left w:w="0" w:type="dxa"/>
            <w:bottom w:w="0" w:type="dxa"/>
            <w:right w:w="0" w:type="dxa"/>
          </w:tblCellMar>
        </w:tblPrEx>
        <w:trPr>
          <w:trHeight w:val="367" w:hRule="atLeast"/>
          <w:jc w:val="center"/>
        </w:trPr>
        <w:tc>
          <w:tcPr>
            <w:tcW w:w="5563"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w:t>
            </w:r>
          </w:p>
        </w:tc>
        <w:tc>
          <w:tcPr>
            <w:tcW w:w="150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决算数</w:t>
            </w:r>
          </w:p>
        </w:tc>
        <w:tc>
          <w:tcPr>
            <w:tcW w:w="35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功能分类科目</w:t>
            </w:r>
          </w:p>
        </w:tc>
        <w:tc>
          <w:tcPr>
            <w:tcW w:w="256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决算数</w:t>
            </w:r>
          </w:p>
        </w:tc>
      </w:tr>
      <w:tr>
        <w:tblPrEx>
          <w:tblLayout w:type="fixed"/>
          <w:tblCellMar>
            <w:top w:w="0" w:type="dxa"/>
            <w:left w:w="0" w:type="dxa"/>
            <w:bottom w:w="0" w:type="dxa"/>
            <w:right w:w="0" w:type="dxa"/>
          </w:tblCellMar>
        </w:tblPrEx>
        <w:trPr>
          <w:trHeight w:val="367" w:hRule="atLeast"/>
          <w:jc w:val="center"/>
        </w:trPr>
        <w:tc>
          <w:tcPr>
            <w:tcW w:w="5563"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一、一般公共预算财政拨款收入</w:t>
            </w:r>
          </w:p>
        </w:tc>
        <w:tc>
          <w:tcPr>
            <w:tcW w:w="15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2127.21</w:t>
            </w:r>
            <w:r>
              <w:rPr>
                <w:rFonts w:hint="default" w:ascii="Times New Roman" w:hAnsi="Times New Roman" w:cs="Times New Roman"/>
                <w:color w:val="auto"/>
                <w:sz w:val="20"/>
                <w:highlight w:val="none"/>
                <w:u w:color="auto"/>
              </w:rPr>
              <w:t xml:space="preserve"> </w:t>
            </w:r>
          </w:p>
        </w:tc>
        <w:tc>
          <w:tcPr>
            <w:tcW w:w="35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一、一般公共服务支出</w:t>
            </w:r>
          </w:p>
        </w:tc>
        <w:tc>
          <w:tcPr>
            <w:tcW w:w="25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587.55</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67" w:hRule="atLeast"/>
          <w:jc w:val="center"/>
        </w:trPr>
        <w:tc>
          <w:tcPr>
            <w:tcW w:w="5563"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二、政府性基金预算财政拨款收入</w:t>
            </w:r>
          </w:p>
        </w:tc>
        <w:tc>
          <w:tcPr>
            <w:tcW w:w="15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67.47</w:t>
            </w:r>
            <w:r>
              <w:rPr>
                <w:rFonts w:hint="default" w:ascii="Times New Roman" w:hAnsi="Times New Roman" w:cs="Times New Roman"/>
                <w:color w:val="auto"/>
                <w:sz w:val="20"/>
                <w:highlight w:val="none"/>
                <w:u w:color="auto"/>
              </w:rPr>
              <w:t xml:space="preserve"> </w:t>
            </w:r>
          </w:p>
        </w:tc>
        <w:tc>
          <w:tcPr>
            <w:tcW w:w="35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二、外交支出</w:t>
            </w:r>
          </w:p>
        </w:tc>
        <w:tc>
          <w:tcPr>
            <w:tcW w:w="25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67" w:hRule="atLeast"/>
          <w:jc w:val="center"/>
        </w:trPr>
        <w:tc>
          <w:tcPr>
            <w:tcW w:w="5563"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三、国有资本经营预算财政拨款收入</w:t>
            </w:r>
          </w:p>
        </w:tc>
        <w:tc>
          <w:tcPr>
            <w:tcW w:w="15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35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三、国防支出</w:t>
            </w:r>
          </w:p>
        </w:tc>
        <w:tc>
          <w:tcPr>
            <w:tcW w:w="25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67" w:hRule="atLeast"/>
          <w:jc w:val="center"/>
        </w:trPr>
        <w:tc>
          <w:tcPr>
            <w:tcW w:w="5563"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四、上级补助收入</w:t>
            </w:r>
          </w:p>
        </w:tc>
        <w:tc>
          <w:tcPr>
            <w:tcW w:w="15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35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四、公共安全支出</w:t>
            </w:r>
          </w:p>
        </w:tc>
        <w:tc>
          <w:tcPr>
            <w:tcW w:w="25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12.96</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67" w:hRule="atLeast"/>
          <w:jc w:val="center"/>
        </w:trPr>
        <w:tc>
          <w:tcPr>
            <w:tcW w:w="5563"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五、事业收入</w:t>
            </w:r>
          </w:p>
        </w:tc>
        <w:tc>
          <w:tcPr>
            <w:tcW w:w="15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35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五、教育支出</w:t>
            </w:r>
          </w:p>
        </w:tc>
        <w:tc>
          <w:tcPr>
            <w:tcW w:w="25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9</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67" w:hRule="atLeast"/>
          <w:jc w:val="center"/>
        </w:trPr>
        <w:tc>
          <w:tcPr>
            <w:tcW w:w="5563"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六、经营收入</w:t>
            </w:r>
          </w:p>
        </w:tc>
        <w:tc>
          <w:tcPr>
            <w:tcW w:w="15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35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六、科学技术支出</w:t>
            </w:r>
          </w:p>
        </w:tc>
        <w:tc>
          <w:tcPr>
            <w:tcW w:w="25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67" w:hRule="atLeast"/>
          <w:jc w:val="center"/>
        </w:trPr>
        <w:tc>
          <w:tcPr>
            <w:tcW w:w="5563"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七、附属单位上缴收入</w:t>
            </w:r>
          </w:p>
        </w:tc>
        <w:tc>
          <w:tcPr>
            <w:tcW w:w="15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35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七、文化旅游体育与传媒支出</w:t>
            </w:r>
          </w:p>
        </w:tc>
        <w:tc>
          <w:tcPr>
            <w:tcW w:w="25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66.17</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67" w:hRule="atLeast"/>
          <w:jc w:val="center"/>
        </w:trPr>
        <w:tc>
          <w:tcPr>
            <w:tcW w:w="5563"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八、其他收入</w:t>
            </w:r>
          </w:p>
        </w:tc>
        <w:tc>
          <w:tcPr>
            <w:tcW w:w="1503" w:type="dxa"/>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35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八、社会保障和就业支出</w:t>
            </w:r>
          </w:p>
        </w:tc>
        <w:tc>
          <w:tcPr>
            <w:tcW w:w="25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324.30</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67" w:hRule="atLeast"/>
          <w:jc w:val="center"/>
        </w:trPr>
        <w:tc>
          <w:tcPr>
            <w:tcW w:w="5563"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20"/>
                <w:szCs w:val="20"/>
                <w:highlight w:val="none"/>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outlineLvl w:val="9"/>
              <w:rPr>
                <w:rFonts w:hint="default" w:ascii="Times New Roman" w:hAnsi="Times New Roman" w:cs="Times New Roman"/>
                <w:color w:val="auto"/>
                <w:sz w:val="20"/>
                <w:szCs w:val="20"/>
                <w:highlight w:val="none"/>
              </w:rPr>
            </w:pPr>
          </w:p>
        </w:tc>
        <w:tc>
          <w:tcPr>
            <w:tcW w:w="35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九、卫生健康支出</w:t>
            </w:r>
          </w:p>
        </w:tc>
        <w:tc>
          <w:tcPr>
            <w:tcW w:w="25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59.37</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67" w:hRule="atLeast"/>
          <w:jc w:val="center"/>
        </w:trPr>
        <w:tc>
          <w:tcPr>
            <w:tcW w:w="5563"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20"/>
                <w:szCs w:val="20"/>
                <w:highlight w:val="none"/>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outlineLvl w:val="9"/>
              <w:rPr>
                <w:rFonts w:hint="default" w:ascii="Times New Roman" w:hAnsi="Times New Roman" w:cs="Times New Roman"/>
                <w:color w:val="auto"/>
                <w:sz w:val="20"/>
                <w:szCs w:val="20"/>
                <w:highlight w:val="none"/>
              </w:rPr>
            </w:pPr>
          </w:p>
        </w:tc>
        <w:tc>
          <w:tcPr>
            <w:tcW w:w="35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十、节能环保支出</w:t>
            </w:r>
          </w:p>
        </w:tc>
        <w:tc>
          <w:tcPr>
            <w:tcW w:w="25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58.54</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67" w:hRule="atLeast"/>
          <w:jc w:val="center"/>
        </w:trPr>
        <w:tc>
          <w:tcPr>
            <w:tcW w:w="5563"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20"/>
                <w:szCs w:val="20"/>
                <w:highlight w:val="none"/>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outlineLvl w:val="9"/>
              <w:rPr>
                <w:rFonts w:hint="default" w:ascii="Times New Roman" w:hAnsi="Times New Roman" w:cs="Times New Roman"/>
                <w:color w:val="auto"/>
                <w:sz w:val="20"/>
                <w:szCs w:val="20"/>
                <w:highlight w:val="none"/>
              </w:rPr>
            </w:pPr>
          </w:p>
        </w:tc>
        <w:tc>
          <w:tcPr>
            <w:tcW w:w="35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十一、城乡社区支出</w:t>
            </w:r>
          </w:p>
        </w:tc>
        <w:tc>
          <w:tcPr>
            <w:tcW w:w="25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120.50</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67" w:hRule="atLeast"/>
          <w:jc w:val="center"/>
        </w:trPr>
        <w:tc>
          <w:tcPr>
            <w:tcW w:w="5563"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20"/>
                <w:szCs w:val="20"/>
                <w:highlight w:val="none"/>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outlineLvl w:val="9"/>
              <w:rPr>
                <w:rFonts w:hint="default" w:ascii="Times New Roman" w:hAnsi="Times New Roman" w:cs="Times New Roman"/>
                <w:color w:val="auto"/>
                <w:sz w:val="20"/>
                <w:szCs w:val="20"/>
                <w:highlight w:val="none"/>
              </w:rPr>
            </w:pPr>
          </w:p>
        </w:tc>
        <w:tc>
          <w:tcPr>
            <w:tcW w:w="35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十二、农林水支出</w:t>
            </w:r>
          </w:p>
        </w:tc>
        <w:tc>
          <w:tcPr>
            <w:tcW w:w="25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698.43</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67" w:hRule="atLeast"/>
          <w:jc w:val="center"/>
        </w:trPr>
        <w:tc>
          <w:tcPr>
            <w:tcW w:w="5563"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20"/>
                <w:szCs w:val="20"/>
                <w:highlight w:val="none"/>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outlineLvl w:val="9"/>
              <w:rPr>
                <w:rFonts w:hint="default" w:ascii="Times New Roman" w:hAnsi="Times New Roman" w:cs="Times New Roman"/>
                <w:color w:val="auto"/>
                <w:sz w:val="20"/>
                <w:szCs w:val="20"/>
                <w:highlight w:val="none"/>
              </w:rPr>
            </w:pPr>
          </w:p>
        </w:tc>
        <w:tc>
          <w:tcPr>
            <w:tcW w:w="35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十三、交通运输支出</w:t>
            </w:r>
          </w:p>
        </w:tc>
        <w:tc>
          <w:tcPr>
            <w:tcW w:w="25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17.07</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67" w:hRule="atLeast"/>
          <w:jc w:val="center"/>
        </w:trPr>
        <w:tc>
          <w:tcPr>
            <w:tcW w:w="5563"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20"/>
                <w:szCs w:val="20"/>
                <w:highlight w:val="none"/>
              </w:rPr>
            </w:pPr>
          </w:p>
        </w:tc>
        <w:tc>
          <w:tcPr>
            <w:tcW w:w="15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outlineLvl w:val="9"/>
              <w:rPr>
                <w:rFonts w:hint="default" w:ascii="Times New Roman" w:hAnsi="Times New Roman" w:cs="Times New Roman"/>
                <w:color w:val="auto"/>
                <w:sz w:val="20"/>
                <w:szCs w:val="20"/>
                <w:highlight w:val="none"/>
              </w:rPr>
            </w:pPr>
          </w:p>
        </w:tc>
        <w:tc>
          <w:tcPr>
            <w:tcW w:w="35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十四、资源勘探工业信息等支出</w:t>
            </w:r>
          </w:p>
        </w:tc>
        <w:tc>
          <w:tcPr>
            <w:tcW w:w="25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67" w:hRule="atLeast"/>
          <w:jc w:val="center"/>
        </w:trPr>
        <w:tc>
          <w:tcPr>
            <w:tcW w:w="5563"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20"/>
                <w:szCs w:val="20"/>
                <w:highlight w:val="none"/>
              </w:rPr>
            </w:pPr>
          </w:p>
        </w:tc>
        <w:tc>
          <w:tcPr>
            <w:tcW w:w="15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outlineLvl w:val="9"/>
              <w:rPr>
                <w:rFonts w:hint="default" w:ascii="Times New Roman" w:hAnsi="Times New Roman" w:cs="Times New Roman"/>
                <w:color w:val="auto"/>
                <w:sz w:val="20"/>
                <w:szCs w:val="20"/>
                <w:highlight w:val="none"/>
              </w:rPr>
            </w:pPr>
          </w:p>
        </w:tc>
        <w:tc>
          <w:tcPr>
            <w:tcW w:w="35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十五、商业服务业等支出</w:t>
            </w:r>
          </w:p>
        </w:tc>
        <w:tc>
          <w:tcPr>
            <w:tcW w:w="25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67" w:hRule="atLeast"/>
          <w:jc w:val="center"/>
        </w:trPr>
        <w:tc>
          <w:tcPr>
            <w:tcW w:w="5563"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20"/>
                <w:szCs w:val="20"/>
                <w:highlight w:val="none"/>
              </w:rPr>
            </w:pPr>
          </w:p>
        </w:tc>
        <w:tc>
          <w:tcPr>
            <w:tcW w:w="15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outlineLvl w:val="9"/>
              <w:rPr>
                <w:rFonts w:hint="default" w:ascii="Times New Roman" w:hAnsi="Times New Roman" w:cs="Times New Roman"/>
                <w:color w:val="auto"/>
                <w:sz w:val="20"/>
                <w:szCs w:val="20"/>
                <w:highlight w:val="none"/>
              </w:rPr>
            </w:pPr>
          </w:p>
        </w:tc>
        <w:tc>
          <w:tcPr>
            <w:tcW w:w="35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十六、金融支出</w:t>
            </w:r>
          </w:p>
        </w:tc>
        <w:tc>
          <w:tcPr>
            <w:tcW w:w="25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67" w:hRule="atLeast"/>
          <w:jc w:val="center"/>
        </w:trPr>
        <w:tc>
          <w:tcPr>
            <w:tcW w:w="5563"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20"/>
                <w:szCs w:val="20"/>
                <w:highlight w:val="none"/>
              </w:rPr>
            </w:pPr>
          </w:p>
        </w:tc>
        <w:tc>
          <w:tcPr>
            <w:tcW w:w="15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outlineLvl w:val="9"/>
              <w:rPr>
                <w:rFonts w:hint="default" w:ascii="Times New Roman" w:hAnsi="Times New Roman" w:cs="Times New Roman"/>
                <w:color w:val="auto"/>
                <w:sz w:val="20"/>
                <w:szCs w:val="20"/>
                <w:highlight w:val="none"/>
              </w:rPr>
            </w:pPr>
          </w:p>
        </w:tc>
        <w:tc>
          <w:tcPr>
            <w:tcW w:w="35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十七、援助其他地区支出</w:t>
            </w:r>
          </w:p>
        </w:tc>
        <w:tc>
          <w:tcPr>
            <w:tcW w:w="25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67" w:hRule="atLeast"/>
          <w:jc w:val="center"/>
        </w:trPr>
        <w:tc>
          <w:tcPr>
            <w:tcW w:w="5563"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20"/>
                <w:szCs w:val="20"/>
                <w:highlight w:val="none"/>
              </w:rPr>
            </w:pPr>
          </w:p>
        </w:tc>
        <w:tc>
          <w:tcPr>
            <w:tcW w:w="15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outlineLvl w:val="9"/>
              <w:rPr>
                <w:rFonts w:hint="default" w:ascii="Times New Roman" w:hAnsi="Times New Roman" w:cs="Times New Roman"/>
                <w:color w:val="auto"/>
                <w:sz w:val="20"/>
                <w:szCs w:val="20"/>
                <w:highlight w:val="none"/>
              </w:rPr>
            </w:pPr>
          </w:p>
        </w:tc>
        <w:tc>
          <w:tcPr>
            <w:tcW w:w="35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十八、自然资源海洋气象等支出</w:t>
            </w:r>
          </w:p>
        </w:tc>
        <w:tc>
          <w:tcPr>
            <w:tcW w:w="25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89.97</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67" w:hRule="atLeast"/>
          <w:jc w:val="center"/>
        </w:trPr>
        <w:tc>
          <w:tcPr>
            <w:tcW w:w="5563"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20"/>
                <w:szCs w:val="20"/>
                <w:highlight w:val="none"/>
              </w:rPr>
            </w:pPr>
          </w:p>
        </w:tc>
        <w:tc>
          <w:tcPr>
            <w:tcW w:w="15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outlineLvl w:val="9"/>
              <w:rPr>
                <w:rFonts w:hint="default" w:ascii="Times New Roman" w:hAnsi="Times New Roman" w:cs="Times New Roman"/>
                <w:color w:val="auto"/>
                <w:sz w:val="20"/>
                <w:szCs w:val="20"/>
                <w:highlight w:val="none"/>
              </w:rPr>
            </w:pPr>
          </w:p>
        </w:tc>
        <w:tc>
          <w:tcPr>
            <w:tcW w:w="35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十九、住房保障支出</w:t>
            </w:r>
          </w:p>
        </w:tc>
        <w:tc>
          <w:tcPr>
            <w:tcW w:w="25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70.40</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67" w:hRule="atLeast"/>
          <w:jc w:val="center"/>
        </w:trPr>
        <w:tc>
          <w:tcPr>
            <w:tcW w:w="5563"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20"/>
                <w:szCs w:val="20"/>
                <w:highlight w:val="none"/>
              </w:rPr>
            </w:pPr>
          </w:p>
        </w:tc>
        <w:tc>
          <w:tcPr>
            <w:tcW w:w="15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outlineLvl w:val="9"/>
              <w:rPr>
                <w:rFonts w:hint="default" w:ascii="Times New Roman" w:hAnsi="Times New Roman" w:cs="Times New Roman"/>
                <w:color w:val="auto"/>
                <w:sz w:val="20"/>
                <w:szCs w:val="20"/>
                <w:highlight w:val="none"/>
              </w:rPr>
            </w:pPr>
          </w:p>
        </w:tc>
        <w:tc>
          <w:tcPr>
            <w:tcW w:w="35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二十、粮油物资储备支出</w:t>
            </w:r>
          </w:p>
        </w:tc>
        <w:tc>
          <w:tcPr>
            <w:tcW w:w="25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67" w:hRule="atLeast"/>
          <w:jc w:val="center"/>
        </w:trPr>
        <w:tc>
          <w:tcPr>
            <w:tcW w:w="5563"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20"/>
                <w:szCs w:val="20"/>
                <w:highlight w:val="none"/>
              </w:rPr>
            </w:pPr>
          </w:p>
        </w:tc>
        <w:tc>
          <w:tcPr>
            <w:tcW w:w="15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outlineLvl w:val="9"/>
              <w:rPr>
                <w:rFonts w:hint="default" w:ascii="Times New Roman" w:hAnsi="Times New Roman" w:cs="Times New Roman"/>
                <w:color w:val="auto"/>
                <w:sz w:val="20"/>
                <w:szCs w:val="20"/>
                <w:highlight w:val="none"/>
              </w:rPr>
            </w:pPr>
          </w:p>
        </w:tc>
        <w:tc>
          <w:tcPr>
            <w:tcW w:w="35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二十一、国有资本经营预算支出</w:t>
            </w:r>
          </w:p>
        </w:tc>
        <w:tc>
          <w:tcPr>
            <w:tcW w:w="25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67" w:hRule="atLeast"/>
          <w:jc w:val="center"/>
        </w:trPr>
        <w:tc>
          <w:tcPr>
            <w:tcW w:w="5563"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20"/>
                <w:szCs w:val="20"/>
                <w:highlight w:val="none"/>
              </w:rPr>
            </w:pPr>
          </w:p>
        </w:tc>
        <w:tc>
          <w:tcPr>
            <w:tcW w:w="15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outlineLvl w:val="9"/>
              <w:rPr>
                <w:rFonts w:hint="default" w:ascii="Times New Roman" w:hAnsi="Times New Roman" w:cs="Times New Roman"/>
                <w:color w:val="auto"/>
                <w:sz w:val="20"/>
                <w:szCs w:val="20"/>
                <w:highlight w:val="none"/>
              </w:rPr>
            </w:pPr>
          </w:p>
        </w:tc>
        <w:tc>
          <w:tcPr>
            <w:tcW w:w="35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二十二、灾害防治及应急管理支出</w:t>
            </w:r>
          </w:p>
        </w:tc>
        <w:tc>
          <w:tcPr>
            <w:tcW w:w="25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34.76</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67" w:hRule="atLeast"/>
          <w:jc w:val="center"/>
        </w:trPr>
        <w:tc>
          <w:tcPr>
            <w:tcW w:w="5563"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20"/>
                <w:szCs w:val="20"/>
                <w:highlight w:val="none"/>
              </w:rPr>
            </w:pPr>
          </w:p>
        </w:tc>
        <w:tc>
          <w:tcPr>
            <w:tcW w:w="15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outlineLvl w:val="9"/>
              <w:rPr>
                <w:rFonts w:hint="default" w:ascii="Times New Roman" w:hAnsi="Times New Roman" w:cs="Times New Roman"/>
                <w:color w:val="auto"/>
                <w:sz w:val="20"/>
                <w:szCs w:val="20"/>
                <w:highlight w:val="none"/>
              </w:rPr>
            </w:pPr>
          </w:p>
        </w:tc>
        <w:tc>
          <w:tcPr>
            <w:tcW w:w="35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二十三、其他支出</w:t>
            </w:r>
          </w:p>
        </w:tc>
        <w:tc>
          <w:tcPr>
            <w:tcW w:w="25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67" w:hRule="atLeast"/>
          <w:jc w:val="center"/>
        </w:trPr>
        <w:tc>
          <w:tcPr>
            <w:tcW w:w="5563"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c>
          <w:tcPr>
            <w:tcW w:w="15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outlineLvl w:val="9"/>
              <w:rPr>
                <w:rFonts w:hint="default" w:ascii="Times New Roman" w:hAnsi="Times New Roman" w:cs="Times New Roman"/>
                <w:color w:val="auto"/>
                <w:sz w:val="20"/>
                <w:szCs w:val="20"/>
                <w:highlight w:val="none"/>
              </w:rPr>
            </w:pPr>
          </w:p>
        </w:tc>
        <w:tc>
          <w:tcPr>
            <w:tcW w:w="35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二十四、债务还本支出</w:t>
            </w:r>
          </w:p>
        </w:tc>
        <w:tc>
          <w:tcPr>
            <w:tcW w:w="25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67" w:hRule="atLeast"/>
          <w:jc w:val="center"/>
        </w:trPr>
        <w:tc>
          <w:tcPr>
            <w:tcW w:w="5563"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20"/>
                <w:szCs w:val="20"/>
                <w:highlight w:val="none"/>
              </w:rPr>
            </w:pPr>
          </w:p>
        </w:tc>
        <w:tc>
          <w:tcPr>
            <w:tcW w:w="15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outlineLvl w:val="9"/>
              <w:rPr>
                <w:rFonts w:hint="default" w:ascii="Times New Roman" w:hAnsi="Times New Roman" w:cs="Times New Roman"/>
                <w:color w:val="auto"/>
                <w:sz w:val="20"/>
                <w:szCs w:val="20"/>
                <w:highlight w:val="none"/>
              </w:rPr>
            </w:pPr>
          </w:p>
        </w:tc>
        <w:tc>
          <w:tcPr>
            <w:tcW w:w="35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二十五、债务付息支出</w:t>
            </w:r>
          </w:p>
        </w:tc>
        <w:tc>
          <w:tcPr>
            <w:tcW w:w="25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67" w:hRule="atLeast"/>
          <w:jc w:val="center"/>
        </w:trPr>
        <w:tc>
          <w:tcPr>
            <w:tcW w:w="5563"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20"/>
                <w:szCs w:val="20"/>
                <w:highlight w:val="none"/>
              </w:rPr>
            </w:pPr>
          </w:p>
        </w:tc>
        <w:tc>
          <w:tcPr>
            <w:tcW w:w="15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outlineLvl w:val="9"/>
              <w:rPr>
                <w:rFonts w:hint="default" w:ascii="Times New Roman" w:hAnsi="Times New Roman" w:cs="Times New Roman"/>
                <w:color w:val="auto"/>
                <w:sz w:val="20"/>
                <w:szCs w:val="20"/>
                <w:highlight w:val="none"/>
              </w:rPr>
            </w:pPr>
          </w:p>
        </w:tc>
        <w:tc>
          <w:tcPr>
            <w:tcW w:w="35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二十六、抗疫特别国债安排的支出</w:t>
            </w:r>
          </w:p>
        </w:tc>
        <w:tc>
          <w:tcPr>
            <w:tcW w:w="25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67" w:hRule="atLeast"/>
          <w:jc w:val="center"/>
        </w:trPr>
        <w:tc>
          <w:tcPr>
            <w:tcW w:w="5563"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本年收入合计</w:t>
            </w:r>
          </w:p>
        </w:tc>
        <w:tc>
          <w:tcPr>
            <w:tcW w:w="15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w:t>
            </w:r>
            <w:r>
              <w:rPr>
                <w:rFonts w:hint="eastAsia" w:ascii="Times New Roman" w:hAnsi="Times New Roman" w:cs="Times New Roman"/>
                <w:color w:val="auto"/>
                <w:sz w:val="20"/>
                <w:szCs w:val="20"/>
                <w:highlight w:val="none"/>
                <w:lang w:eastAsia="zh-CN"/>
              </w:rPr>
              <w:t>，</w:t>
            </w:r>
            <w:r>
              <w:rPr>
                <w:rFonts w:hint="default" w:ascii="Times New Roman" w:hAnsi="Times New Roman" w:cs="Times New Roman"/>
                <w:color w:val="auto"/>
                <w:sz w:val="20"/>
                <w:szCs w:val="20"/>
                <w:highlight w:val="none"/>
              </w:rPr>
              <w:t>194.68</w:t>
            </w:r>
            <w:r>
              <w:rPr>
                <w:rFonts w:hint="default" w:ascii="Times New Roman" w:hAnsi="Times New Roman" w:cs="Times New Roman"/>
                <w:color w:val="auto"/>
                <w:sz w:val="20"/>
                <w:highlight w:val="none"/>
                <w:u w:color="auto"/>
              </w:rPr>
              <w:t xml:space="preserve"> </w:t>
            </w:r>
          </w:p>
        </w:tc>
        <w:tc>
          <w:tcPr>
            <w:tcW w:w="35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本年支出合计</w:t>
            </w:r>
          </w:p>
        </w:tc>
        <w:tc>
          <w:tcPr>
            <w:tcW w:w="25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w:t>
            </w:r>
            <w:r>
              <w:rPr>
                <w:rFonts w:hint="eastAsia" w:ascii="Times New Roman" w:hAnsi="Times New Roman" w:cs="Times New Roman"/>
                <w:color w:val="auto"/>
                <w:sz w:val="20"/>
                <w:szCs w:val="20"/>
                <w:highlight w:val="none"/>
                <w:lang w:eastAsia="zh-CN"/>
              </w:rPr>
              <w:t>，</w:t>
            </w:r>
            <w:r>
              <w:rPr>
                <w:rFonts w:hint="default" w:ascii="Times New Roman" w:hAnsi="Times New Roman" w:cs="Times New Roman"/>
                <w:color w:val="auto"/>
                <w:sz w:val="20"/>
                <w:szCs w:val="20"/>
                <w:highlight w:val="none"/>
              </w:rPr>
              <w:t>152.02</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67" w:hRule="atLeast"/>
          <w:jc w:val="center"/>
        </w:trPr>
        <w:tc>
          <w:tcPr>
            <w:tcW w:w="5563"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使用非财政拨款结余和专用结余</w:t>
            </w:r>
          </w:p>
        </w:tc>
        <w:tc>
          <w:tcPr>
            <w:tcW w:w="15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35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结余分配</w:t>
            </w:r>
          </w:p>
        </w:tc>
        <w:tc>
          <w:tcPr>
            <w:tcW w:w="25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67" w:hRule="atLeast"/>
          <w:jc w:val="center"/>
        </w:trPr>
        <w:tc>
          <w:tcPr>
            <w:tcW w:w="5563"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年初结转和结余</w:t>
            </w:r>
          </w:p>
        </w:tc>
        <w:tc>
          <w:tcPr>
            <w:tcW w:w="15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6.91</w:t>
            </w:r>
            <w:r>
              <w:rPr>
                <w:rFonts w:hint="default" w:ascii="Times New Roman" w:hAnsi="Times New Roman" w:cs="Times New Roman"/>
                <w:color w:val="auto"/>
                <w:sz w:val="20"/>
                <w:highlight w:val="none"/>
                <w:u w:color="auto"/>
              </w:rPr>
              <w:t xml:space="preserve"> </w:t>
            </w:r>
          </w:p>
        </w:tc>
        <w:tc>
          <w:tcPr>
            <w:tcW w:w="35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年末结转和结余</w:t>
            </w:r>
          </w:p>
        </w:tc>
        <w:tc>
          <w:tcPr>
            <w:tcW w:w="256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49.57</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7" w:hRule="atLeast"/>
          <w:jc w:val="center"/>
        </w:trPr>
        <w:tc>
          <w:tcPr>
            <w:tcW w:w="5563"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总计</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w:t>
            </w:r>
            <w:r>
              <w:rPr>
                <w:rFonts w:hint="eastAsia" w:ascii="Times New Roman" w:hAnsi="Times New Roman" w:cs="Times New Roman"/>
                <w:color w:val="auto"/>
                <w:sz w:val="20"/>
                <w:szCs w:val="20"/>
                <w:highlight w:val="none"/>
                <w:lang w:eastAsia="zh-CN"/>
              </w:rPr>
              <w:t>，</w:t>
            </w:r>
            <w:r>
              <w:rPr>
                <w:rFonts w:hint="default" w:ascii="Times New Roman" w:hAnsi="Times New Roman" w:cs="Times New Roman"/>
                <w:color w:val="auto"/>
                <w:sz w:val="20"/>
                <w:szCs w:val="20"/>
                <w:highlight w:val="none"/>
              </w:rPr>
              <w:t>201.58</w:t>
            </w:r>
            <w:r>
              <w:rPr>
                <w:rFonts w:hint="default" w:ascii="Times New Roman" w:hAnsi="Times New Roman" w:cs="Times New Roman"/>
                <w:color w:val="auto"/>
                <w:sz w:val="20"/>
                <w:highlight w:val="none"/>
                <w:u w:color="auto"/>
              </w:rPr>
              <w:t xml:space="preserve"> </w:t>
            </w:r>
          </w:p>
        </w:tc>
        <w:tc>
          <w:tcPr>
            <w:tcW w:w="3580"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总计</w:t>
            </w:r>
          </w:p>
        </w:tc>
        <w:tc>
          <w:tcPr>
            <w:tcW w:w="25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w:t>
            </w:r>
            <w:r>
              <w:rPr>
                <w:rFonts w:hint="eastAsia" w:ascii="Times New Roman" w:hAnsi="Times New Roman" w:cs="Times New Roman"/>
                <w:color w:val="auto"/>
                <w:sz w:val="20"/>
                <w:szCs w:val="20"/>
                <w:highlight w:val="none"/>
                <w:lang w:eastAsia="zh-CN"/>
              </w:rPr>
              <w:t>，</w:t>
            </w:r>
            <w:r>
              <w:rPr>
                <w:rFonts w:hint="default" w:ascii="Times New Roman" w:hAnsi="Times New Roman" w:cs="Times New Roman"/>
                <w:color w:val="auto"/>
                <w:sz w:val="20"/>
                <w:szCs w:val="20"/>
                <w:highlight w:val="none"/>
              </w:rPr>
              <w:t>201.58</w:t>
            </w:r>
            <w:r>
              <w:rPr>
                <w:rFonts w:hint="default" w:ascii="Times New Roman" w:hAnsi="Times New Roman" w:cs="Times New Roman"/>
                <w:color w:val="auto"/>
                <w:sz w:val="20"/>
                <w:highlight w:val="none"/>
                <w:u w:color="auto"/>
              </w:rPr>
              <w:t xml:space="preserve"> </w:t>
            </w:r>
          </w:p>
        </w:tc>
      </w:tr>
    </w:tbl>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20"/>
          <w:szCs w:val="20"/>
          <w:highlight w:val="none"/>
        </w:rPr>
      </w:pP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备注：1.本表反映部门本年度的总收支和年末结转结余情况。</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t xml:space="preserve">      2.本套报表金额单位转换时可能存在尾数误差。</w:t>
      </w:r>
      <w:r>
        <w:rPr>
          <w:rFonts w:hint="default" w:ascii="Times New Roman" w:hAnsi="Times New Roman" w:cs="Times New Roman"/>
          <w:color w:val="auto"/>
          <w:sz w:val="20"/>
          <w:szCs w:val="20"/>
          <w:highlight w:val="none"/>
        </w:rPr>
        <w:br w:type="textWrapping"/>
      </w: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20"/>
          <w:szCs w:val="20"/>
          <w:highlight w:val="none"/>
        </w:rPr>
      </w:pP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20"/>
          <w:szCs w:val="20"/>
          <w:highlight w:val="none"/>
        </w:rPr>
      </w:pP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20"/>
          <w:szCs w:val="20"/>
          <w:highlight w:val="none"/>
        </w:rPr>
      </w:pP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20"/>
          <w:szCs w:val="20"/>
          <w:highlight w:val="none"/>
        </w:rPr>
      </w:pPr>
    </w:p>
    <w:p>
      <w:pPr>
        <w:pStyle w:val="2"/>
        <w:rPr>
          <w:rFonts w:hint="default"/>
        </w:rPr>
      </w:pP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br w:type="textWrapping"/>
      </w:r>
    </w:p>
    <w:tbl>
      <w:tblPr>
        <w:tblStyle w:val="12"/>
        <w:tblW w:w="13213" w:type="dxa"/>
        <w:tblInd w:w="0" w:type="dxa"/>
        <w:tblLayout w:type="fixed"/>
        <w:tblCellMar>
          <w:top w:w="0" w:type="dxa"/>
          <w:left w:w="0" w:type="dxa"/>
          <w:bottom w:w="0" w:type="dxa"/>
          <w:right w:w="0" w:type="dxa"/>
        </w:tblCellMar>
      </w:tblPr>
      <w:tblGrid>
        <w:gridCol w:w="1461"/>
        <w:gridCol w:w="2724"/>
        <w:gridCol w:w="310"/>
        <w:gridCol w:w="750"/>
        <w:gridCol w:w="1060"/>
        <w:gridCol w:w="1060"/>
        <w:gridCol w:w="1059"/>
        <w:gridCol w:w="1"/>
        <w:gridCol w:w="1173"/>
        <w:gridCol w:w="1123"/>
        <w:gridCol w:w="1236"/>
        <w:gridCol w:w="1256"/>
      </w:tblGrid>
      <w:tr>
        <w:tblPrEx>
          <w:tblLayout w:type="fixed"/>
          <w:tblCellMar>
            <w:top w:w="0" w:type="dxa"/>
            <w:left w:w="0" w:type="dxa"/>
            <w:bottom w:w="0" w:type="dxa"/>
            <w:right w:w="0" w:type="dxa"/>
          </w:tblCellMar>
        </w:tblPrEx>
        <w:trPr>
          <w:trHeight w:val="641" w:hRule="atLeast"/>
        </w:trPr>
        <w:tc>
          <w:tcPr>
            <w:tcW w:w="13213" w:type="dxa"/>
            <w:gridSpan w:val="1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bottom"/>
              <w:outlineLvl w:val="9"/>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收入决算表</w:t>
            </w:r>
          </w:p>
        </w:tc>
      </w:tr>
      <w:tr>
        <w:tblPrEx>
          <w:tblLayout w:type="fixed"/>
          <w:tblCellMar>
            <w:top w:w="0" w:type="dxa"/>
            <w:left w:w="0" w:type="dxa"/>
            <w:bottom w:w="0" w:type="dxa"/>
            <w:right w:w="0" w:type="dxa"/>
          </w:tblCellMar>
        </w:tblPrEx>
        <w:trPr>
          <w:trHeight w:val="328" w:hRule="atLeast"/>
        </w:trPr>
        <w:tc>
          <w:tcPr>
            <w:tcW w:w="4185"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公开部门：重庆市秀山土家族苗族自治县石耶镇人民政府</w:t>
            </w:r>
          </w:p>
        </w:tc>
        <w:tc>
          <w:tcPr>
            <w:tcW w:w="1060"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20"/>
                <w:szCs w:val="20"/>
                <w:highlight w:val="none"/>
              </w:rPr>
            </w:pPr>
          </w:p>
        </w:tc>
        <w:tc>
          <w:tcPr>
            <w:tcW w:w="106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20"/>
                <w:szCs w:val="20"/>
                <w:highlight w:val="none"/>
              </w:rPr>
            </w:pPr>
          </w:p>
        </w:tc>
        <w:tc>
          <w:tcPr>
            <w:tcW w:w="106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20"/>
                <w:szCs w:val="20"/>
                <w:highlight w:val="none"/>
              </w:rPr>
            </w:pPr>
          </w:p>
        </w:tc>
        <w:tc>
          <w:tcPr>
            <w:tcW w:w="105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20"/>
                <w:szCs w:val="20"/>
                <w:highlight w:val="none"/>
              </w:rPr>
            </w:pPr>
          </w:p>
        </w:tc>
        <w:tc>
          <w:tcPr>
            <w:tcW w:w="1174"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20"/>
                <w:szCs w:val="20"/>
                <w:highlight w:val="none"/>
              </w:rPr>
            </w:pPr>
          </w:p>
        </w:tc>
        <w:tc>
          <w:tcPr>
            <w:tcW w:w="112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20"/>
                <w:szCs w:val="20"/>
                <w:highlight w:val="none"/>
              </w:rPr>
            </w:pPr>
          </w:p>
        </w:tc>
        <w:tc>
          <w:tcPr>
            <w:tcW w:w="12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20"/>
                <w:szCs w:val="20"/>
                <w:highlight w:val="none"/>
              </w:rPr>
            </w:pPr>
          </w:p>
        </w:tc>
        <w:tc>
          <w:tcPr>
            <w:tcW w:w="125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公开02表</w:t>
            </w:r>
          </w:p>
        </w:tc>
      </w:tr>
      <w:tr>
        <w:tblPrEx>
          <w:tblLayout w:type="fixed"/>
          <w:tblCellMar>
            <w:top w:w="0" w:type="dxa"/>
            <w:left w:w="0" w:type="dxa"/>
            <w:bottom w:w="0" w:type="dxa"/>
            <w:right w:w="0" w:type="dxa"/>
          </w:tblCellMar>
        </w:tblPrEx>
        <w:trPr>
          <w:trHeight w:val="328" w:hRule="atLeast"/>
        </w:trPr>
        <w:tc>
          <w:tcPr>
            <w:tcW w:w="4185"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20"/>
                <w:szCs w:val="20"/>
                <w:highlight w:val="none"/>
              </w:rPr>
            </w:pPr>
          </w:p>
        </w:tc>
        <w:tc>
          <w:tcPr>
            <w:tcW w:w="1060"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20"/>
                <w:szCs w:val="20"/>
                <w:highlight w:val="none"/>
              </w:rPr>
            </w:pPr>
          </w:p>
        </w:tc>
        <w:tc>
          <w:tcPr>
            <w:tcW w:w="106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20"/>
                <w:szCs w:val="20"/>
                <w:highlight w:val="none"/>
              </w:rPr>
            </w:pPr>
          </w:p>
        </w:tc>
        <w:tc>
          <w:tcPr>
            <w:tcW w:w="106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20"/>
                <w:szCs w:val="20"/>
                <w:highlight w:val="none"/>
              </w:rPr>
            </w:pPr>
          </w:p>
        </w:tc>
        <w:tc>
          <w:tcPr>
            <w:tcW w:w="105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20"/>
                <w:szCs w:val="20"/>
                <w:highlight w:val="none"/>
              </w:rPr>
            </w:pPr>
          </w:p>
        </w:tc>
        <w:tc>
          <w:tcPr>
            <w:tcW w:w="1174"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20"/>
                <w:szCs w:val="20"/>
                <w:highlight w:val="none"/>
              </w:rPr>
            </w:pPr>
          </w:p>
        </w:tc>
        <w:tc>
          <w:tcPr>
            <w:tcW w:w="112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20"/>
                <w:szCs w:val="20"/>
                <w:highlight w:val="none"/>
              </w:rPr>
            </w:pPr>
          </w:p>
        </w:tc>
        <w:tc>
          <w:tcPr>
            <w:tcW w:w="12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20"/>
                <w:szCs w:val="20"/>
                <w:highlight w:val="none"/>
              </w:rPr>
            </w:pPr>
          </w:p>
        </w:tc>
        <w:tc>
          <w:tcPr>
            <w:tcW w:w="125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tblPrEx>
          <w:tblLayout w:type="fixed"/>
          <w:tblCellMar>
            <w:top w:w="0" w:type="dxa"/>
            <w:left w:w="0" w:type="dxa"/>
            <w:bottom w:w="0" w:type="dxa"/>
            <w:right w:w="0" w:type="dxa"/>
          </w:tblCellMar>
        </w:tblPrEx>
        <w:trPr>
          <w:trHeight w:val="431" w:hRule="atLeast"/>
        </w:trPr>
        <w:tc>
          <w:tcPr>
            <w:tcW w:w="4185"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bottom"/>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w:t>
            </w:r>
          </w:p>
        </w:tc>
        <w:tc>
          <w:tcPr>
            <w:tcW w:w="1060" w:type="dxa"/>
            <w:gridSpan w:val="2"/>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本年收入合计</w:t>
            </w:r>
          </w:p>
        </w:tc>
        <w:tc>
          <w:tcPr>
            <w:tcW w:w="10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财政拨款收入</w:t>
            </w:r>
          </w:p>
        </w:tc>
        <w:tc>
          <w:tcPr>
            <w:tcW w:w="10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上级补助收入</w:t>
            </w:r>
          </w:p>
        </w:tc>
        <w:tc>
          <w:tcPr>
            <w:tcW w:w="2233"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bottom"/>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事业收入</w:t>
            </w:r>
          </w:p>
        </w:tc>
        <w:tc>
          <w:tcPr>
            <w:tcW w:w="112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经营收入</w:t>
            </w:r>
          </w:p>
        </w:tc>
        <w:tc>
          <w:tcPr>
            <w:tcW w:w="12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附属单位上缴收入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其他收入</w:t>
            </w:r>
          </w:p>
        </w:tc>
      </w:tr>
      <w:tr>
        <w:tblPrEx>
          <w:tblLayout w:type="fixed"/>
          <w:tblCellMar>
            <w:top w:w="0" w:type="dxa"/>
            <w:left w:w="0" w:type="dxa"/>
            <w:bottom w:w="0" w:type="dxa"/>
            <w:right w:w="0" w:type="dxa"/>
          </w:tblCellMar>
        </w:tblPrEx>
        <w:trPr>
          <w:trHeight w:val="334" w:hRule="atLeast"/>
        </w:trPr>
        <w:tc>
          <w:tcPr>
            <w:tcW w:w="146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功能分类科目编码</w:t>
            </w:r>
          </w:p>
        </w:tc>
        <w:tc>
          <w:tcPr>
            <w:tcW w:w="2724"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项目（按</w:t>
            </w:r>
            <w:r>
              <w:rPr>
                <w:rFonts w:hint="eastAsia" w:ascii="Times New Roman" w:hAnsi="Times New Roman" w:cs="Times New Roman"/>
                <w:b/>
                <w:color w:val="auto"/>
                <w:sz w:val="20"/>
                <w:szCs w:val="20"/>
                <w:highlight w:val="none"/>
                <w:lang w:eastAsia="zh-CN"/>
              </w:rPr>
              <w:t>“</w:t>
            </w:r>
            <w:r>
              <w:rPr>
                <w:rFonts w:hint="default" w:ascii="Times New Roman" w:hAnsi="Times New Roman" w:cs="Times New Roman"/>
                <w:b/>
                <w:color w:val="auto"/>
                <w:sz w:val="20"/>
                <w:szCs w:val="20"/>
                <w:highlight w:val="none"/>
              </w:rPr>
              <w:t>项</w:t>
            </w:r>
            <w:r>
              <w:rPr>
                <w:rFonts w:hint="eastAsia" w:ascii="Times New Roman" w:hAnsi="Times New Roman" w:cs="Times New Roman"/>
                <w:b/>
                <w:color w:val="auto"/>
                <w:sz w:val="20"/>
                <w:szCs w:val="20"/>
                <w:highlight w:val="none"/>
                <w:lang w:eastAsia="zh-CN"/>
              </w:rPr>
              <w:t>”</w:t>
            </w:r>
            <w:r>
              <w:rPr>
                <w:rFonts w:hint="default" w:ascii="Times New Roman" w:hAnsi="Times New Roman" w:cs="Times New Roman"/>
                <w:b/>
                <w:color w:val="auto"/>
                <w:sz w:val="20"/>
                <w:szCs w:val="20"/>
                <w:highlight w:val="none"/>
              </w:rPr>
              <w:t>级功能分类科目）</w:t>
            </w:r>
          </w:p>
        </w:tc>
        <w:tc>
          <w:tcPr>
            <w:tcW w:w="1060" w:type="dxa"/>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c>
          <w:tcPr>
            <w:tcW w:w="1060" w:type="dxa"/>
            <w:gridSpan w:val="2"/>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小计</w:t>
            </w:r>
          </w:p>
        </w:tc>
        <w:tc>
          <w:tcPr>
            <w:tcW w:w="11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其中：教育收费</w:t>
            </w:r>
          </w:p>
        </w:tc>
        <w:tc>
          <w:tcPr>
            <w:tcW w:w="112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34" w:hRule="atLeast"/>
        </w:trPr>
        <w:tc>
          <w:tcPr>
            <w:tcW w:w="146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c>
          <w:tcPr>
            <w:tcW w:w="2724"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c>
          <w:tcPr>
            <w:tcW w:w="1060" w:type="dxa"/>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c>
          <w:tcPr>
            <w:tcW w:w="1060" w:type="dxa"/>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34" w:hRule="atLeast"/>
        </w:trPr>
        <w:tc>
          <w:tcPr>
            <w:tcW w:w="146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c>
          <w:tcPr>
            <w:tcW w:w="2724"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c>
          <w:tcPr>
            <w:tcW w:w="1060" w:type="dxa"/>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c>
          <w:tcPr>
            <w:tcW w:w="1060" w:type="dxa"/>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34" w:hRule="atLeast"/>
        </w:trPr>
        <w:tc>
          <w:tcPr>
            <w:tcW w:w="146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c>
          <w:tcPr>
            <w:tcW w:w="2724"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c>
          <w:tcPr>
            <w:tcW w:w="1060" w:type="dxa"/>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c>
          <w:tcPr>
            <w:tcW w:w="1060" w:type="dxa"/>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38" w:hRule="atLeast"/>
        </w:trPr>
        <w:tc>
          <w:tcPr>
            <w:tcW w:w="418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合计</w:t>
            </w:r>
          </w:p>
        </w:tc>
        <w:tc>
          <w:tcPr>
            <w:tcW w:w="106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bCs/>
                <w:color w:val="auto"/>
                <w:sz w:val="20"/>
                <w:szCs w:val="20"/>
                <w:highlight w:val="none"/>
              </w:rPr>
              <w:t>2</w:t>
            </w:r>
            <w:r>
              <w:rPr>
                <w:rFonts w:hint="eastAsia" w:ascii="Times New Roman" w:hAnsi="Times New Roman" w:cs="Times New Roman"/>
                <w:b/>
                <w:bCs/>
                <w:color w:val="auto"/>
                <w:sz w:val="20"/>
                <w:szCs w:val="20"/>
                <w:highlight w:val="none"/>
                <w:lang w:eastAsia="zh-CN"/>
              </w:rPr>
              <w:t>，</w:t>
            </w:r>
            <w:r>
              <w:rPr>
                <w:rFonts w:hint="default" w:ascii="Times New Roman" w:hAnsi="Times New Roman" w:cs="Times New Roman"/>
                <w:b/>
                <w:bCs/>
                <w:color w:val="auto"/>
                <w:sz w:val="20"/>
                <w:szCs w:val="20"/>
                <w:highlight w:val="none"/>
              </w:rPr>
              <w:t>194.68</w:t>
            </w:r>
            <w:r>
              <w:rPr>
                <w:rFonts w:hint="default" w:ascii="Times New Roman" w:hAnsi="Times New Roman" w:cs="Times New Roman"/>
                <w:b/>
                <w:color w:val="auto"/>
                <w:sz w:val="20"/>
                <w:highlight w:val="none"/>
                <w:u w:color="auto"/>
              </w:rPr>
              <w:t xml:space="preserve"> </w:t>
            </w:r>
          </w:p>
        </w:tc>
        <w:tc>
          <w:tcPr>
            <w:tcW w:w="10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bCs/>
                <w:color w:val="auto"/>
                <w:sz w:val="20"/>
                <w:szCs w:val="20"/>
                <w:highlight w:val="none"/>
              </w:rPr>
              <w:t>2</w:t>
            </w:r>
            <w:r>
              <w:rPr>
                <w:rFonts w:hint="eastAsia" w:ascii="Times New Roman" w:hAnsi="Times New Roman" w:cs="Times New Roman"/>
                <w:b/>
                <w:bCs/>
                <w:color w:val="auto"/>
                <w:sz w:val="20"/>
                <w:szCs w:val="20"/>
                <w:highlight w:val="none"/>
                <w:lang w:eastAsia="zh-CN"/>
              </w:rPr>
              <w:t>，</w:t>
            </w:r>
            <w:r>
              <w:rPr>
                <w:rFonts w:hint="default" w:ascii="Times New Roman" w:hAnsi="Times New Roman" w:cs="Times New Roman"/>
                <w:b/>
                <w:bCs/>
                <w:color w:val="auto"/>
                <w:sz w:val="20"/>
                <w:szCs w:val="20"/>
                <w:highlight w:val="none"/>
              </w:rPr>
              <w:t>194.68</w:t>
            </w:r>
            <w:r>
              <w:rPr>
                <w:rFonts w:hint="default" w:ascii="Times New Roman" w:hAnsi="Times New Roman" w:cs="Times New Roman"/>
                <w:b/>
                <w:color w:val="auto"/>
                <w:sz w:val="20"/>
                <w:highlight w:val="none"/>
                <w:u w:color="auto"/>
              </w:rPr>
              <w:t xml:space="preserve"> </w:t>
            </w:r>
          </w:p>
        </w:tc>
        <w:tc>
          <w:tcPr>
            <w:tcW w:w="10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106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11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11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12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12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201</w:t>
            </w:r>
          </w:p>
        </w:tc>
        <w:tc>
          <w:tcPr>
            <w:tcW w:w="27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一般公共服务支出</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587.55</w:t>
            </w:r>
            <w:r>
              <w:rPr>
                <w:rFonts w:hint="default" w:ascii="Times New Roman" w:hAnsi="Times New Roman" w:cs="Times New Roman"/>
                <w:b/>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587.55</w:t>
            </w:r>
            <w:r>
              <w:rPr>
                <w:rFonts w:hint="default" w:ascii="Times New Roman" w:hAnsi="Times New Roman" w:cs="Times New Roman"/>
                <w:b/>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20101</w:t>
            </w:r>
          </w:p>
        </w:tc>
        <w:tc>
          <w:tcPr>
            <w:tcW w:w="27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人大事务</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56.90</w:t>
            </w:r>
            <w:r>
              <w:rPr>
                <w:rFonts w:hint="default" w:ascii="Times New Roman" w:hAnsi="Times New Roman" w:cs="Times New Roman"/>
                <w:b/>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56.90</w:t>
            </w:r>
            <w:r>
              <w:rPr>
                <w:rFonts w:hint="default" w:ascii="Times New Roman" w:hAnsi="Times New Roman" w:cs="Times New Roman"/>
                <w:b/>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2010101</w:t>
            </w:r>
          </w:p>
        </w:tc>
        <w:tc>
          <w:tcPr>
            <w:tcW w:w="27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行政运行</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51</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51</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2010108</w:t>
            </w:r>
          </w:p>
        </w:tc>
        <w:tc>
          <w:tcPr>
            <w:tcW w:w="27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代表工作</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5.90</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5.90</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20103</w:t>
            </w:r>
          </w:p>
        </w:tc>
        <w:tc>
          <w:tcPr>
            <w:tcW w:w="27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政府办公厅（室）及相关机构事务</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484.60</w:t>
            </w:r>
            <w:r>
              <w:rPr>
                <w:rFonts w:hint="default" w:ascii="Times New Roman" w:hAnsi="Times New Roman" w:cs="Times New Roman"/>
                <w:b/>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484.60</w:t>
            </w:r>
            <w:r>
              <w:rPr>
                <w:rFonts w:hint="default" w:ascii="Times New Roman" w:hAnsi="Times New Roman" w:cs="Times New Roman"/>
                <w:b/>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2010301</w:t>
            </w:r>
          </w:p>
        </w:tc>
        <w:tc>
          <w:tcPr>
            <w:tcW w:w="27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行政运行</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465.60</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465.60</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2010302</w:t>
            </w:r>
          </w:p>
        </w:tc>
        <w:tc>
          <w:tcPr>
            <w:tcW w:w="27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一般行政管理事务</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17</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17</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2010308</w:t>
            </w:r>
          </w:p>
        </w:tc>
        <w:tc>
          <w:tcPr>
            <w:tcW w:w="30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信访事务</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20106</w:t>
            </w:r>
          </w:p>
        </w:tc>
        <w:tc>
          <w:tcPr>
            <w:tcW w:w="30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财政事务</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39.69</w:t>
            </w:r>
            <w:r>
              <w:rPr>
                <w:rFonts w:hint="default" w:ascii="Times New Roman" w:hAnsi="Times New Roman" w:cs="Times New Roman"/>
                <w:b/>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39.69</w:t>
            </w:r>
            <w:r>
              <w:rPr>
                <w:rFonts w:hint="default" w:ascii="Times New Roman" w:hAnsi="Times New Roman" w:cs="Times New Roman"/>
                <w:b/>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2010601</w:t>
            </w:r>
          </w:p>
        </w:tc>
        <w:tc>
          <w:tcPr>
            <w:tcW w:w="30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行政运行</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39.69</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39.69</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20132</w:t>
            </w:r>
          </w:p>
        </w:tc>
        <w:tc>
          <w:tcPr>
            <w:tcW w:w="30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组织事务</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6.36</w:t>
            </w:r>
            <w:r>
              <w:rPr>
                <w:rFonts w:hint="default" w:ascii="Times New Roman" w:hAnsi="Times New Roman" w:cs="Times New Roman"/>
                <w:b/>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6.36</w:t>
            </w:r>
            <w:r>
              <w:rPr>
                <w:rFonts w:hint="default" w:ascii="Times New Roman" w:hAnsi="Times New Roman" w:cs="Times New Roman"/>
                <w:b/>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2013202</w:t>
            </w:r>
          </w:p>
        </w:tc>
        <w:tc>
          <w:tcPr>
            <w:tcW w:w="30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一般行政管理事务</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6.36</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6.36</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203</w:t>
            </w:r>
          </w:p>
        </w:tc>
        <w:tc>
          <w:tcPr>
            <w:tcW w:w="30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国防支出</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w:t>
            </w:r>
            <w:r>
              <w:rPr>
                <w:rFonts w:hint="default" w:ascii="Times New Roman" w:hAnsi="Times New Roman" w:cs="Times New Roman"/>
                <w:b/>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w:t>
            </w:r>
            <w:r>
              <w:rPr>
                <w:rFonts w:hint="default" w:ascii="Times New Roman" w:hAnsi="Times New Roman" w:cs="Times New Roman"/>
                <w:b/>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20306</w:t>
            </w:r>
          </w:p>
        </w:tc>
        <w:tc>
          <w:tcPr>
            <w:tcW w:w="30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国防动员</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w:t>
            </w:r>
            <w:r>
              <w:rPr>
                <w:rFonts w:hint="default" w:ascii="Times New Roman" w:hAnsi="Times New Roman" w:cs="Times New Roman"/>
                <w:b/>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w:t>
            </w:r>
            <w:r>
              <w:rPr>
                <w:rFonts w:hint="default" w:ascii="Times New Roman" w:hAnsi="Times New Roman" w:cs="Times New Roman"/>
                <w:b/>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2030607</w:t>
            </w:r>
          </w:p>
        </w:tc>
        <w:tc>
          <w:tcPr>
            <w:tcW w:w="30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民兵</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204</w:t>
            </w:r>
          </w:p>
        </w:tc>
        <w:tc>
          <w:tcPr>
            <w:tcW w:w="30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公共安全支出</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12.96</w:t>
            </w:r>
            <w:r>
              <w:rPr>
                <w:rFonts w:hint="default" w:ascii="Times New Roman" w:hAnsi="Times New Roman" w:cs="Times New Roman"/>
                <w:b/>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12.96</w:t>
            </w:r>
            <w:r>
              <w:rPr>
                <w:rFonts w:hint="default" w:ascii="Times New Roman" w:hAnsi="Times New Roman" w:cs="Times New Roman"/>
                <w:b/>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20402</w:t>
            </w:r>
          </w:p>
        </w:tc>
        <w:tc>
          <w:tcPr>
            <w:tcW w:w="30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公安</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0.96</w:t>
            </w:r>
            <w:r>
              <w:rPr>
                <w:rFonts w:hint="default" w:ascii="Times New Roman" w:hAnsi="Times New Roman" w:cs="Times New Roman"/>
                <w:b/>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0.96</w:t>
            </w:r>
            <w:r>
              <w:rPr>
                <w:rFonts w:hint="default" w:ascii="Times New Roman" w:hAnsi="Times New Roman" w:cs="Times New Roman"/>
                <w:b/>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2040299</w:t>
            </w:r>
          </w:p>
        </w:tc>
        <w:tc>
          <w:tcPr>
            <w:tcW w:w="30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其他公安支出</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0.96</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0.96</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20499</w:t>
            </w:r>
          </w:p>
        </w:tc>
        <w:tc>
          <w:tcPr>
            <w:tcW w:w="30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其他公共安全支出</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12</w:t>
            </w:r>
            <w:r>
              <w:rPr>
                <w:rFonts w:hint="default" w:ascii="Times New Roman" w:hAnsi="Times New Roman" w:cs="Times New Roman"/>
                <w:b/>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12</w:t>
            </w:r>
            <w:r>
              <w:rPr>
                <w:rFonts w:hint="default" w:ascii="Times New Roman" w:hAnsi="Times New Roman" w:cs="Times New Roman"/>
                <w:b/>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2049999</w:t>
            </w:r>
          </w:p>
        </w:tc>
        <w:tc>
          <w:tcPr>
            <w:tcW w:w="30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其他公共安全支出</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12</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12</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205</w:t>
            </w:r>
          </w:p>
        </w:tc>
        <w:tc>
          <w:tcPr>
            <w:tcW w:w="30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教育支出</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9</w:t>
            </w:r>
            <w:r>
              <w:rPr>
                <w:rFonts w:hint="default" w:ascii="Times New Roman" w:hAnsi="Times New Roman" w:cs="Times New Roman"/>
                <w:b/>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9</w:t>
            </w:r>
            <w:r>
              <w:rPr>
                <w:rFonts w:hint="default" w:ascii="Times New Roman" w:hAnsi="Times New Roman" w:cs="Times New Roman"/>
                <w:b/>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20599</w:t>
            </w:r>
          </w:p>
        </w:tc>
        <w:tc>
          <w:tcPr>
            <w:tcW w:w="30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其他教育支出</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9</w:t>
            </w:r>
            <w:r>
              <w:rPr>
                <w:rFonts w:hint="default" w:ascii="Times New Roman" w:hAnsi="Times New Roman" w:cs="Times New Roman"/>
                <w:b/>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9</w:t>
            </w:r>
            <w:r>
              <w:rPr>
                <w:rFonts w:hint="default" w:ascii="Times New Roman" w:hAnsi="Times New Roman" w:cs="Times New Roman"/>
                <w:b/>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2059999</w:t>
            </w:r>
          </w:p>
        </w:tc>
        <w:tc>
          <w:tcPr>
            <w:tcW w:w="30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其他教育支出</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9</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9</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207</w:t>
            </w:r>
          </w:p>
        </w:tc>
        <w:tc>
          <w:tcPr>
            <w:tcW w:w="30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文化旅游体育与传媒支出</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64.67</w:t>
            </w:r>
            <w:r>
              <w:rPr>
                <w:rFonts w:hint="default" w:ascii="Times New Roman" w:hAnsi="Times New Roman" w:cs="Times New Roman"/>
                <w:b/>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64.67</w:t>
            </w:r>
            <w:r>
              <w:rPr>
                <w:rFonts w:hint="default" w:ascii="Times New Roman" w:hAnsi="Times New Roman" w:cs="Times New Roman"/>
                <w:b/>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20701</w:t>
            </w:r>
          </w:p>
        </w:tc>
        <w:tc>
          <w:tcPr>
            <w:tcW w:w="30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文化和旅游</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64.67</w:t>
            </w:r>
            <w:r>
              <w:rPr>
                <w:rFonts w:hint="default" w:ascii="Times New Roman" w:hAnsi="Times New Roman" w:cs="Times New Roman"/>
                <w:b/>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64.67</w:t>
            </w:r>
            <w:r>
              <w:rPr>
                <w:rFonts w:hint="default" w:ascii="Times New Roman" w:hAnsi="Times New Roman" w:cs="Times New Roman"/>
                <w:b/>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2070109</w:t>
            </w:r>
          </w:p>
        </w:tc>
        <w:tc>
          <w:tcPr>
            <w:tcW w:w="30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群众文化</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50.38</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50.38</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2070199</w:t>
            </w:r>
          </w:p>
        </w:tc>
        <w:tc>
          <w:tcPr>
            <w:tcW w:w="30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其他文化和旅游支出</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14.30</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14.30</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w:t>
            </w:r>
          </w:p>
        </w:tc>
        <w:tc>
          <w:tcPr>
            <w:tcW w:w="30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社会保障和就业支出</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324.30</w:t>
            </w:r>
            <w:r>
              <w:rPr>
                <w:rFonts w:hint="default" w:ascii="Times New Roman" w:hAnsi="Times New Roman" w:cs="Times New Roman"/>
                <w:b/>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324.30</w:t>
            </w:r>
            <w:r>
              <w:rPr>
                <w:rFonts w:hint="default" w:ascii="Times New Roman" w:hAnsi="Times New Roman" w:cs="Times New Roman"/>
                <w:b/>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20801</w:t>
            </w:r>
          </w:p>
        </w:tc>
        <w:tc>
          <w:tcPr>
            <w:tcW w:w="30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人力资源和社会保障管理事务</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38.87</w:t>
            </w:r>
            <w:r>
              <w:rPr>
                <w:rFonts w:hint="default" w:ascii="Times New Roman" w:hAnsi="Times New Roman" w:cs="Times New Roman"/>
                <w:b/>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38.87</w:t>
            </w:r>
            <w:r>
              <w:rPr>
                <w:rFonts w:hint="default" w:ascii="Times New Roman" w:hAnsi="Times New Roman" w:cs="Times New Roman"/>
                <w:b/>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2080109</w:t>
            </w:r>
          </w:p>
        </w:tc>
        <w:tc>
          <w:tcPr>
            <w:tcW w:w="30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社会保险经办机构</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38.87</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38.87</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20805</w:t>
            </w:r>
          </w:p>
        </w:tc>
        <w:tc>
          <w:tcPr>
            <w:tcW w:w="30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行政事业单位养老支出</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198.82</w:t>
            </w:r>
            <w:r>
              <w:rPr>
                <w:rFonts w:hint="default" w:ascii="Times New Roman" w:hAnsi="Times New Roman" w:cs="Times New Roman"/>
                <w:b/>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198.82</w:t>
            </w:r>
            <w:r>
              <w:rPr>
                <w:rFonts w:hint="default" w:ascii="Times New Roman" w:hAnsi="Times New Roman" w:cs="Times New Roman"/>
                <w:b/>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2080501</w:t>
            </w:r>
          </w:p>
        </w:tc>
        <w:tc>
          <w:tcPr>
            <w:tcW w:w="30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行政单位离退休</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57.34</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57.34</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2080502</w:t>
            </w:r>
          </w:p>
        </w:tc>
        <w:tc>
          <w:tcPr>
            <w:tcW w:w="30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事业单位离退休</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23.22</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23.22</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2080505</w:t>
            </w:r>
          </w:p>
        </w:tc>
        <w:tc>
          <w:tcPr>
            <w:tcW w:w="30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机关事业单位基本养老保险缴费支出</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80.99</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80.99</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2080506</w:t>
            </w:r>
          </w:p>
        </w:tc>
        <w:tc>
          <w:tcPr>
            <w:tcW w:w="30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机关事业单位职业年金缴费支出</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37.27</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37.27</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20808</w:t>
            </w:r>
          </w:p>
        </w:tc>
        <w:tc>
          <w:tcPr>
            <w:tcW w:w="30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抚恤</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9.46</w:t>
            </w:r>
            <w:r>
              <w:rPr>
                <w:rFonts w:hint="default" w:ascii="Times New Roman" w:hAnsi="Times New Roman" w:cs="Times New Roman"/>
                <w:b/>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9.46</w:t>
            </w:r>
            <w:r>
              <w:rPr>
                <w:rFonts w:hint="default" w:ascii="Times New Roman" w:hAnsi="Times New Roman" w:cs="Times New Roman"/>
                <w:b/>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2080805</w:t>
            </w:r>
          </w:p>
        </w:tc>
        <w:tc>
          <w:tcPr>
            <w:tcW w:w="30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义务兵优待</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9.46</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9.46</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20811</w:t>
            </w:r>
          </w:p>
        </w:tc>
        <w:tc>
          <w:tcPr>
            <w:tcW w:w="30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残疾人事业</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3.97</w:t>
            </w:r>
            <w:r>
              <w:rPr>
                <w:rFonts w:hint="default" w:ascii="Times New Roman" w:hAnsi="Times New Roman" w:cs="Times New Roman"/>
                <w:b/>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3.97</w:t>
            </w:r>
            <w:r>
              <w:rPr>
                <w:rFonts w:hint="default" w:ascii="Times New Roman" w:hAnsi="Times New Roman" w:cs="Times New Roman"/>
                <w:b/>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2081199</w:t>
            </w:r>
          </w:p>
        </w:tc>
        <w:tc>
          <w:tcPr>
            <w:tcW w:w="30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其他残疾人事业支出</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3.97</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3.97</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20821</w:t>
            </w:r>
          </w:p>
        </w:tc>
        <w:tc>
          <w:tcPr>
            <w:tcW w:w="30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特困人员救助供养</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0.50</w:t>
            </w:r>
            <w:r>
              <w:rPr>
                <w:rFonts w:hint="default" w:ascii="Times New Roman" w:hAnsi="Times New Roman" w:cs="Times New Roman"/>
                <w:b/>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0.50</w:t>
            </w:r>
            <w:r>
              <w:rPr>
                <w:rFonts w:hint="default" w:ascii="Times New Roman" w:hAnsi="Times New Roman" w:cs="Times New Roman"/>
                <w:b/>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2082102</w:t>
            </w:r>
          </w:p>
        </w:tc>
        <w:tc>
          <w:tcPr>
            <w:tcW w:w="30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农村特困人员救助供养支出</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0.50</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0.50</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20823</w:t>
            </w:r>
          </w:p>
        </w:tc>
        <w:tc>
          <w:tcPr>
            <w:tcW w:w="30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小型水库移民扶助基金安排的支出</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42</w:t>
            </w:r>
            <w:r>
              <w:rPr>
                <w:rFonts w:hint="default" w:ascii="Times New Roman" w:hAnsi="Times New Roman" w:cs="Times New Roman"/>
                <w:b/>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42</w:t>
            </w:r>
            <w:r>
              <w:rPr>
                <w:rFonts w:hint="default" w:ascii="Times New Roman" w:hAnsi="Times New Roman" w:cs="Times New Roman"/>
                <w:b/>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2082399</w:t>
            </w:r>
          </w:p>
        </w:tc>
        <w:tc>
          <w:tcPr>
            <w:tcW w:w="30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其他小型水库移民扶助基金支出</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42</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42</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20828</w:t>
            </w:r>
          </w:p>
        </w:tc>
        <w:tc>
          <w:tcPr>
            <w:tcW w:w="30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退役军人管理事务</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30.68</w:t>
            </w:r>
            <w:r>
              <w:rPr>
                <w:rFonts w:hint="default" w:ascii="Times New Roman" w:hAnsi="Times New Roman" w:cs="Times New Roman"/>
                <w:b/>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30.68</w:t>
            </w:r>
            <w:r>
              <w:rPr>
                <w:rFonts w:hint="default" w:ascii="Times New Roman" w:hAnsi="Times New Roman" w:cs="Times New Roman"/>
                <w:b/>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2082850</w:t>
            </w:r>
          </w:p>
        </w:tc>
        <w:tc>
          <w:tcPr>
            <w:tcW w:w="30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事业运行</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29.63</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29.63</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2082899</w:t>
            </w:r>
          </w:p>
        </w:tc>
        <w:tc>
          <w:tcPr>
            <w:tcW w:w="30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其他退役军人事务管理支出</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1.05</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1.05</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210</w:t>
            </w:r>
          </w:p>
        </w:tc>
        <w:tc>
          <w:tcPr>
            <w:tcW w:w="30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卫生健康支出</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59.37</w:t>
            </w:r>
            <w:r>
              <w:rPr>
                <w:rFonts w:hint="default" w:ascii="Times New Roman" w:hAnsi="Times New Roman" w:cs="Times New Roman"/>
                <w:b/>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59.37</w:t>
            </w:r>
            <w:r>
              <w:rPr>
                <w:rFonts w:hint="default" w:ascii="Times New Roman" w:hAnsi="Times New Roman" w:cs="Times New Roman"/>
                <w:b/>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21004</w:t>
            </w:r>
          </w:p>
        </w:tc>
        <w:tc>
          <w:tcPr>
            <w:tcW w:w="30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公共卫生</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21.96</w:t>
            </w:r>
            <w:r>
              <w:rPr>
                <w:rFonts w:hint="default" w:ascii="Times New Roman" w:hAnsi="Times New Roman" w:cs="Times New Roman"/>
                <w:b/>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21.96</w:t>
            </w:r>
            <w:r>
              <w:rPr>
                <w:rFonts w:hint="default" w:ascii="Times New Roman" w:hAnsi="Times New Roman" w:cs="Times New Roman"/>
                <w:b/>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2100410</w:t>
            </w:r>
          </w:p>
        </w:tc>
        <w:tc>
          <w:tcPr>
            <w:tcW w:w="30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突发公共卫生事件应急处理</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2100499</w:t>
            </w:r>
          </w:p>
        </w:tc>
        <w:tc>
          <w:tcPr>
            <w:tcW w:w="30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其他公共卫生支出</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0.96</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0.96</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21011</w:t>
            </w:r>
          </w:p>
        </w:tc>
        <w:tc>
          <w:tcPr>
            <w:tcW w:w="30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行政事业单位医疗</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37.41</w:t>
            </w:r>
            <w:r>
              <w:rPr>
                <w:rFonts w:hint="default" w:ascii="Times New Roman" w:hAnsi="Times New Roman" w:cs="Times New Roman"/>
                <w:b/>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37.41</w:t>
            </w:r>
            <w:r>
              <w:rPr>
                <w:rFonts w:hint="default" w:ascii="Times New Roman" w:hAnsi="Times New Roman" w:cs="Times New Roman"/>
                <w:b/>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2101101</w:t>
            </w:r>
          </w:p>
        </w:tc>
        <w:tc>
          <w:tcPr>
            <w:tcW w:w="30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行政单位医疗</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19.80</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19.80</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2101102</w:t>
            </w:r>
          </w:p>
        </w:tc>
        <w:tc>
          <w:tcPr>
            <w:tcW w:w="30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事业单位医疗</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17.61</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17.61</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211</w:t>
            </w:r>
          </w:p>
        </w:tc>
        <w:tc>
          <w:tcPr>
            <w:tcW w:w="30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节能环保支出</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58.54</w:t>
            </w:r>
            <w:r>
              <w:rPr>
                <w:rFonts w:hint="default" w:ascii="Times New Roman" w:hAnsi="Times New Roman" w:cs="Times New Roman"/>
                <w:b/>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58.54</w:t>
            </w:r>
            <w:r>
              <w:rPr>
                <w:rFonts w:hint="default" w:ascii="Times New Roman" w:hAnsi="Times New Roman" w:cs="Times New Roman"/>
                <w:b/>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21105</w:t>
            </w:r>
          </w:p>
        </w:tc>
        <w:tc>
          <w:tcPr>
            <w:tcW w:w="30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天然林保护</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8.54</w:t>
            </w:r>
            <w:r>
              <w:rPr>
                <w:rFonts w:hint="default" w:ascii="Times New Roman" w:hAnsi="Times New Roman" w:cs="Times New Roman"/>
                <w:b/>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8.54</w:t>
            </w:r>
            <w:r>
              <w:rPr>
                <w:rFonts w:hint="default" w:ascii="Times New Roman" w:hAnsi="Times New Roman" w:cs="Times New Roman"/>
                <w:b/>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2110501</w:t>
            </w:r>
          </w:p>
        </w:tc>
        <w:tc>
          <w:tcPr>
            <w:tcW w:w="30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森林管护</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0.84</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0.84</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2110599</w:t>
            </w:r>
          </w:p>
        </w:tc>
        <w:tc>
          <w:tcPr>
            <w:tcW w:w="30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其他天然林保护支出</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7.70</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7.70</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21199</w:t>
            </w:r>
          </w:p>
        </w:tc>
        <w:tc>
          <w:tcPr>
            <w:tcW w:w="30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其他节能环保支出</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50</w:t>
            </w:r>
            <w:r>
              <w:rPr>
                <w:rFonts w:hint="default" w:ascii="Times New Roman" w:hAnsi="Times New Roman" w:cs="Times New Roman"/>
                <w:b/>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50</w:t>
            </w:r>
            <w:r>
              <w:rPr>
                <w:rFonts w:hint="default" w:ascii="Times New Roman" w:hAnsi="Times New Roman" w:cs="Times New Roman"/>
                <w:b/>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2119999</w:t>
            </w:r>
          </w:p>
        </w:tc>
        <w:tc>
          <w:tcPr>
            <w:tcW w:w="30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其他节能环保支出</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50</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50</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212</w:t>
            </w:r>
          </w:p>
        </w:tc>
        <w:tc>
          <w:tcPr>
            <w:tcW w:w="30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城乡社区支出</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120.50</w:t>
            </w:r>
            <w:r>
              <w:rPr>
                <w:rFonts w:hint="default" w:ascii="Times New Roman" w:hAnsi="Times New Roman" w:cs="Times New Roman"/>
                <w:b/>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120.50</w:t>
            </w:r>
            <w:r>
              <w:rPr>
                <w:rFonts w:hint="default" w:ascii="Times New Roman" w:hAnsi="Times New Roman" w:cs="Times New Roman"/>
                <w:b/>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21201</w:t>
            </w:r>
          </w:p>
        </w:tc>
        <w:tc>
          <w:tcPr>
            <w:tcW w:w="30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城乡社区管理事务</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41.04</w:t>
            </w:r>
            <w:r>
              <w:rPr>
                <w:rFonts w:hint="default" w:ascii="Times New Roman" w:hAnsi="Times New Roman" w:cs="Times New Roman"/>
                <w:b/>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41.04</w:t>
            </w:r>
            <w:r>
              <w:rPr>
                <w:rFonts w:hint="default" w:ascii="Times New Roman" w:hAnsi="Times New Roman" w:cs="Times New Roman"/>
                <w:b/>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2120199</w:t>
            </w:r>
          </w:p>
        </w:tc>
        <w:tc>
          <w:tcPr>
            <w:tcW w:w="30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其他城乡社区管理事务支出</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41.04</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41.04</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21203</w:t>
            </w:r>
          </w:p>
        </w:tc>
        <w:tc>
          <w:tcPr>
            <w:tcW w:w="30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城乡社区公共设施</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69.46</w:t>
            </w:r>
            <w:r>
              <w:rPr>
                <w:rFonts w:hint="default" w:ascii="Times New Roman" w:hAnsi="Times New Roman" w:cs="Times New Roman"/>
                <w:b/>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69.46</w:t>
            </w:r>
            <w:r>
              <w:rPr>
                <w:rFonts w:hint="default" w:ascii="Times New Roman" w:hAnsi="Times New Roman" w:cs="Times New Roman"/>
                <w:b/>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2120399</w:t>
            </w:r>
          </w:p>
        </w:tc>
        <w:tc>
          <w:tcPr>
            <w:tcW w:w="30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其他城乡社区公共设施支出</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69.46</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69.46</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21205</w:t>
            </w:r>
          </w:p>
        </w:tc>
        <w:tc>
          <w:tcPr>
            <w:tcW w:w="30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城乡社区环境卫生</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w:t>
            </w:r>
            <w:r>
              <w:rPr>
                <w:rFonts w:hint="default" w:ascii="Times New Roman" w:hAnsi="Times New Roman" w:cs="Times New Roman"/>
                <w:b/>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w:t>
            </w:r>
            <w:r>
              <w:rPr>
                <w:rFonts w:hint="default" w:ascii="Times New Roman" w:hAnsi="Times New Roman" w:cs="Times New Roman"/>
                <w:b/>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2120501</w:t>
            </w:r>
          </w:p>
        </w:tc>
        <w:tc>
          <w:tcPr>
            <w:tcW w:w="30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城乡社区环境卫生</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550"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21208</w:t>
            </w:r>
          </w:p>
        </w:tc>
        <w:tc>
          <w:tcPr>
            <w:tcW w:w="30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国有土地使用权出让收入安排的支出</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w:t>
            </w:r>
            <w:r>
              <w:rPr>
                <w:rFonts w:hint="default" w:ascii="Times New Roman" w:hAnsi="Times New Roman" w:cs="Times New Roman"/>
                <w:b/>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w:t>
            </w:r>
            <w:r>
              <w:rPr>
                <w:rFonts w:hint="default" w:ascii="Times New Roman" w:hAnsi="Times New Roman" w:cs="Times New Roman"/>
                <w:b/>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2120899</w:t>
            </w:r>
          </w:p>
        </w:tc>
        <w:tc>
          <w:tcPr>
            <w:tcW w:w="30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其他国有土地使用权出让收入安排的支出</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213</w:t>
            </w:r>
          </w:p>
        </w:tc>
        <w:tc>
          <w:tcPr>
            <w:tcW w:w="30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农林水支出</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747.99</w:t>
            </w:r>
            <w:r>
              <w:rPr>
                <w:rFonts w:hint="default" w:ascii="Times New Roman" w:hAnsi="Times New Roman" w:cs="Times New Roman"/>
                <w:b/>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747.99</w:t>
            </w:r>
            <w:r>
              <w:rPr>
                <w:rFonts w:hint="default" w:ascii="Times New Roman" w:hAnsi="Times New Roman" w:cs="Times New Roman"/>
                <w:b/>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21301</w:t>
            </w:r>
          </w:p>
        </w:tc>
        <w:tc>
          <w:tcPr>
            <w:tcW w:w="30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农业农村</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292.87</w:t>
            </w:r>
            <w:r>
              <w:rPr>
                <w:rFonts w:hint="default" w:ascii="Times New Roman" w:hAnsi="Times New Roman" w:cs="Times New Roman"/>
                <w:b/>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292.87</w:t>
            </w:r>
            <w:r>
              <w:rPr>
                <w:rFonts w:hint="default" w:ascii="Times New Roman" w:hAnsi="Times New Roman" w:cs="Times New Roman"/>
                <w:b/>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2130104</w:t>
            </w:r>
          </w:p>
        </w:tc>
        <w:tc>
          <w:tcPr>
            <w:tcW w:w="30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事业运行</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198.85</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198.85</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2130108</w:t>
            </w:r>
          </w:p>
        </w:tc>
        <w:tc>
          <w:tcPr>
            <w:tcW w:w="30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病虫害控制</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0.84</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0.84</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2130122</w:t>
            </w:r>
          </w:p>
        </w:tc>
        <w:tc>
          <w:tcPr>
            <w:tcW w:w="30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农业生产发展</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55.34</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55.34</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2130124</w:t>
            </w:r>
          </w:p>
        </w:tc>
        <w:tc>
          <w:tcPr>
            <w:tcW w:w="30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农村合作经济</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6</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6</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2130135</w:t>
            </w:r>
          </w:p>
        </w:tc>
        <w:tc>
          <w:tcPr>
            <w:tcW w:w="30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农业资源保护修复与利用</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27.84</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27.84</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2130199</w:t>
            </w:r>
          </w:p>
        </w:tc>
        <w:tc>
          <w:tcPr>
            <w:tcW w:w="30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其他农业农村支出</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21302</w:t>
            </w:r>
          </w:p>
        </w:tc>
        <w:tc>
          <w:tcPr>
            <w:tcW w:w="30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林业和草原</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36.82</w:t>
            </w:r>
            <w:r>
              <w:rPr>
                <w:rFonts w:hint="default" w:ascii="Times New Roman" w:hAnsi="Times New Roman" w:cs="Times New Roman"/>
                <w:b/>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36.82</w:t>
            </w:r>
            <w:r>
              <w:rPr>
                <w:rFonts w:hint="default" w:ascii="Times New Roman" w:hAnsi="Times New Roman" w:cs="Times New Roman"/>
                <w:b/>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2130205</w:t>
            </w:r>
          </w:p>
        </w:tc>
        <w:tc>
          <w:tcPr>
            <w:tcW w:w="30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森林资源培育</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11</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11</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2130234</w:t>
            </w:r>
          </w:p>
        </w:tc>
        <w:tc>
          <w:tcPr>
            <w:tcW w:w="30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林业草原防灾减灾</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4.82</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4.82</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2130299</w:t>
            </w:r>
          </w:p>
        </w:tc>
        <w:tc>
          <w:tcPr>
            <w:tcW w:w="30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其他林业和草原支出</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21303</w:t>
            </w:r>
          </w:p>
        </w:tc>
        <w:tc>
          <w:tcPr>
            <w:tcW w:w="30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水利</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27.85</w:t>
            </w:r>
            <w:r>
              <w:rPr>
                <w:rFonts w:hint="default" w:ascii="Times New Roman" w:hAnsi="Times New Roman" w:cs="Times New Roman"/>
                <w:b/>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27.85</w:t>
            </w:r>
            <w:r>
              <w:rPr>
                <w:rFonts w:hint="default" w:ascii="Times New Roman" w:hAnsi="Times New Roman" w:cs="Times New Roman"/>
                <w:b/>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2130314</w:t>
            </w:r>
          </w:p>
        </w:tc>
        <w:tc>
          <w:tcPr>
            <w:tcW w:w="30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防汛</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26.46</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26.46</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2130315</w:t>
            </w:r>
          </w:p>
        </w:tc>
        <w:tc>
          <w:tcPr>
            <w:tcW w:w="30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抗旱</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1.39</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1.39</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21305</w:t>
            </w:r>
          </w:p>
        </w:tc>
        <w:tc>
          <w:tcPr>
            <w:tcW w:w="30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巩固脱贫攻坚成果衔接乡村振兴</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198.25</w:t>
            </w:r>
            <w:r>
              <w:rPr>
                <w:rFonts w:hint="default" w:ascii="Times New Roman" w:hAnsi="Times New Roman" w:cs="Times New Roman"/>
                <w:b/>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198.25</w:t>
            </w:r>
            <w:r>
              <w:rPr>
                <w:rFonts w:hint="default" w:ascii="Times New Roman" w:hAnsi="Times New Roman" w:cs="Times New Roman"/>
                <w:b/>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2130504</w:t>
            </w:r>
          </w:p>
        </w:tc>
        <w:tc>
          <w:tcPr>
            <w:tcW w:w="30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农村基础设施建设</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30.77</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30.77</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2130505</w:t>
            </w:r>
          </w:p>
        </w:tc>
        <w:tc>
          <w:tcPr>
            <w:tcW w:w="30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生产发展</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46.86</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46.86</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2130599</w:t>
            </w:r>
          </w:p>
        </w:tc>
        <w:tc>
          <w:tcPr>
            <w:tcW w:w="30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其他巩固脱贫攻坚成果衔接乡村振兴支出</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120.63</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120.63</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21307</w:t>
            </w:r>
          </w:p>
        </w:tc>
        <w:tc>
          <w:tcPr>
            <w:tcW w:w="30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农村综合改革</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171.73</w:t>
            </w:r>
            <w:r>
              <w:rPr>
                <w:rFonts w:hint="default" w:ascii="Times New Roman" w:hAnsi="Times New Roman" w:cs="Times New Roman"/>
                <w:b/>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171.73</w:t>
            </w:r>
            <w:r>
              <w:rPr>
                <w:rFonts w:hint="default" w:ascii="Times New Roman" w:hAnsi="Times New Roman" w:cs="Times New Roman"/>
                <w:b/>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2130701</w:t>
            </w:r>
          </w:p>
        </w:tc>
        <w:tc>
          <w:tcPr>
            <w:tcW w:w="30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对村级公益事业建设的补助</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10</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10</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2130705</w:t>
            </w:r>
          </w:p>
        </w:tc>
        <w:tc>
          <w:tcPr>
            <w:tcW w:w="30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对村民委员会和村党支部的补助</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161.73</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161.73</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21366</w:t>
            </w:r>
          </w:p>
        </w:tc>
        <w:tc>
          <w:tcPr>
            <w:tcW w:w="30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大中型水库库区基金安排的支出</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20.47</w:t>
            </w:r>
            <w:r>
              <w:rPr>
                <w:rFonts w:hint="default" w:ascii="Times New Roman" w:hAnsi="Times New Roman" w:cs="Times New Roman"/>
                <w:b/>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20.47</w:t>
            </w:r>
            <w:r>
              <w:rPr>
                <w:rFonts w:hint="default" w:ascii="Times New Roman" w:hAnsi="Times New Roman" w:cs="Times New Roman"/>
                <w:b/>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2136601</w:t>
            </w:r>
          </w:p>
        </w:tc>
        <w:tc>
          <w:tcPr>
            <w:tcW w:w="30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基础设施建设和经济发展</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20.47</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20.47</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214</w:t>
            </w:r>
          </w:p>
        </w:tc>
        <w:tc>
          <w:tcPr>
            <w:tcW w:w="30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交通运输支出</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11.67</w:t>
            </w:r>
            <w:r>
              <w:rPr>
                <w:rFonts w:hint="default" w:ascii="Times New Roman" w:hAnsi="Times New Roman" w:cs="Times New Roman"/>
                <w:b/>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11.67</w:t>
            </w:r>
            <w:r>
              <w:rPr>
                <w:rFonts w:hint="default" w:ascii="Times New Roman" w:hAnsi="Times New Roman" w:cs="Times New Roman"/>
                <w:b/>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21401</w:t>
            </w:r>
          </w:p>
        </w:tc>
        <w:tc>
          <w:tcPr>
            <w:tcW w:w="30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公路水路运输</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11.67</w:t>
            </w:r>
            <w:r>
              <w:rPr>
                <w:rFonts w:hint="default" w:ascii="Times New Roman" w:hAnsi="Times New Roman" w:cs="Times New Roman"/>
                <w:b/>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11.67</w:t>
            </w:r>
            <w:r>
              <w:rPr>
                <w:rFonts w:hint="default" w:ascii="Times New Roman" w:hAnsi="Times New Roman" w:cs="Times New Roman"/>
                <w:b/>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2140104</w:t>
            </w:r>
          </w:p>
        </w:tc>
        <w:tc>
          <w:tcPr>
            <w:tcW w:w="30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公路建设</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11.67</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11.67</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220</w:t>
            </w:r>
          </w:p>
        </w:tc>
        <w:tc>
          <w:tcPr>
            <w:tcW w:w="30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自然资源海洋气象等支出</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89.97</w:t>
            </w:r>
            <w:r>
              <w:rPr>
                <w:rFonts w:hint="default" w:ascii="Times New Roman" w:hAnsi="Times New Roman" w:cs="Times New Roman"/>
                <w:b/>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89.97</w:t>
            </w:r>
            <w:r>
              <w:rPr>
                <w:rFonts w:hint="default" w:ascii="Times New Roman" w:hAnsi="Times New Roman" w:cs="Times New Roman"/>
                <w:b/>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22001</w:t>
            </w:r>
          </w:p>
        </w:tc>
        <w:tc>
          <w:tcPr>
            <w:tcW w:w="30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自然资源事务</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89.97</w:t>
            </w:r>
            <w:r>
              <w:rPr>
                <w:rFonts w:hint="default" w:ascii="Times New Roman" w:hAnsi="Times New Roman" w:cs="Times New Roman"/>
                <w:b/>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89.97</w:t>
            </w:r>
            <w:r>
              <w:rPr>
                <w:rFonts w:hint="default" w:ascii="Times New Roman" w:hAnsi="Times New Roman" w:cs="Times New Roman"/>
                <w:b/>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2200106</w:t>
            </w:r>
          </w:p>
        </w:tc>
        <w:tc>
          <w:tcPr>
            <w:tcW w:w="30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自然资源利用与保护</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89.97</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89.97</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221</w:t>
            </w:r>
          </w:p>
        </w:tc>
        <w:tc>
          <w:tcPr>
            <w:tcW w:w="30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住房保障支出</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70.40</w:t>
            </w:r>
            <w:r>
              <w:rPr>
                <w:rFonts w:hint="default" w:ascii="Times New Roman" w:hAnsi="Times New Roman" w:cs="Times New Roman"/>
                <w:b/>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70.40</w:t>
            </w:r>
            <w:r>
              <w:rPr>
                <w:rFonts w:hint="default" w:ascii="Times New Roman" w:hAnsi="Times New Roman" w:cs="Times New Roman"/>
                <w:b/>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22101</w:t>
            </w:r>
          </w:p>
        </w:tc>
        <w:tc>
          <w:tcPr>
            <w:tcW w:w="30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保障性安居工程支出</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2.61</w:t>
            </w:r>
            <w:r>
              <w:rPr>
                <w:rFonts w:hint="default" w:ascii="Times New Roman" w:hAnsi="Times New Roman" w:cs="Times New Roman"/>
                <w:b/>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2.61</w:t>
            </w:r>
            <w:r>
              <w:rPr>
                <w:rFonts w:hint="default" w:ascii="Times New Roman" w:hAnsi="Times New Roman" w:cs="Times New Roman"/>
                <w:b/>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2210105</w:t>
            </w:r>
          </w:p>
        </w:tc>
        <w:tc>
          <w:tcPr>
            <w:tcW w:w="30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农村危房改造</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2.61</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2.61</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22102</w:t>
            </w:r>
          </w:p>
        </w:tc>
        <w:tc>
          <w:tcPr>
            <w:tcW w:w="30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住房改革支出</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67.79</w:t>
            </w:r>
            <w:r>
              <w:rPr>
                <w:rFonts w:hint="default" w:ascii="Times New Roman" w:hAnsi="Times New Roman" w:cs="Times New Roman"/>
                <w:b/>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67.79</w:t>
            </w:r>
            <w:r>
              <w:rPr>
                <w:rFonts w:hint="default" w:ascii="Times New Roman" w:hAnsi="Times New Roman" w:cs="Times New Roman"/>
                <w:b/>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2210201</w:t>
            </w:r>
          </w:p>
        </w:tc>
        <w:tc>
          <w:tcPr>
            <w:tcW w:w="30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住房公积金</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67.79</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67.79</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224</w:t>
            </w:r>
          </w:p>
        </w:tc>
        <w:tc>
          <w:tcPr>
            <w:tcW w:w="30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灾害防治及应急管理支出</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34.76</w:t>
            </w:r>
            <w:r>
              <w:rPr>
                <w:rFonts w:hint="default" w:ascii="Times New Roman" w:hAnsi="Times New Roman" w:cs="Times New Roman"/>
                <w:b/>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34.76</w:t>
            </w:r>
            <w:r>
              <w:rPr>
                <w:rFonts w:hint="default" w:ascii="Times New Roman" w:hAnsi="Times New Roman" w:cs="Times New Roman"/>
                <w:b/>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22401</w:t>
            </w:r>
          </w:p>
        </w:tc>
        <w:tc>
          <w:tcPr>
            <w:tcW w:w="30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应急管理事务</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12.76</w:t>
            </w:r>
            <w:r>
              <w:rPr>
                <w:rFonts w:hint="default" w:ascii="Times New Roman" w:hAnsi="Times New Roman" w:cs="Times New Roman"/>
                <w:b/>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12.76</w:t>
            </w:r>
            <w:r>
              <w:rPr>
                <w:rFonts w:hint="default" w:ascii="Times New Roman" w:hAnsi="Times New Roman" w:cs="Times New Roman"/>
                <w:b/>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2240108</w:t>
            </w:r>
          </w:p>
        </w:tc>
        <w:tc>
          <w:tcPr>
            <w:tcW w:w="30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应急救援</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12.76</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12.76</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22402</w:t>
            </w:r>
          </w:p>
        </w:tc>
        <w:tc>
          <w:tcPr>
            <w:tcW w:w="30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消防救援事务</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w:t>
            </w:r>
            <w:r>
              <w:rPr>
                <w:rFonts w:hint="default" w:ascii="Times New Roman" w:hAnsi="Times New Roman" w:cs="Times New Roman"/>
                <w:b/>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w:t>
            </w:r>
            <w:r>
              <w:rPr>
                <w:rFonts w:hint="default" w:ascii="Times New Roman" w:hAnsi="Times New Roman" w:cs="Times New Roman"/>
                <w:b/>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2240204</w:t>
            </w:r>
          </w:p>
        </w:tc>
        <w:tc>
          <w:tcPr>
            <w:tcW w:w="30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消防应急救援</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22</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22</w:t>
            </w:r>
            <w:r>
              <w:rPr>
                <w:rFonts w:hint="default" w:ascii="Times New Roman" w:hAnsi="Times New Roman" w:cs="Times New Roman"/>
                <w:color w:val="auto"/>
                <w:sz w:val="20"/>
                <w:highlight w:val="none"/>
                <w:u w:color="auto"/>
              </w:rPr>
              <w:t xml:space="preserve"> </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bl>
    <w:p>
      <w:pPr>
        <w:keepNext w:val="0"/>
        <w:keepLines w:val="0"/>
        <w:pageBreakBefore w:val="0"/>
        <w:widowControl/>
        <w:kinsoku/>
        <w:overflowPunct/>
        <w:topLinePunct w:val="0"/>
        <w:autoSpaceDE/>
        <w:autoSpaceDN/>
        <w:bidi w:val="0"/>
        <w:adjustRightInd/>
        <w:snapToGrid/>
        <w:spacing w:beforeAutospacing="0" w:afterAutospacing="0" w:line="200" w:lineRule="atLeast"/>
        <w:ind w:left="600" w:right="0" w:rightChars="0" w:firstLine="0" w:firstLineChars="0"/>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备注：1.本表反映部门本年度取得的各项收入情况。</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t>2.本套报表金额单位转换时可能存在尾数误差。</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br w:type="page"/>
      </w:r>
    </w:p>
    <w:tbl>
      <w:tblPr>
        <w:tblStyle w:val="12"/>
        <w:tblW w:w="13213" w:type="dxa"/>
        <w:tblInd w:w="0" w:type="dxa"/>
        <w:tblLayout w:type="fixed"/>
        <w:tblCellMar>
          <w:top w:w="0" w:type="dxa"/>
          <w:left w:w="0" w:type="dxa"/>
          <w:bottom w:w="0" w:type="dxa"/>
          <w:right w:w="0" w:type="dxa"/>
        </w:tblCellMar>
      </w:tblPr>
      <w:tblGrid>
        <w:gridCol w:w="1548"/>
        <w:gridCol w:w="2883"/>
        <w:gridCol w:w="1461"/>
        <w:gridCol w:w="1462"/>
        <w:gridCol w:w="1462"/>
        <w:gridCol w:w="1448"/>
        <w:gridCol w:w="1448"/>
        <w:gridCol w:w="1501"/>
      </w:tblGrid>
      <w:tr>
        <w:tblPrEx>
          <w:tblLayout w:type="fixed"/>
          <w:tblCellMar>
            <w:top w:w="0" w:type="dxa"/>
            <w:left w:w="0" w:type="dxa"/>
            <w:bottom w:w="0" w:type="dxa"/>
            <w:right w:w="0" w:type="dxa"/>
          </w:tblCellMar>
        </w:tblPrEx>
        <w:trPr>
          <w:trHeight w:val="654" w:hRule="atLeast"/>
        </w:trPr>
        <w:tc>
          <w:tcPr>
            <w:tcW w:w="13213" w:type="dxa"/>
            <w:gridSpan w:val="8"/>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bottom"/>
              <w:outlineLvl w:val="9"/>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支出决算表</w:t>
            </w:r>
          </w:p>
        </w:tc>
      </w:tr>
      <w:tr>
        <w:tblPrEx>
          <w:tblLayout w:type="fixed"/>
          <w:tblCellMar>
            <w:top w:w="0" w:type="dxa"/>
            <w:left w:w="0" w:type="dxa"/>
            <w:bottom w:w="0" w:type="dxa"/>
            <w:right w:w="0" w:type="dxa"/>
          </w:tblCellMar>
        </w:tblPrEx>
        <w:trPr>
          <w:trHeight w:val="342" w:hRule="atLeast"/>
        </w:trPr>
        <w:tc>
          <w:tcPr>
            <w:tcW w:w="4431"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公开部门： </w:t>
            </w:r>
            <w:r>
              <w:rPr>
                <w:rFonts w:hint="default" w:ascii="Times New Roman" w:hAnsi="Times New Roman" w:cs="Times New Roman"/>
                <w:color w:val="auto"/>
                <w:sz w:val="20"/>
                <w:highlight w:val="none"/>
                <w:u w:color="auto"/>
              </w:rPr>
              <w:t xml:space="preserve">重庆市秀山土家族苗族自治县石耶镇人民政府 </w:t>
            </w:r>
          </w:p>
        </w:tc>
        <w:tc>
          <w:tcPr>
            <w:tcW w:w="146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20"/>
                <w:szCs w:val="20"/>
                <w:highlight w:val="none"/>
              </w:rPr>
            </w:pPr>
          </w:p>
        </w:tc>
        <w:tc>
          <w:tcPr>
            <w:tcW w:w="146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20"/>
                <w:szCs w:val="20"/>
                <w:highlight w:val="none"/>
              </w:rPr>
            </w:pPr>
          </w:p>
        </w:tc>
        <w:tc>
          <w:tcPr>
            <w:tcW w:w="146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20"/>
                <w:szCs w:val="20"/>
                <w:highlight w:val="none"/>
              </w:rPr>
            </w:pPr>
          </w:p>
        </w:tc>
        <w:tc>
          <w:tcPr>
            <w:tcW w:w="144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20"/>
                <w:szCs w:val="20"/>
                <w:highlight w:val="none"/>
              </w:rPr>
            </w:pPr>
          </w:p>
        </w:tc>
        <w:tc>
          <w:tcPr>
            <w:tcW w:w="144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20"/>
                <w:szCs w:val="20"/>
                <w:highlight w:val="none"/>
              </w:rPr>
            </w:pPr>
          </w:p>
        </w:tc>
        <w:tc>
          <w:tcPr>
            <w:tcW w:w="15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公开03表</w:t>
            </w:r>
          </w:p>
        </w:tc>
      </w:tr>
      <w:tr>
        <w:tblPrEx>
          <w:tblLayout w:type="fixed"/>
          <w:tblCellMar>
            <w:top w:w="0" w:type="dxa"/>
            <w:left w:w="0" w:type="dxa"/>
            <w:bottom w:w="0" w:type="dxa"/>
            <w:right w:w="0" w:type="dxa"/>
          </w:tblCellMar>
        </w:tblPrEx>
        <w:trPr>
          <w:trHeight w:val="342" w:hRule="atLeast"/>
        </w:trPr>
        <w:tc>
          <w:tcPr>
            <w:tcW w:w="4431"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20"/>
                <w:szCs w:val="20"/>
                <w:highlight w:val="none"/>
              </w:rPr>
            </w:pPr>
          </w:p>
        </w:tc>
        <w:tc>
          <w:tcPr>
            <w:tcW w:w="146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20"/>
                <w:szCs w:val="20"/>
                <w:highlight w:val="none"/>
              </w:rPr>
            </w:pPr>
          </w:p>
        </w:tc>
        <w:tc>
          <w:tcPr>
            <w:tcW w:w="146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20"/>
                <w:szCs w:val="20"/>
                <w:highlight w:val="none"/>
              </w:rPr>
            </w:pPr>
          </w:p>
        </w:tc>
        <w:tc>
          <w:tcPr>
            <w:tcW w:w="146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20"/>
                <w:szCs w:val="20"/>
                <w:highlight w:val="none"/>
              </w:rPr>
            </w:pPr>
          </w:p>
        </w:tc>
        <w:tc>
          <w:tcPr>
            <w:tcW w:w="144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20"/>
                <w:szCs w:val="20"/>
                <w:highlight w:val="none"/>
              </w:rPr>
            </w:pPr>
          </w:p>
        </w:tc>
        <w:tc>
          <w:tcPr>
            <w:tcW w:w="144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20"/>
                <w:szCs w:val="20"/>
                <w:highlight w:val="none"/>
              </w:rPr>
            </w:pPr>
          </w:p>
        </w:tc>
        <w:tc>
          <w:tcPr>
            <w:tcW w:w="15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tblPrEx>
          <w:tblLayout w:type="fixed"/>
          <w:tblCellMar>
            <w:top w:w="0" w:type="dxa"/>
            <w:left w:w="0" w:type="dxa"/>
            <w:bottom w:w="0" w:type="dxa"/>
            <w:right w:w="0" w:type="dxa"/>
          </w:tblCellMar>
        </w:tblPrEx>
        <w:trPr>
          <w:trHeight w:val="362" w:hRule="atLeast"/>
        </w:trPr>
        <w:tc>
          <w:tcPr>
            <w:tcW w:w="4431"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bottom"/>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本年支出合计</w:t>
            </w:r>
          </w:p>
        </w:tc>
        <w:tc>
          <w:tcPr>
            <w:tcW w:w="146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基本支出</w:t>
            </w:r>
          </w:p>
        </w:tc>
        <w:tc>
          <w:tcPr>
            <w:tcW w:w="146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项目支出</w:t>
            </w:r>
          </w:p>
        </w:tc>
        <w:tc>
          <w:tcPr>
            <w:tcW w:w="144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上缴上级支出</w:t>
            </w:r>
          </w:p>
        </w:tc>
        <w:tc>
          <w:tcPr>
            <w:tcW w:w="144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经营支出</w:t>
            </w:r>
          </w:p>
        </w:tc>
        <w:tc>
          <w:tcPr>
            <w:tcW w:w="15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对附属单位补助支出</w:t>
            </w:r>
          </w:p>
        </w:tc>
      </w:tr>
      <w:tr>
        <w:tblPrEx>
          <w:tblLayout w:type="fixed"/>
          <w:tblCellMar>
            <w:top w:w="0" w:type="dxa"/>
            <w:left w:w="0" w:type="dxa"/>
            <w:bottom w:w="0" w:type="dxa"/>
            <w:right w:w="0" w:type="dxa"/>
          </w:tblCellMar>
        </w:tblPrEx>
        <w:trPr>
          <w:trHeight w:val="338" w:hRule="atLeast"/>
        </w:trPr>
        <w:tc>
          <w:tcPr>
            <w:tcW w:w="154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功能分类科目编码</w:t>
            </w:r>
          </w:p>
        </w:tc>
        <w:tc>
          <w:tcPr>
            <w:tcW w:w="2883"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项目（按</w:t>
            </w:r>
            <w:r>
              <w:rPr>
                <w:rFonts w:hint="eastAsia" w:ascii="Times New Roman" w:hAnsi="Times New Roman" w:cs="Times New Roman"/>
                <w:b/>
                <w:color w:val="auto"/>
                <w:sz w:val="20"/>
                <w:szCs w:val="20"/>
                <w:highlight w:val="none"/>
                <w:lang w:eastAsia="zh-CN"/>
              </w:rPr>
              <w:t>“</w:t>
            </w:r>
            <w:r>
              <w:rPr>
                <w:rFonts w:hint="default" w:ascii="Times New Roman" w:hAnsi="Times New Roman" w:cs="Times New Roman"/>
                <w:b/>
                <w:color w:val="auto"/>
                <w:sz w:val="20"/>
                <w:szCs w:val="20"/>
                <w:highlight w:val="none"/>
              </w:rPr>
              <w:t>项</w:t>
            </w:r>
            <w:r>
              <w:rPr>
                <w:rFonts w:hint="eastAsia" w:ascii="Times New Roman" w:hAnsi="Times New Roman" w:cs="Times New Roman"/>
                <w:b/>
                <w:color w:val="auto"/>
                <w:sz w:val="20"/>
                <w:szCs w:val="20"/>
                <w:highlight w:val="none"/>
                <w:lang w:eastAsia="zh-CN"/>
              </w:rPr>
              <w:t>”</w:t>
            </w:r>
            <w:r>
              <w:rPr>
                <w:rFonts w:hint="default" w:ascii="Times New Roman" w:hAnsi="Times New Roman" w:cs="Times New Roman"/>
                <w:b/>
                <w:color w:val="auto"/>
                <w:sz w:val="20"/>
                <w:szCs w:val="20"/>
                <w:highlight w:val="none"/>
              </w:rPr>
              <w:t>级功能分类科目）</w:t>
            </w: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c>
          <w:tcPr>
            <w:tcW w:w="14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c>
          <w:tcPr>
            <w:tcW w:w="14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38" w:hRule="atLeast"/>
        </w:trPr>
        <w:tc>
          <w:tcPr>
            <w:tcW w:w="154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c>
          <w:tcPr>
            <w:tcW w:w="288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c>
          <w:tcPr>
            <w:tcW w:w="14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c>
          <w:tcPr>
            <w:tcW w:w="14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38" w:hRule="atLeast"/>
        </w:trPr>
        <w:tc>
          <w:tcPr>
            <w:tcW w:w="154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c>
          <w:tcPr>
            <w:tcW w:w="288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c>
          <w:tcPr>
            <w:tcW w:w="14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c>
          <w:tcPr>
            <w:tcW w:w="14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38" w:hRule="atLeast"/>
        </w:trPr>
        <w:tc>
          <w:tcPr>
            <w:tcW w:w="154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c>
          <w:tcPr>
            <w:tcW w:w="288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c>
          <w:tcPr>
            <w:tcW w:w="14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c>
          <w:tcPr>
            <w:tcW w:w="14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62" w:hRule="atLeast"/>
        </w:trPr>
        <w:tc>
          <w:tcPr>
            <w:tcW w:w="44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合计</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bCs/>
                <w:color w:val="auto"/>
                <w:sz w:val="20"/>
                <w:szCs w:val="20"/>
                <w:highlight w:val="none"/>
              </w:rPr>
              <w:t>2</w:t>
            </w:r>
            <w:r>
              <w:rPr>
                <w:rFonts w:hint="eastAsia" w:ascii="Times New Roman" w:hAnsi="Times New Roman" w:cs="Times New Roman"/>
                <w:b/>
                <w:bCs/>
                <w:color w:val="auto"/>
                <w:sz w:val="20"/>
                <w:szCs w:val="20"/>
                <w:highlight w:val="none"/>
                <w:lang w:eastAsia="zh-CN"/>
              </w:rPr>
              <w:t>，</w:t>
            </w:r>
            <w:r>
              <w:rPr>
                <w:rFonts w:hint="default" w:ascii="Times New Roman" w:hAnsi="Times New Roman" w:cs="Times New Roman"/>
                <w:b/>
                <w:bCs/>
                <w:color w:val="auto"/>
                <w:sz w:val="20"/>
                <w:szCs w:val="20"/>
                <w:highlight w:val="none"/>
              </w:rPr>
              <w:t>152.02</w:t>
            </w:r>
            <w:r>
              <w:rPr>
                <w:rFonts w:hint="default" w:ascii="Times New Roman" w:hAnsi="Times New Roman" w:cs="Times New Roman"/>
                <w:b/>
                <w:color w:val="auto"/>
                <w:sz w:val="20"/>
                <w:highlight w:val="none"/>
                <w:u w:color="auto"/>
              </w:rPr>
              <w:t xml:space="preserve"> </w:t>
            </w:r>
          </w:p>
        </w:tc>
        <w:tc>
          <w:tcPr>
            <w:tcW w:w="14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bCs/>
                <w:color w:val="auto"/>
                <w:sz w:val="20"/>
                <w:szCs w:val="20"/>
                <w:highlight w:val="none"/>
              </w:rPr>
              <w:t>1</w:t>
            </w:r>
            <w:r>
              <w:rPr>
                <w:rFonts w:hint="eastAsia" w:ascii="Times New Roman" w:hAnsi="Times New Roman" w:cs="Times New Roman"/>
                <w:b/>
                <w:bCs/>
                <w:color w:val="auto"/>
                <w:sz w:val="20"/>
                <w:szCs w:val="20"/>
                <w:highlight w:val="none"/>
                <w:lang w:eastAsia="zh-CN"/>
              </w:rPr>
              <w:t>，</w:t>
            </w:r>
            <w:r>
              <w:rPr>
                <w:rFonts w:hint="default" w:ascii="Times New Roman" w:hAnsi="Times New Roman" w:cs="Times New Roman"/>
                <w:b/>
                <w:bCs/>
                <w:color w:val="auto"/>
                <w:sz w:val="20"/>
                <w:szCs w:val="20"/>
                <w:highlight w:val="none"/>
              </w:rPr>
              <w:t>320.07</w:t>
            </w:r>
            <w:r>
              <w:rPr>
                <w:rFonts w:hint="default" w:ascii="Times New Roman" w:hAnsi="Times New Roman" w:cs="Times New Roman"/>
                <w:b/>
                <w:color w:val="auto"/>
                <w:sz w:val="20"/>
                <w:highlight w:val="none"/>
                <w:u w:color="auto"/>
              </w:rPr>
              <w:t xml:space="preserve"> </w:t>
            </w:r>
          </w:p>
        </w:tc>
        <w:tc>
          <w:tcPr>
            <w:tcW w:w="14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bCs/>
                <w:color w:val="auto"/>
                <w:sz w:val="20"/>
                <w:szCs w:val="20"/>
                <w:highlight w:val="none"/>
              </w:rPr>
              <w:t>831.94</w:t>
            </w:r>
            <w:r>
              <w:rPr>
                <w:rFonts w:hint="default" w:ascii="Times New Roman" w:hAnsi="Times New Roman" w:cs="Times New Roman"/>
                <w:b/>
                <w:color w:val="auto"/>
                <w:sz w:val="20"/>
                <w:highlight w:val="none"/>
                <w:u w:color="auto"/>
              </w:rPr>
              <w:t xml:space="preserve"> </w:t>
            </w:r>
          </w:p>
        </w:tc>
        <w:tc>
          <w:tcPr>
            <w:tcW w:w="14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14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15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201</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一般公共服务支出</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587.55</w:t>
            </w:r>
            <w:r>
              <w:rPr>
                <w:rFonts w:hint="default" w:ascii="Times New Roman" w:hAnsi="Times New Roman" w:cs="Times New Roman"/>
                <w:b/>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556.29</w:t>
            </w:r>
            <w:r>
              <w:rPr>
                <w:rFonts w:hint="default" w:ascii="Times New Roman" w:hAnsi="Times New Roman" w:cs="Times New Roman"/>
                <w:b/>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31.26</w:t>
            </w:r>
            <w:r>
              <w:rPr>
                <w:rFonts w:hint="default" w:ascii="Times New Roman" w:hAnsi="Times New Roman" w:cs="Times New Roman"/>
                <w:b/>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20101</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人大事务</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56.90</w:t>
            </w:r>
            <w:r>
              <w:rPr>
                <w:rFonts w:hint="default" w:ascii="Times New Roman" w:hAnsi="Times New Roman" w:cs="Times New Roman"/>
                <w:b/>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51</w:t>
            </w:r>
            <w:r>
              <w:rPr>
                <w:rFonts w:hint="default" w:ascii="Times New Roman" w:hAnsi="Times New Roman" w:cs="Times New Roman"/>
                <w:b/>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5.90</w:t>
            </w:r>
            <w:r>
              <w:rPr>
                <w:rFonts w:hint="default" w:ascii="Times New Roman" w:hAnsi="Times New Roman" w:cs="Times New Roman"/>
                <w:b/>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2010101</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行政运行</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51</w:t>
            </w: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51</w:t>
            </w: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2010108</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代表工作</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5.90</w:t>
            </w: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5.90</w:t>
            </w: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20103</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政府办公厅（室）及相关机构事务</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484.60</w:t>
            </w:r>
            <w:r>
              <w:rPr>
                <w:rFonts w:hint="default" w:ascii="Times New Roman" w:hAnsi="Times New Roman" w:cs="Times New Roman"/>
                <w:b/>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465.60</w:t>
            </w:r>
            <w:r>
              <w:rPr>
                <w:rFonts w:hint="default" w:ascii="Times New Roman" w:hAnsi="Times New Roman" w:cs="Times New Roman"/>
                <w:b/>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19</w:t>
            </w:r>
            <w:r>
              <w:rPr>
                <w:rFonts w:hint="default" w:ascii="Times New Roman" w:hAnsi="Times New Roman" w:cs="Times New Roman"/>
                <w:b/>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2010301</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行政运行</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465.60</w:t>
            </w: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465.60</w:t>
            </w: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2010302</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一般行政管理事务</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17</w:t>
            </w: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17</w:t>
            </w: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2010308</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信访事务</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w:t>
            </w: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w:t>
            </w: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20106</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财政事务</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39.69</w:t>
            </w:r>
            <w:r>
              <w:rPr>
                <w:rFonts w:hint="default" w:ascii="Times New Roman" w:hAnsi="Times New Roman" w:cs="Times New Roman"/>
                <w:b/>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39.69</w:t>
            </w:r>
            <w:r>
              <w:rPr>
                <w:rFonts w:hint="default" w:ascii="Times New Roman" w:hAnsi="Times New Roman" w:cs="Times New Roman"/>
                <w:b/>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2010601</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行政运行</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39.69</w:t>
            </w: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39.69</w:t>
            </w: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20132</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组织事务</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6.36</w:t>
            </w:r>
            <w:r>
              <w:rPr>
                <w:rFonts w:hint="default" w:ascii="Times New Roman" w:hAnsi="Times New Roman" w:cs="Times New Roman"/>
                <w:b/>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6.36</w:t>
            </w:r>
            <w:r>
              <w:rPr>
                <w:rFonts w:hint="default" w:ascii="Times New Roman" w:hAnsi="Times New Roman" w:cs="Times New Roman"/>
                <w:b/>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2013202</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一般行政管理事务</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6.36</w:t>
            </w: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6.36</w:t>
            </w: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203</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国防支出</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w:t>
            </w:r>
            <w:r>
              <w:rPr>
                <w:rFonts w:hint="default" w:ascii="Times New Roman" w:hAnsi="Times New Roman" w:cs="Times New Roman"/>
                <w:b/>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w:t>
            </w:r>
            <w:r>
              <w:rPr>
                <w:rFonts w:hint="default" w:ascii="Times New Roman" w:hAnsi="Times New Roman" w:cs="Times New Roman"/>
                <w:b/>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20306</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国防动员</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w:t>
            </w:r>
            <w:r>
              <w:rPr>
                <w:rFonts w:hint="default" w:ascii="Times New Roman" w:hAnsi="Times New Roman" w:cs="Times New Roman"/>
                <w:b/>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w:t>
            </w:r>
            <w:r>
              <w:rPr>
                <w:rFonts w:hint="default" w:ascii="Times New Roman" w:hAnsi="Times New Roman" w:cs="Times New Roman"/>
                <w:b/>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2030607</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民兵</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w:t>
            </w: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w:t>
            </w: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204</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公共安全支出</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12.96</w:t>
            </w:r>
            <w:r>
              <w:rPr>
                <w:rFonts w:hint="default" w:ascii="Times New Roman" w:hAnsi="Times New Roman" w:cs="Times New Roman"/>
                <w:b/>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12.96</w:t>
            </w:r>
            <w:r>
              <w:rPr>
                <w:rFonts w:hint="default" w:ascii="Times New Roman" w:hAnsi="Times New Roman" w:cs="Times New Roman"/>
                <w:b/>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20402</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公安</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0.96</w:t>
            </w:r>
            <w:r>
              <w:rPr>
                <w:rFonts w:hint="default" w:ascii="Times New Roman" w:hAnsi="Times New Roman" w:cs="Times New Roman"/>
                <w:b/>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0.96</w:t>
            </w:r>
            <w:r>
              <w:rPr>
                <w:rFonts w:hint="default" w:ascii="Times New Roman" w:hAnsi="Times New Roman" w:cs="Times New Roman"/>
                <w:b/>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2040299</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其他公安支出</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0.96</w:t>
            </w: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0.96</w:t>
            </w: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20499</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其他公共安全支出</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12</w:t>
            </w:r>
            <w:r>
              <w:rPr>
                <w:rFonts w:hint="default" w:ascii="Times New Roman" w:hAnsi="Times New Roman" w:cs="Times New Roman"/>
                <w:b/>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12</w:t>
            </w:r>
            <w:r>
              <w:rPr>
                <w:rFonts w:hint="default" w:ascii="Times New Roman" w:hAnsi="Times New Roman" w:cs="Times New Roman"/>
                <w:b/>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2049999</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其他公共安全支出</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12</w:t>
            </w: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12</w:t>
            </w: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205</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教育支出</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9</w:t>
            </w:r>
            <w:r>
              <w:rPr>
                <w:rFonts w:hint="default" w:ascii="Times New Roman" w:hAnsi="Times New Roman" w:cs="Times New Roman"/>
                <w:b/>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9</w:t>
            </w:r>
            <w:r>
              <w:rPr>
                <w:rFonts w:hint="default" w:ascii="Times New Roman" w:hAnsi="Times New Roman" w:cs="Times New Roman"/>
                <w:b/>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20599</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其他教育支出</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9</w:t>
            </w:r>
            <w:r>
              <w:rPr>
                <w:rFonts w:hint="default" w:ascii="Times New Roman" w:hAnsi="Times New Roman" w:cs="Times New Roman"/>
                <w:b/>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9</w:t>
            </w:r>
            <w:r>
              <w:rPr>
                <w:rFonts w:hint="default" w:ascii="Times New Roman" w:hAnsi="Times New Roman" w:cs="Times New Roman"/>
                <w:b/>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2059999</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其他教育支出</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9</w:t>
            </w: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9</w:t>
            </w: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207</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文化旅游体育与传媒支出</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66.17</w:t>
            </w:r>
            <w:r>
              <w:rPr>
                <w:rFonts w:hint="default" w:ascii="Times New Roman" w:hAnsi="Times New Roman" w:cs="Times New Roman"/>
                <w:b/>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50.38</w:t>
            </w:r>
            <w:r>
              <w:rPr>
                <w:rFonts w:hint="default" w:ascii="Times New Roman" w:hAnsi="Times New Roman" w:cs="Times New Roman"/>
                <w:b/>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15.80</w:t>
            </w:r>
            <w:r>
              <w:rPr>
                <w:rFonts w:hint="default" w:ascii="Times New Roman" w:hAnsi="Times New Roman" w:cs="Times New Roman"/>
                <w:b/>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20701</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文化和旅游</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64.67</w:t>
            </w:r>
            <w:r>
              <w:rPr>
                <w:rFonts w:hint="default" w:ascii="Times New Roman" w:hAnsi="Times New Roman" w:cs="Times New Roman"/>
                <w:b/>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50.38</w:t>
            </w:r>
            <w:r>
              <w:rPr>
                <w:rFonts w:hint="default" w:ascii="Times New Roman" w:hAnsi="Times New Roman" w:cs="Times New Roman"/>
                <w:b/>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14.30</w:t>
            </w:r>
            <w:r>
              <w:rPr>
                <w:rFonts w:hint="default" w:ascii="Times New Roman" w:hAnsi="Times New Roman" w:cs="Times New Roman"/>
                <w:b/>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2070109</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群众文化</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50.38</w:t>
            </w: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50.38</w:t>
            </w: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2070199</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其他文化和旅游支出</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14.30</w:t>
            </w: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14.30</w:t>
            </w: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20703</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体育</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1.50</w:t>
            </w:r>
            <w:r>
              <w:rPr>
                <w:rFonts w:hint="default" w:ascii="Times New Roman" w:hAnsi="Times New Roman" w:cs="Times New Roman"/>
                <w:b/>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1.50</w:t>
            </w:r>
            <w:r>
              <w:rPr>
                <w:rFonts w:hint="default" w:ascii="Times New Roman" w:hAnsi="Times New Roman" w:cs="Times New Roman"/>
                <w:b/>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2070307</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体育场馆</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1.50</w:t>
            </w: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1.50</w:t>
            </w: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社会保障和就业支出</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324.30</w:t>
            </w:r>
            <w:r>
              <w:rPr>
                <w:rFonts w:hint="default" w:ascii="Times New Roman" w:hAnsi="Times New Roman" w:cs="Times New Roman"/>
                <w:b/>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277.28</w:t>
            </w:r>
            <w:r>
              <w:rPr>
                <w:rFonts w:hint="default" w:ascii="Times New Roman" w:hAnsi="Times New Roman" w:cs="Times New Roman"/>
                <w:b/>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47.02</w:t>
            </w:r>
            <w:r>
              <w:rPr>
                <w:rFonts w:hint="default" w:ascii="Times New Roman" w:hAnsi="Times New Roman" w:cs="Times New Roman"/>
                <w:b/>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20801</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人力资源和社会保障管理事务</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38.87</w:t>
            </w:r>
            <w:r>
              <w:rPr>
                <w:rFonts w:hint="default" w:ascii="Times New Roman" w:hAnsi="Times New Roman" w:cs="Times New Roman"/>
                <w:b/>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38.87</w:t>
            </w:r>
            <w:r>
              <w:rPr>
                <w:rFonts w:hint="default" w:ascii="Times New Roman" w:hAnsi="Times New Roman" w:cs="Times New Roman"/>
                <w:b/>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2080109</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社会保险经办机构</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38.87</w:t>
            </w: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38.87</w:t>
            </w: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20805</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行政事业单位养老支出</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198.82</w:t>
            </w:r>
            <w:r>
              <w:rPr>
                <w:rFonts w:hint="default" w:ascii="Times New Roman" w:hAnsi="Times New Roman" w:cs="Times New Roman"/>
                <w:b/>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198.82</w:t>
            </w:r>
            <w:r>
              <w:rPr>
                <w:rFonts w:hint="default" w:ascii="Times New Roman" w:hAnsi="Times New Roman" w:cs="Times New Roman"/>
                <w:b/>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2080501</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行政单位离退休</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57.34</w:t>
            </w: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57.34</w:t>
            </w: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2080502</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事业单位离退休</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23.22</w:t>
            </w: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23.22</w:t>
            </w: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2080505</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机关事业单位基本养老保险缴费支出</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80.99</w:t>
            </w: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80.99</w:t>
            </w: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2080506</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机关事业单位职业年金缴费支出</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37.27</w:t>
            </w: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37.27</w:t>
            </w: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20808</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抚恤</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9.46</w:t>
            </w:r>
            <w:r>
              <w:rPr>
                <w:rFonts w:hint="default" w:ascii="Times New Roman" w:hAnsi="Times New Roman" w:cs="Times New Roman"/>
                <w:b/>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9.46</w:t>
            </w:r>
            <w:r>
              <w:rPr>
                <w:rFonts w:hint="default" w:ascii="Times New Roman" w:hAnsi="Times New Roman" w:cs="Times New Roman"/>
                <w:b/>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2080805</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义务兵优待</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9.46</w:t>
            </w: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9.46</w:t>
            </w: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20811</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残疾人事业</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3.97</w:t>
            </w:r>
            <w:r>
              <w:rPr>
                <w:rFonts w:hint="default" w:ascii="Times New Roman" w:hAnsi="Times New Roman" w:cs="Times New Roman"/>
                <w:b/>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3.97</w:t>
            </w:r>
            <w:r>
              <w:rPr>
                <w:rFonts w:hint="default" w:ascii="Times New Roman" w:hAnsi="Times New Roman" w:cs="Times New Roman"/>
                <w:b/>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2081199</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其他残疾人事业支出</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3.97</w:t>
            </w: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3.97</w:t>
            </w: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20821</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特困人员救助供养</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0.50</w:t>
            </w:r>
            <w:r>
              <w:rPr>
                <w:rFonts w:hint="default" w:ascii="Times New Roman" w:hAnsi="Times New Roman" w:cs="Times New Roman"/>
                <w:b/>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0.50</w:t>
            </w:r>
            <w:r>
              <w:rPr>
                <w:rFonts w:hint="default" w:ascii="Times New Roman" w:hAnsi="Times New Roman" w:cs="Times New Roman"/>
                <w:b/>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2082102</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农村特困人员救助供养支出</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0.50</w:t>
            </w: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0.50</w:t>
            </w: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20823</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小型水库移民扶助基金安排的支出</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42</w:t>
            </w:r>
            <w:r>
              <w:rPr>
                <w:rFonts w:hint="default" w:ascii="Times New Roman" w:hAnsi="Times New Roman" w:cs="Times New Roman"/>
                <w:b/>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42</w:t>
            </w:r>
            <w:r>
              <w:rPr>
                <w:rFonts w:hint="default" w:ascii="Times New Roman" w:hAnsi="Times New Roman" w:cs="Times New Roman"/>
                <w:b/>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2082399</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其他小型水库移民扶助基金支出</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42</w:t>
            </w: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42</w:t>
            </w: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20828</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退役军人管理事务</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30.68</w:t>
            </w:r>
            <w:r>
              <w:rPr>
                <w:rFonts w:hint="default" w:ascii="Times New Roman" w:hAnsi="Times New Roman" w:cs="Times New Roman"/>
                <w:b/>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29.63</w:t>
            </w:r>
            <w:r>
              <w:rPr>
                <w:rFonts w:hint="default" w:ascii="Times New Roman" w:hAnsi="Times New Roman" w:cs="Times New Roman"/>
                <w:b/>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1.05</w:t>
            </w:r>
            <w:r>
              <w:rPr>
                <w:rFonts w:hint="default" w:ascii="Times New Roman" w:hAnsi="Times New Roman" w:cs="Times New Roman"/>
                <w:b/>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2082850</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事业运行</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29.63</w:t>
            </w: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29.63</w:t>
            </w: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2082899</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其他退役军人事务管理支出</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1.05</w:t>
            </w: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1.05</w:t>
            </w: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210</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卫生健康支出</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59.37</w:t>
            </w:r>
            <w:r>
              <w:rPr>
                <w:rFonts w:hint="default" w:ascii="Times New Roman" w:hAnsi="Times New Roman" w:cs="Times New Roman"/>
                <w:b/>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38.37</w:t>
            </w:r>
            <w:r>
              <w:rPr>
                <w:rFonts w:hint="default" w:ascii="Times New Roman" w:hAnsi="Times New Roman" w:cs="Times New Roman"/>
                <w:b/>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w:t>
            </w:r>
            <w:r>
              <w:rPr>
                <w:rFonts w:hint="default" w:ascii="Times New Roman" w:hAnsi="Times New Roman" w:cs="Times New Roman"/>
                <w:b/>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21004</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公共卫生</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21.96</w:t>
            </w:r>
            <w:r>
              <w:rPr>
                <w:rFonts w:hint="default" w:ascii="Times New Roman" w:hAnsi="Times New Roman" w:cs="Times New Roman"/>
                <w:b/>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0.96</w:t>
            </w:r>
            <w:r>
              <w:rPr>
                <w:rFonts w:hint="default" w:ascii="Times New Roman" w:hAnsi="Times New Roman" w:cs="Times New Roman"/>
                <w:b/>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w:t>
            </w:r>
            <w:r>
              <w:rPr>
                <w:rFonts w:hint="default" w:ascii="Times New Roman" w:hAnsi="Times New Roman" w:cs="Times New Roman"/>
                <w:b/>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2100410</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突发公共卫生事件应急处理</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w:t>
            </w: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w:t>
            </w: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2100499</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其他公共卫生支出</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0.96</w:t>
            </w: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0.96</w:t>
            </w: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21011</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行政事业单位医疗</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37.41</w:t>
            </w:r>
            <w:r>
              <w:rPr>
                <w:rFonts w:hint="default" w:ascii="Times New Roman" w:hAnsi="Times New Roman" w:cs="Times New Roman"/>
                <w:b/>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37.41</w:t>
            </w:r>
            <w:r>
              <w:rPr>
                <w:rFonts w:hint="default" w:ascii="Times New Roman" w:hAnsi="Times New Roman" w:cs="Times New Roman"/>
                <w:b/>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2101101</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行政单位医疗</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19.80</w:t>
            </w: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19.80</w:t>
            </w: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2101102</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事业单位医疗</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17.61</w:t>
            </w: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17.61</w:t>
            </w: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211</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节能环保支出</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58.54</w:t>
            </w:r>
            <w:r>
              <w:rPr>
                <w:rFonts w:hint="default" w:ascii="Times New Roman" w:hAnsi="Times New Roman" w:cs="Times New Roman"/>
                <w:b/>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58.54</w:t>
            </w:r>
            <w:r>
              <w:rPr>
                <w:rFonts w:hint="default" w:ascii="Times New Roman" w:hAnsi="Times New Roman" w:cs="Times New Roman"/>
                <w:b/>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21105</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天然林保护</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8.54</w:t>
            </w:r>
            <w:r>
              <w:rPr>
                <w:rFonts w:hint="default" w:ascii="Times New Roman" w:hAnsi="Times New Roman" w:cs="Times New Roman"/>
                <w:b/>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8.54</w:t>
            </w:r>
            <w:r>
              <w:rPr>
                <w:rFonts w:hint="default" w:ascii="Times New Roman" w:hAnsi="Times New Roman" w:cs="Times New Roman"/>
                <w:b/>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2110501</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森林管护</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0.84</w:t>
            </w: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0.84</w:t>
            </w: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2110599</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其他天然林保护支出</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7.70</w:t>
            </w: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7.70</w:t>
            </w: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21199</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其他节能环保支出</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50</w:t>
            </w:r>
            <w:r>
              <w:rPr>
                <w:rFonts w:hint="default" w:ascii="Times New Roman" w:hAnsi="Times New Roman" w:cs="Times New Roman"/>
                <w:b/>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50</w:t>
            </w:r>
            <w:r>
              <w:rPr>
                <w:rFonts w:hint="default" w:ascii="Times New Roman" w:hAnsi="Times New Roman" w:cs="Times New Roman"/>
                <w:b/>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2119999</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其他节能环保支出</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50</w:t>
            </w: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50</w:t>
            </w: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212</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城乡社区支出</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120.50</w:t>
            </w:r>
            <w:r>
              <w:rPr>
                <w:rFonts w:hint="default" w:ascii="Times New Roman" w:hAnsi="Times New Roman" w:cs="Times New Roman"/>
                <w:b/>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41.04</w:t>
            </w:r>
            <w:r>
              <w:rPr>
                <w:rFonts w:hint="default" w:ascii="Times New Roman" w:hAnsi="Times New Roman" w:cs="Times New Roman"/>
                <w:b/>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79.46</w:t>
            </w:r>
            <w:r>
              <w:rPr>
                <w:rFonts w:hint="default" w:ascii="Times New Roman" w:hAnsi="Times New Roman" w:cs="Times New Roman"/>
                <w:b/>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21201</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城乡社区管理事务</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41.04</w:t>
            </w:r>
            <w:r>
              <w:rPr>
                <w:rFonts w:hint="default" w:ascii="Times New Roman" w:hAnsi="Times New Roman" w:cs="Times New Roman"/>
                <w:b/>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41.04</w:t>
            </w:r>
            <w:r>
              <w:rPr>
                <w:rFonts w:hint="default" w:ascii="Times New Roman" w:hAnsi="Times New Roman" w:cs="Times New Roman"/>
                <w:b/>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2120199</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其他城乡社区管理事务支出</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41.04</w:t>
            </w: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41.04</w:t>
            </w: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21203</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城乡社区公共设施</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69.46</w:t>
            </w:r>
            <w:r>
              <w:rPr>
                <w:rFonts w:hint="default" w:ascii="Times New Roman" w:hAnsi="Times New Roman" w:cs="Times New Roman"/>
                <w:b/>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69.46</w:t>
            </w:r>
            <w:r>
              <w:rPr>
                <w:rFonts w:hint="default" w:ascii="Times New Roman" w:hAnsi="Times New Roman" w:cs="Times New Roman"/>
                <w:b/>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2120399</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其他城乡社区公共设施支出</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69.46</w:t>
            </w: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69.46</w:t>
            </w: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21205</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城乡社区环境卫生</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w:t>
            </w:r>
            <w:r>
              <w:rPr>
                <w:rFonts w:hint="default" w:ascii="Times New Roman" w:hAnsi="Times New Roman" w:cs="Times New Roman"/>
                <w:b/>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w:t>
            </w:r>
            <w:r>
              <w:rPr>
                <w:rFonts w:hint="default" w:ascii="Times New Roman" w:hAnsi="Times New Roman" w:cs="Times New Roman"/>
                <w:b/>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2120501</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城乡社区环境卫生</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w:t>
            </w: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w:t>
            </w: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21208</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国有土地使用权出让收入安排的支出</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w:t>
            </w:r>
            <w:r>
              <w:rPr>
                <w:rFonts w:hint="default" w:ascii="Times New Roman" w:hAnsi="Times New Roman" w:cs="Times New Roman"/>
                <w:b/>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w:t>
            </w:r>
            <w:r>
              <w:rPr>
                <w:rFonts w:hint="default" w:ascii="Times New Roman" w:hAnsi="Times New Roman" w:cs="Times New Roman"/>
                <w:b/>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2120899</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其他国有土地使用权出让收入安排的支出</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w:t>
            </w: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w:t>
            </w: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213</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农林水支出</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698.43</w:t>
            </w:r>
            <w:r>
              <w:rPr>
                <w:rFonts w:hint="default" w:ascii="Times New Roman" w:hAnsi="Times New Roman" w:cs="Times New Roman"/>
                <w:b/>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288.93</w:t>
            </w:r>
            <w:r>
              <w:rPr>
                <w:rFonts w:hint="default" w:ascii="Times New Roman" w:hAnsi="Times New Roman" w:cs="Times New Roman"/>
                <w:b/>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409.50</w:t>
            </w:r>
            <w:r>
              <w:rPr>
                <w:rFonts w:hint="default" w:ascii="Times New Roman" w:hAnsi="Times New Roman" w:cs="Times New Roman"/>
                <w:b/>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21301</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农业农村</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243.30</w:t>
            </w:r>
            <w:r>
              <w:rPr>
                <w:rFonts w:hint="default" w:ascii="Times New Roman" w:hAnsi="Times New Roman" w:cs="Times New Roman"/>
                <w:b/>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150.12</w:t>
            </w:r>
            <w:r>
              <w:rPr>
                <w:rFonts w:hint="default" w:ascii="Times New Roman" w:hAnsi="Times New Roman" w:cs="Times New Roman"/>
                <w:b/>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93.18</w:t>
            </w:r>
            <w:r>
              <w:rPr>
                <w:rFonts w:hint="default" w:ascii="Times New Roman" w:hAnsi="Times New Roman" w:cs="Times New Roman"/>
                <w:b/>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2130104</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事业运行</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149.28</w:t>
            </w: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149.28</w:t>
            </w: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2130108</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病虫害控制</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0.84</w:t>
            </w: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0.84</w:t>
            </w: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2130122</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农业生产发展</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55.34</w:t>
            </w: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55.34</w:t>
            </w: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2130124</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农村合作经济</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6</w:t>
            </w: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6</w:t>
            </w: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2130135</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农业资源保护修复与利用</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27.84</w:t>
            </w: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27.84</w:t>
            </w: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2130199</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其他农业农村支出</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w:t>
            </w: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w:t>
            </w: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21302</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林业和草原</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36.82</w:t>
            </w:r>
            <w:r>
              <w:rPr>
                <w:rFonts w:hint="default" w:ascii="Times New Roman" w:hAnsi="Times New Roman" w:cs="Times New Roman"/>
                <w:b/>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36.82</w:t>
            </w:r>
            <w:r>
              <w:rPr>
                <w:rFonts w:hint="default" w:ascii="Times New Roman" w:hAnsi="Times New Roman" w:cs="Times New Roman"/>
                <w:b/>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2130205</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森林资源培育</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11</w:t>
            </w: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11</w:t>
            </w: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2130234</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林业草原防灾减灾</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4.82</w:t>
            </w: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4.82</w:t>
            </w: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2130299</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其他林业和草原支出</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w:t>
            </w: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w:t>
            </w: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21303</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水利</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27.85</w:t>
            </w:r>
            <w:r>
              <w:rPr>
                <w:rFonts w:hint="default" w:ascii="Times New Roman" w:hAnsi="Times New Roman" w:cs="Times New Roman"/>
                <w:b/>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27.85</w:t>
            </w:r>
            <w:r>
              <w:rPr>
                <w:rFonts w:hint="default" w:ascii="Times New Roman" w:hAnsi="Times New Roman" w:cs="Times New Roman"/>
                <w:b/>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2130314</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防汛</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26.46</w:t>
            </w: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26.46</w:t>
            </w: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2130315</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抗旱</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1.39</w:t>
            </w: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1.39</w:t>
            </w: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21305</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巩固脱贫攻坚成果衔接乡村振兴</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198.25</w:t>
            </w:r>
            <w:r>
              <w:rPr>
                <w:rFonts w:hint="default" w:ascii="Times New Roman" w:hAnsi="Times New Roman" w:cs="Times New Roman"/>
                <w:b/>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9.08</w:t>
            </w:r>
            <w:r>
              <w:rPr>
                <w:rFonts w:hint="default" w:ascii="Times New Roman" w:hAnsi="Times New Roman" w:cs="Times New Roman"/>
                <w:b/>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189.18</w:t>
            </w:r>
            <w:r>
              <w:rPr>
                <w:rFonts w:hint="default" w:ascii="Times New Roman" w:hAnsi="Times New Roman" w:cs="Times New Roman"/>
                <w:b/>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2130504</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农村基础设施建设</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30.77</w:t>
            </w: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30.77</w:t>
            </w: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2130505</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生产发展</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46.86</w:t>
            </w: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46.86</w:t>
            </w: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2130599</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其他巩固脱贫攻坚成果衔接乡村振兴支出</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120.63</w:t>
            </w: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9.08</w:t>
            </w: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111.55</w:t>
            </w: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21307</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农村综合改革</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171.73</w:t>
            </w:r>
            <w:r>
              <w:rPr>
                <w:rFonts w:hint="default" w:ascii="Times New Roman" w:hAnsi="Times New Roman" w:cs="Times New Roman"/>
                <w:b/>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129.73</w:t>
            </w:r>
            <w:r>
              <w:rPr>
                <w:rFonts w:hint="default" w:ascii="Times New Roman" w:hAnsi="Times New Roman" w:cs="Times New Roman"/>
                <w:b/>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42</w:t>
            </w:r>
            <w:r>
              <w:rPr>
                <w:rFonts w:hint="default" w:ascii="Times New Roman" w:hAnsi="Times New Roman" w:cs="Times New Roman"/>
                <w:b/>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2130701</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对村级公益事业建设的补助</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10</w:t>
            </w: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10</w:t>
            </w: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2130705</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对村民委员会和村党支部的补助</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161.73</w:t>
            </w: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129.73</w:t>
            </w: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32</w:t>
            </w: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21366</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大中型水库库区基金安排的支出</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20.47</w:t>
            </w:r>
            <w:r>
              <w:rPr>
                <w:rFonts w:hint="default" w:ascii="Times New Roman" w:hAnsi="Times New Roman" w:cs="Times New Roman"/>
                <w:b/>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20.47</w:t>
            </w:r>
            <w:r>
              <w:rPr>
                <w:rFonts w:hint="default" w:ascii="Times New Roman" w:hAnsi="Times New Roman" w:cs="Times New Roman"/>
                <w:b/>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2136601</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基础设施建设和经济发展</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20.47</w:t>
            </w: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20.47</w:t>
            </w: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214</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交通运输支出</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17.07</w:t>
            </w:r>
            <w:r>
              <w:rPr>
                <w:rFonts w:hint="default" w:ascii="Times New Roman" w:hAnsi="Times New Roman" w:cs="Times New Roman"/>
                <w:b/>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17.07</w:t>
            </w:r>
            <w:r>
              <w:rPr>
                <w:rFonts w:hint="default" w:ascii="Times New Roman" w:hAnsi="Times New Roman" w:cs="Times New Roman"/>
                <w:b/>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21401</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公路水路运输</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11.67</w:t>
            </w:r>
            <w:r>
              <w:rPr>
                <w:rFonts w:hint="default" w:ascii="Times New Roman" w:hAnsi="Times New Roman" w:cs="Times New Roman"/>
                <w:b/>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11.67</w:t>
            </w:r>
            <w:r>
              <w:rPr>
                <w:rFonts w:hint="default" w:ascii="Times New Roman" w:hAnsi="Times New Roman" w:cs="Times New Roman"/>
                <w:b/>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2140104</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公路建设</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11.67</w:t>
            </w: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11.67</w:t>
            </w: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21406</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车辆购置税支出</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5.41</w:t>
            </w:r>
            <w:r>
              <w:rPr>
                <w:rFonts w:hint="default" w:ascii="Times New Roman" w:hAnsi="Times New Roman" w:cs="Times New Roman"/>
                <w:b/>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5.41</w:t>
            </w:r>
            <w:r>
              <w:rPr>
                <w:rFonts w:hint="default" w:ascii="Times New Roman" w:hAnsi="Times New Roman" w:cs="Times New Roman"/>
                <w:b/>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2140601</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车辆购置税用于公路等基础设施建设支出</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5.41</w:t>
            </w: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5.41</w:t>
            </w: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220</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自然资源海洋气象等支出</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89.97</w:t>
            </w:r>
            <w:r>
              <w:rPr>
                <w:rFonts w:hint="default" w:ascii="Times New Roman" w:hAnsi="Times New Roman" w:cs="Times New Roman"/>
                <w:b/>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89.97</w:t>
            </w:r>
            <w:r>
              <w:rPr>
                <w:rFonts w:hint="default" w:ascii="Times New Roman" w:hAnsi="Times New Roman" w:cs="Times New Roman"/>
                <w:b/>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22001</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自然资源事务</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89.97</w:t>
            </w:r>
            <w:r>
              <w:rPr>
                <w:rFonts w:hint="default" w:ascii="Times New Roman" w:hAnsi="Times New Roman" w:cs="Times New Roman"/>
                <w:b/>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89.97</w:t>
            </w:r>
            <w:r>
              <w:rPr>
                <w:rFonts w:hint="default" w:ascii="Times New Roman" w:hAnsi="Times New Roman" w:cs="Times New Roman"/>
                <w:b/>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2200106</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自然资源利用与保护</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89.97</w:t>
            </w: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89.97</w:t>
            </w: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221</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住房保障支出</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70.40</w:t>
            </w:r>
            <w:r>
              <w:rPr>
                <w:rFonts w:hint="default" w:ascii="Times New Roman" w:hAnsi="Times New Roman" w:cs="Times New Roman"/>
                <w:b/>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67.79</w:t>
            </w:r>
            <w:r>
              <w:rPr>
                <w:rFonts w:hint="default" w:ascii="Times New Roman" w:hAnsi="Times New Roman" w:cs="Times New Roman"/>
                <w:b/>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2.61</w:t>
            </w:r>
            <w:r>
              <w:rPr>
                <w:rFonts w:hint="default" w:ascii="Times New Roman" w:hAnsi="Times New Roman" w:cs="Times New Roman"/>
                <w:b/>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22101</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保障性安居工程支出</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2.61</w:t>
            </w:r>
            <w:r>
              <w:rPr>
                <w:rFonts w:hint="default" w:ascii="Times New Roman" w:hAnsi="Times New Roman" w:cs="Times New Roman"/>
                <w:b/>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2.61</w:t>
            </w:r>
            <w:r>
              <w:rPr>
                <w:rFonts w:hint="default" w:ascii="Times New Roman" w:hAnsi="Times New Roman" w:cs="Times New Roman"/>
                <w:b/>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2210105</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农村危房改造</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2.61</w:t>
            </w: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2.61</w:t>
            </w: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22102</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住房改革支出</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67.79</w:t>
            </w:r>
            <w:r>
              <w:rPr>
                <w:rFonts w:hint="default" w:ascii="Times New Roman" w:hAnsi="Times New Roman" w:cs="Times New Roman"/>
                <w:b/>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67.79</w:t>
            </w:r>
            <w:r>
              <w:rPr>
                <w:rFonts w:hint="default" w:ascii="Times New Roman" w:hAnsi="Times New Roman" w:cs="Times New Roman"/>
                <w:b/>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2210201</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住房公积金</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67.79</w:t>
            </w: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67.79</w:t>
            </w: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224</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灾害防治及应急管理支出</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34.76</w:t>
            </w:r>
            <w:r>
              <w:rPr>
                <w:rFonts w:hint="default" w:ascii="Times New Roman" w:hAnsi="Times New Roman" w:cs="Times New Roman"/>
                <w:b/>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34.76</w:t>
            </w:r>
            <w:r>
              <w:rPr>
                <w:rFonts w:hint="default" w:ascii="Times New Roman" w:hAnsi="Times New Roman" w:cs="Times New Roman"/>
                <w:b/>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22401</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应急管理事务</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12.76</w:t>
            </w:r>
            <w:r>
              <w:rPr>
                <w:rFonts w:hint="default" w:ascii="Times New Roman" w:hAnsi="Times New Roman" w:cs="Times New Roman"/>
                <w:b/>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12.76</w:t>
            </w:r>
            <w:r>
              <w:rPr>
                <w:rFonts w:hint="default" w:ascii="Times New Roman" w:hAnsi="Times New Roman" w:cs="Times New Roman"/>
                <w:b/>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2240108</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应急救援</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12.76</w:t>
            </w: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12.76</w:t>
            </w: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22402</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消防救援事务</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w:t>
            </w:r>
            <w:r>
              <w:rPr>
                <w:rFonts w:hint="default" w:ascii="Times New Roman" w:hAnsi="Times New Roman" w:cs="Times New Roman"/>
                <w:b/>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w:t>
            </w:r>
            <w:r>
              <w:rPr>
                <w:rFonts w:hint="default" w:ascii="Times New Roman" w:hAnsi="Times New Roman" w:cs="Times New Roman"/>
                <w:b/>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5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2240204</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消防应急救援</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22</w:t>
            </w: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22</w:t>
            </w: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bl>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备注：1.本表反映部门本年度各项支出情况。</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t xml:space="preserve">      2.本套报表金额单位转换时可能存在尾数误差。</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br w:type="textWrapping"/>
      </w: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br w:type="page"/>
      </w: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21"/>
          <w:szCs w:val="21"/>
          <w:highlight w:val="none"/>
        </w:rPr>
      </w:pPr>
    </w:p>
    <w:tbl>
      <w:tblPr>
        <w:tblStyle w:val="12"/>
        <w:tblW w:w="13213" w:type="dxa"/>
        <w:tblInd w:w="0" w:type="dxa"/>
        <w:tblLayout w:type="fixed"/>
        <w:tblCellMar>
          <w:top w:w="0" w:type="dxa"/>
          <w:left w:w="0" w:type="dxa"/>
          <w:bottom w:w="0" w:type="dxa"/>
          <w:right w:w="0" w:type="dxa"/>
        </w:tblCellMar>
      </w:tblPr>
      <w:tblGrid>
        <w:gridCol w:w="2671"/>
        <w:gridCol w:w="1369"/>
        <w:gridCol w:w="2862"/>
        <w:gridCol w:w="1525"/>
        <w:gridCol w:w="1525"/>
        <w:gridCol w:w="1525"/>
        <w:gridCol w:w="1736"/>
      </w:tblGrid>
      <w:tr>
        <w:tblPrEx>
          <w:tblLayout w:type="fixed"/>
          <w:tblCellMar>
            <w:top w:w="0" w:type="dxa"/>
            <w:left w:w="0" w:type="dxa"/>
            <w:bottom w:w="0" w:type="dxa"/>
            <w:right w:w="0" w:type="dxa"/>
          </w:tblCellMar>
        </w:tblPrEx>
        <w:trPr>
          <w:trHeight w:val="90" w:hRule="atLeast"/>
        </w:trPr>
        <w:tc>
          <w:tcPr>
            <w:tcW w:w="13213" w:type="dxa"/>
            <w:gridSpan w:val="7"/>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bottom"/>
              <w:outlineLvl w:val="9"/>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财政拨款收入支出决算总表</w:t>
            </w:r>
          </w:p>
        </w:tc>
      </w:tr>
      <w:tr>
        <w:tblPrEx>
          <w:tblLayout w:type="fixed"/>
          <w:tblCellMar>
            <w:top w:w="0" w:type="dxa"/>
            <w:left w:w="0" w:type="dxa"/>
            <w:bottom w:w="0" w:type="dxa"/>
            <w:right w:w="0" w:type="dxa"/>
          </w:tblCellMar>
        </w:tblPrEx>
        <w:trPr>
          <w:trHeight w:val="90" w:hRule="atLeast"/>
        </w:trPr>
        <w:tc>
          <w:tcPr>
            <w:tcW w:w="4040"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20"/>
                <w:szCs w:val="20"/>
                <w:highlight w:val="none"/>
              </w:rPr>
              <w:t xml:space="preserve">公开部门： </w:t>
            </w:r>
            <w:r>
              <w:rPr>
                <w:rFonts w:hint="default" w:ascii="Times New Roman" w:hAnsi="Times New Roman" w:cs="Times New Roman"/>
                <w:color w:val="auto"/>
                <w:sz w:val="20"/>
                <w:highlight w:val="none"/>
                <w:u w:color="auto"/>
              </w:rPr>
              <w:t>重庆市秀山土家族苗族自治县石耶镇人民政府</w:t>
            </w:r>
          </w:p>
        </w:tc>
        <w:tc>
          <w:tcPr>
            <w:tcW w:w="286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18"/>
                <w:szCs w:val="18"/>
                <w:highlight w:val="none"/>
              </w:rPr>
            </w:pPr>
          </w:p>
        </w:tc>
        <w:tc>
          <w:tcPr>
            <w:tcW w:w="152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18"/>
                <w:szCs w:val="18"/>
                <w:highlight w:val="none"/>
              </w:rPr>
            </w:pPr>
          </w:p>
        </w:tc>
        <w:tc>
          <w:tcPr>
            <w:tcW w:w="152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18"/>
                <w:szCs w:val="18"/>
                <w:highlight w:val="none"/>
              </w:rPr>
            </w:pPr>
          </w:p>
        </w:tc>
        <w:tc>
          <w:tcPr>
            <w:tcW w:w="152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18"/>
                <w:szCs w:val="18"/>
                <w:highlight w:val="none"/>
              </w:rPr>
            </w:pPr>
          </w:p>
        </w:tc>
        <w:tc>
          <w:tcPr>
            <w:tcW w:w="17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公开04表</w:t>
            </w:r>
          </w:p>
        </w:tc>
      </w:tr>
      <w:tr>
        <w:tblPrEx>
          <w:tblLayout w:type="fixed"/>
          <w:tblCellMar>
            <w:top w:w="0" w:type="dxa"/>
            <w:left w:w="0" w:type="dxa"/>
            <w:bottom w:w="0" w:type="dxa"/>
            <w:right w:w="0" w:type="dxa"/>
          </w:tblCellMar>
        </w:tblPrEx>
        <w:trPr>
          <w:trHeight w:val="90" w:hRule="atLeast"/>
        </w:trPr>
        <w:tc>
          <w:tcPr>
            <w:tcW w:w="4040"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18"/>
                <w:szCs w:val="18"/>
                <w:highlight w:val="none"/>
              </w:rPr>
            </w:pPr>
          </w:p>
        </w:tc>
        <w:tc>
          <w:tcPr>
            <w:tcW w:w="286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18"/>
                <w:szCs w:val="18"/>
                <w:highlight w:val="none"/>
              </w:rPr>
            </w:pPr>
          </w:p>
        </w:tc>
        <w:tc>
          <w:tcPr>
            <w:tcW w:w="152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18"/>
                <w:szCs w:val="18"/>
                <w:highlight w:val="none"/>
              </w:rPr>
            </w:pPr>
          </w:p>
        </w:tc>
        <w:tc>
          <w:tcPr>
            <w:tcW w:w="152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18"/>
                <w:szCs w:val="18"/>
                <w:highlight w:val="none"/>
              </w:rPr>
            </w:pPr>
          </w:p>
        </w:tc>
        <w:tc>
          <w:tcPr>
            <w:tcW w:w="152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18"/>
                <w:szCs w:val="18"/>
                <w:highlight w:val="none"/>
              </w:rPr>
            </w:pPr>
          </w:p>
        </w:tc>
        <w:tc>
          <w:tcPr>
            <w:tcW w:w="17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tblPrEx>
          <w:tblLayout w:type="fixed"/>
          <w:tblCellMar>
            <w:top w:w="0" w:type="dxa"/>
            <w:left w:w="0" w:type="dxa"/>
            <w:bottom w:w="0" w:type="dxa"/>
            <w:right w:w="0" w:type="dxa"/>
          </w:tblCellMar>
        </w:tblPrEx>
        <w:trPr>
          <w:trHeight w:val="90" w:hRule="atLeast"/>
        </w:trPr>
        <w:tc>
          <w:tcPr>
            <w:tcW w:w="404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收     入</w:t>
            </w:r>
          </w:p>
        </w:tc>
        <w:tc>
          <w:tcPr>
            <w:tcW w:w="9173"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支     出</w:t>
            </w:r>
          </w:p>
        </w:tc>
      </w:tr>
      <w:tr>
        <w:tblPrEx>
          <w:tblLayout w:type="fixed"/>
          <w:tblCellMar>
            <w:top w:w="0" w:type="dxa"/>
            <w:left w:w="0" w:type="dxa"/>
            <w:bottom w:w="0" w:type="dxa"/>
            <w:right w:w="0" w:type="dxa"/>
          </w:tblCellMar>
        </w:tblPrEx>
        <w:trPr>
          <w:trHeight w:val="90" w:hRule="atLeast"/>
        </w:trPr>
        <w:tc>
          <w:tcPr>
            <w:tcW w:w="267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项目</w:t>
            </w:r>
          </w:p>
        </w:tc>
        <w:tc>
          <w:tcPr>
            <w:tcW w:w="136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决算数</w:t>
            </w:r>
          </w:p>
        </w:tc>
        <w:tc>
          <w:tcPr>
            <w:tcW w:w="286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功能分类科目</w:t>
            </w:r>
          </w:p>
        </w:tc>
        <w:tc>
          <w:tcPr>
            <w:tcW w:w="6311"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决算数</w:t>
            </w:r>
          </w:p>
        </w:tc>
      </w:tr>
      <w:tr>
        <w:tblPrEx>
          <w:tblLayout w:type="fixed"/>
          <w:tblCellMar>
            <w:top w:w="0" w:type="dxa"/>
            <w:left w:w="0" w:type="dxa"/>
            <w:bottom w:w="0" w:type="dxa"/>
            <w:right w:w="0" w:type="dxa"/>
          </w:tblCellMar>
        </w:tblPrEx>
        <w:trPr>
          <w:trHeight w:val="90" w:hRule="atLeast"/>
        </w:trPr>
        <w:tc>
          <w:tcPr>
            <w:tcW w:w="267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18"/>
                <w:szCs w:val="18"/>
                <w:highlight w:val="none"/>
              </w:rPr>
            </w:pPr>
          </w:p>
        </w:tc>
        <w:tc>
          <w:tcPr>
            <w:tcW w:w="136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18"/>
                <w:szCs w:val="18"/>
                <w:highlight w:val="none"/>
              </w:rPr>
            </w:pPr>
          </w:p>
        </w:tc>
        <w:tc>
          <w:tcPr>
            <w:tcW w:w="286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18"/>
                <w:szCs w:val="18"/>
                <w:highlight w:val="none"/>
              </w:rPr>
            </w:pPr>
          </w:p>
        </w:tc>
        <w:tc>
          <w:tcPr>
            <w:tcW w:w="152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小计</w:t>
            </w:r>
          </w:p>
        </w:tc>
        <w:tc>
          <w:tcPr>
            <w:tcW w:w="152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一般公共预算财政拨款</w:t>
            </w:r>
          </w:p>
        </w:tc>
        <w:tc>
          <w:tcPr>
            <w:tcW w:w="152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政府性基金预算财政拨款</w:t>
            </w:r>
          </w:p>
        </w:tc>
        <w:tc>
          <w:tcPr>
            <w:tcW w:w="17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国有资本经营预算财政拨款</w:t>
            </w:r>
          </w:p>
        </w:tc>
      </w:tr>
      <w:tr>
        <w:tblPrEx>
          <w:tblLayout w:type="fixed"/>
          <w:tblCellMar>
            <w:top w:w="0" w:type="dxa"/>
            <w:left w:w="0" w:type="dxa"/>
            <w:bottom w:w="0" w:type="dxa"/>
            <w:right w:w="0" w:type="dxa"/>
          </w:tblCellMar>
        </w:tblPrEx>
        <w:trPr>
          <w:trHeight w:val="90" w:hRule="atLeast"/>
        </w:trPr>
        <w:tc>
          <w:tcPr>
            <w:tcW w:w="26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一、一般公共预算财政拨款</w:t>
            </w: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w:t>
            </w:r>
            <w:r>
              <w:rPr>
                <w:rFonts w:hint="eastAsia" w:ascii="Times New Roman" w:hAnsi="Times New Roman" w:cs="Times New Roman"/>
                <w:color w:val="auto"/>
                <w:sz w:val="18"/>
                <w:szCs w:val="18"/>
                <w:highlight w:val="none"/>
                <w:lang w:eastAsia="zh-CN"/>
              </w:rPr>
              <w:t>，</w:t>
            </w:r>
            <w:r>
              <w:rPr>
                <w:rFonts w:hint="default" w:ascii="Times New Roman" w:hAnsi="Times New Roman" w:cs="Times New Roman"/>
                <w:color w:val="auto"/>
                <w:sz w:val="18"/>
                <w:szCs w:val="18"/>
                <w:highlight w:val="none"/>
              </w:rPr>
              <w:t>127.21</w:t>
            </w:r>
            <w:r>
              <w:rPr>
                <w:rFonts w:hint="default" w:ascii="Times New Roman" w:hAnsi="Times New Roman" w:cs="Times New Roman"/>
                <w:color w:val="auto"/>
                <w:sz w:val="18"/>
                <w:highlight w:val="none"/>
                <w:u w:color="auto"/>
              </w:rPr>
              <w:t xml:space="preserve"> </w:t>
            </w:r>
          </w:p>
        </w:tc>
        <w:tc>
          <w:tcPr>
            <w:tcW w:w="28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一、一般公共服务支出</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587.55</w:t>
            </w:r>
            <w:r>
              <w:rPr>
                <w:rFonts w:hint="default" w:ascii="Times New Roman" w:hAnsi="Times New Roman" w:cs="Times New Roman"/>
                <w:color w:val="auto"/>
                <w:sz w:val="18"/>
                <w:highlight w:val="none"/>
                <w:u w:color="auto"/>
              </w:rPr>
              <w:t xml:space="preserve"> </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587.55</w:t>
            </w:r>
            <w:r>
              <w:rPr>
                <w:rFonts w:hint="default" w:ascii="Times New Roman" w:hAnsi="Times New Roman" w:cs="Times New Roman"/>
                <w:color w:val="auto"/>
                <w:sz w:val="18"/>
                <w:highlight w:val="none"/>
                <w:u w:color="auto"/>
              </w:rPr>
              <w:t xml:space="preserve"> </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6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二、政府性基金预算财政拨款</w:t>
            </w: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67.47</w:t>
            </w:r>
            <w:r>
              <w:rPr>
                <w:rFonts w:hint="default" w:ascii="Times New Roman" w:hAnsi="Times New Roman" w:cs="Times New Roman"/>
                <w:color w:val="auto"/>
                <w:sz w:val="18"/>
                <w:highlight w:val="none"/>
                <w:u w:color="auto"/>
              </w:rPr>
              <w:t xml:space="preserve"> </w:t>
            </w:r>
          </w:p>
        </w:tc>
        <w:tc>
          <w:tcPr>
            <w:tcW w:w="28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二、外交支出</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6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三、国有资本经营预算财政拨款</w:t>
            </w: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8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三、国防支出</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w:t>
            </w:r>
            <w:r>
              <w:rPr>
                <w:rFonts w:hint="default" w:ascii="Times New Roman" w:hAnsi="Times New Roman" w:cs="Times New Roman"/>
                <w:color w:val="auto"/>
                <w:sz w:val="18"/>
                <w:highlight w:val="none"/>
                <w:u w:color="auto"/>
              </w:rPr>
              <w:t xml:space="preserve"> </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w:t>
            </w:r>
            <w:r>
              <w:rPr>
                <w:rFonts w:hint="default" w:ascii="Times New Roman" w:hAnsi="Times New Roman" w:cs="Times New Roman"/>
                <w:color w:val="auto"/>
                <w:sz w:val="18"/>
                <w:highlight w:val="none"/>
                <w:u w:color="auto"/>
              </w:rPr>
              <w:t xml:space="preserve"> </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6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18"/>
                <w:szCs w:val="18"/>
                <w:highlight w:val="none"/>
              </w:rPr>
            </w:pPr>
          </w:p>
        </w:tc>
        <w:tc>
          <w:tcPr>
            <w:tcW w:w="28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四、公共安全支出</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12.96</w:t>
            </w:r>
            <w:r>
              <w:rPr>
                <w:rFonts w:hint="default" w:ascii="Times New Roman" w:hAnsi="Times New Roman" w:cs="Times New Roman"/>
                <w:color w:val="auto"/>
                <w:sz w:val="18"/>
                <w:highlight w:val="none"/>
                <w:u w:color="auto"/>
              </w:rPr>
              <w:t xml:space="preserve"> </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12.96</w:t>
            </w:r>
            <w:r>
              <w:rPr>
                <w:rFonts w:hint="default" w:ascii="Times New Roman" w:hAnsi="Times New Roman" w:cs="Times New Roman"/>
                <w:color w:val="auto"/>
                <w:sz w:val="18"/>
                <w:highlight w:val="none"/>
                <w:u w:color="auto"/>
              </w:rPr>
              <w:t xml:space="preserve"> </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6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18"/>
                <w:szCs w:val="18"/>
                <w:highlight w:val="none"/>
              </w:rPr>
            </w:pPr>
          </w:p>
        </w:tc>
        <w:tc>
          <w:tcPr>
            <w:tcW w:w="28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五、教育支出</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9</w:t>
            </w:r>
            <w:r>
              <w:rPr>
                <w:rFonts w:hint="default" w:ascii="Times New Roman" w:hAnsi="Times New Roman" w:cs="Times New Roman"/>
                <w:color w:val="auto"/>
                <w:sz w:val="18"/>
                <w:highlight w:val="none"/>
                <w:u w:color="auto"/>
              </w:rPr>
              <w:t xml:space="preserve"> </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9</w:t>
            </w:r>
            <w:r>
              <w:rPr>
                <w:rFonts w:hint="default" w:ascii="Times New Roman" w:hAnsi="Times New Roman" w:cs="Times New Roman"/>
                <w:color w:val="auto"/>
                <w:sz w:val="18"/>
                <w:highlight w:val="none"/>
                <w:u w:color="auto"/>
              </w:rPr>
              <w:t xml:space="preserve"> </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6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18"/>
                <w:szCs w:val="18"/>
                <w:highlight w:val="none"/>
              </w:rPr>
            </w:pPr>
          </w:p>
        </w:tc>
        <w:tc>
          <w:tcPr>
            <w:tcW w:w="28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六、科学技术支出</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6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18"/>
                <w:szCs w:val="18"/>
                <w:highlight w:val="none"/>
              </w:rPr>
            </w:pPr>
          </w:p>
        </w:tc>
        <w:tc>
          <w:tcPr>
            <w:tcW w:w="28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七、文化旅游体育与传媒支出</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66.17</w:t>
            </w:r>
            <w:r>
              <w:rPr>
                <w:rFonts w:hint="default" w:ascii="Times New Roman" w:hAnsi="Times New Roman" w:cs="Times New Roman"/>
                <w:color w:val="auto"/>
                <w:sz w:val="18"/>
                <w:highlight w:val="none"/>
                <w:u w:color="auto"/>
              </w:rPr>
              <w:t xml:space="preserve"> </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66.17</w:t>
            </w:r>
            <w:r>
              <w:rPr>
                <w:rFonts w:hint="default" w:ascii="Times New Roman" w:hAnsi="Times New Roman" w:cs="Times New Roman"/>
                <w:color w:val="auto"/>
                <w:sz w:val="18"/>
                <w:highlight w:val="none"/>
                <w:u w:color="auto"/>
              </w:rPr>
              <w:t xml:space="preserve"> </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6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18"/>
                <w:szCs w:val="18"/>
                <w:highlight w:val="none"/>
              </w:rPr>
            </w:pPr>
          </w:p>
        </w:tc>
        <w:tc>
          <w:tcPr>
            <w:tcW w:w="28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八、社会保障和就业支出</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324.30</w:t>
            </w:r>
            <w:r>
              <w:rPr>
                <w:rFonts w:hint="default" w:ascii="Times New Roman" w:hAnsi="Times New Roman" w:cs="Times New Roman"/>
                <w:color w:val="auto"/>
                <w:sz w:val="18"/>
                <w:highlight w:val="none"/>
                <w:u w:color="auto"/>
              </w:rPr>
              <w:t xml:space="preserve"> </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282.30</w:t>
            </w:r>
            <w:r>
              <w:rPr>
                <w:rFonts w:hint="default" w:ascii="Times New Roman" w:hAnsi="Times New Roman" w:cs="Times New Roman"/>
                <w:color w:val="auto"/>
                <w:sz w:val="18"/>
                <w:highlight w:val="none"/>
                <w:u w:color="auto"/>
              </w:rPr>
              <w:t xml:space="preserve"> </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42</w:t>
            </w:r>
            <w:r>
              <w:rPr>
                <w:rFonts w:hint="default" w:ascii="Times New Roman" w:hAnsi="Times New Roman" w:cs="Times New Roman"/>
                <w:color w:val="auto"/>
                <w:sz w:val="18"/>
                <w:highlight w:val="none"/>
                <w:u w:color="auto"/>
              </w:rPr>
              <w:t xml:space="preserve"> </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6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18"/>
                <w:szCs w:val="18"/>
                <w:highlight w:val="none"/>
              </w:rPr>
            </w:pPr>
          </w:p>
        </w:tc>
        <w:tc>
          <w:tcPr>
            <w:tcW w:w="28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九、卫生健康支出</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59.37</w:t>
            </w:r>
            <w:r>
              <w:rPr>
                <w:rFonts w:hint="default" w:ascii="Times New Roman" w:hAnsi="Times New Roman" w:cs="Times New Roman"/>
                <w:color w:val="auto"/>
                <w:sz w:val="18"/>
                <w:highlight w:val="none"/>
                <w:u w:color="auto"/>
              </w:rPr>
              <w:t xml:space="preserve"> </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59.37</w:t>
            </w:r>
            <w:r>
              <w:rPr>
                <w:rFonts w:hint="default" w:ascii="Times New Roman" w:hAnsi="Times New Roman" w:cs="Times New Roman"/>
                <w:color w:val="auto"/>
                <w:sz w:val="18"/>
                <w:highlight w:val="none"/>
                <w:u w:color="auto"/>
              </w:rPr>
              <w:t xml:space="preserve"> </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6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outlineLvl w:val="9"/>
              <w:rPr>
                <w:rFonts w:hint="default" w:ascii="Times New Roman" w:hAnsi="Times New Roman" w:cs="Times New Roman"/>
                <w:color w:val="auto"/>
                <w:sz w:val="18"/>
                <w:szCs w:val="18"/>
                <w:highlight w:val="none"/>
              </w:rPr>
            </w:pPr>
          </w:p>
        </w:tc>
        <w:tc>
          <w:tcPr>
            <w:tcW w:w="28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十、节能环保支出</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58.54</w:t>
            </w:r>
            <w:r>
              <w:rPr>
                <w:rFonts w:hint="default" w:ascii="Times New Roman" w:hAnsi="Times New Roman" w:cs="Times New Roman"/>
                <w:color w:val="auto"/>
                <w:sz w:val="18"/>
                <w:highlight w:val="none"/>
                <w:u w:color="auto"/>
              </w:rPr>
              <w:t xml:space="preserve"> </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58.54</w:t>
            </w:r>
            <w:r>
              <w:rPr>
                <w:rFonts w:hint="default" w:ascii="Times New Roman" w:hAnsi="Times New Roman" w:cs="Times New Roman"/>
                <w:color w:val="auto"/>
                <w:sz w:val="18"/>
                <w:highlight w:val="none"/>
                <w:u w:color="auto"/>
              </w:rPr>
              <w:t xml:space="preserve"> </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6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outlineLvl w:val="9"/>
              <w:rPr>
                <w:rFonts w:hint="default" w:ascii="Times New Roman" w:hAnsi="Times New Roman" w:cs="Times New Roman"/>
                <w:color w:val="auto"/>
                <w:sz w:val="18"/>
                <w:szCs w:val="18"/>
                <w:highlight w:val="none"/>
              </w:rPr>
            </w:pPr>
          </w:p>
        </w:tc>
        <w:tc>
          <w:tcPr>
            <w:tcW w:w="28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十一、城乡社区支出</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120.50</w:t>
            </w:r>
            <w:r>
              <w:rPr>
                <w:rFonts w:hint="default" w:ascii="Times New Roman" w:hAnsi="Times New Roman" w:cs="Times New Roman"/>
                <w:color w:val="auto"/>
                <w:sz w:val="18"/>
                <w:highlight w:val="none"/>
                <w:u w:color="auto"/>
              </w:rPr>
              <w:t xml:space="preserve"> </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115.50</w:t>
            </w:r>
            <w:r>
              <w:rPr>
                <w:rFonts w:hint="default" w:ascii="Times New Roman" w:hAnsi="Times New Roman" w:cs="Times New Roman"/>
                <w:color w:val="auto"/>
                <w:sz w:val="18"/>
                <w:highlight w:val="none"/>
                <w:u w:color="auto"/>
              </w:rPr>
              <w:t xml:space="preserve"> </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5</w:t>
            </w:r>
            <w:r>
              <w:rPr>
                <w:rFonts w:hint="default" w:ascii="Times New Roman" w:hAnsi="Times New Roman" w:cs="Times New Roman"/>
                <w:color w:val="auto"/>
                <w:sz w:val="18"/>
                <w:highlight w:val="none"/>
                <w:u w:color="auto"/>
              </w:rPr>
              <w:t xml:space="preserve"> </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6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outlineLvl w:val="9"/>
              <w:rPr>
                <w:rFonts w:hint="default" w:ascii="Times New Roman" w:hAnsi="Times New Roman" w:cs="Times New Roman"/>
                <w:color w:val="auto"/>
                <w:sz w:val="18"/>
                <w:szCs w:val="18"/>
                <w:highlight w:val="none"/>
              </w:rPr>
            </w:pPr>
          </w:p>
        </w:tc>
        <w:tc>
          <w:tcPr>
            <w:tcW w:w="28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十二、农林水支出</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698.43</w:t>
            </w:r>
            <w:r>
              <w:rPr>
                <w:rFonts w:hint="default" w:ascii="Times New Roman" w:hAnsi="Times New Roman" w:cs="Times New Roman"/>
                <w:color w:val="auto"/>
                <w:sz w:val="18"/>
                <w:highlight w:val="none"/>
                <w:u w:color="auto"/>
              </w:rPr>
              <w:t xml:space="preserve"> </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677.95</w:t>
            </w:r>
            <w:r>
              <w:rPr>
                <w:rFonts w:hint="default" w:ascii="Times New Roman" w:hAnsi="Times New Roman" w:cs="Times New Roman"/>
                <w:color w:val="auto"/>
                <w:sz w:val="18"/>
                <w:highlight w:val="none"/>
                <w:u w:color="auto"/>
              </w:rPr>
              <w:t xml:space="preserve"> </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20.47</w:t>
            </w:r>
            <w:r>
              <w:rPr>
                <w:rFonts w:hint="default" w:ascii="Times New Roman" w:hAnsi="Times New Roman" w:cs="Times New Roman"/>
                <w:color w:val="auto"/>
                <w:sz w:val="18"/>
                <w:highlight w:val="none"/>
                <w:u w:color="auto"/>
              </w:rPr>
              <w:t xml:space="preserve"> </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6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outlineLvl w:val="9"/>
              <w:rPr>
                <w:rFonts w:hint="default" w:ascii="Times New Roman" w:hAnsi="Times New Roman" w:cs="Times New Roman"/>
                <w:color w:val="auto"/>
                <w:sz w:val="18"/>
                <w:szCs w:val="18"/>
                <w:highlight w:val="none"/>
              </w:rPr>
            </w:pPr>
          </w:p>
        </w:tc>
        <w:tc>
          <w:tcPr>
            <w:tcW w:w="28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十三、交通运输支出</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17.07</w:t>
            </w:r>
            <w:r>
              <w:rPr>
                <w:rFonts w:hint="default" w:ascii="Times New Roman" w:hAnsi="Times New Roman" w:cs="Times New Roman"/>
                <w:color w:val="auto"/>
                <w:sz w:val="18"/>
                <w:highlight w:val="none"/>
                <w:u w:color="auto"/>
              </w:rPr>
              <w:t xml:space="preserve"> </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17.07</w:t>
            </w:r>
            <w:r>
              <w:rPr>
                <w:rFonts w:hint="default" w:ascii="Times New Roman" w:hAnsi="Times New Roman" w:cs="Times New Roman"/>
                <w:color w:val="auto"/>
                <w:sz w:val="18"/>
                <w:highlight w:val="none"/>
                <w:u w:color="auto"/>
              </w:rPr>
              <w:t xml:space="preserve"> </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6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outlineLvl w:val="9"/>
              <w:rPr>
                <w:rFonts w:hint="default" w:ascii="Times New Roman" w:hAnsi="Times New Roman" w:cs="Times New Roman"/>
                <w:color w:val="auto"/>
                <w:sz w:val="18"/>
                <w:szCs w:val="18"/>
                <w:highlight w:val="none"/>
              </w:rPr>
            </w:pPr>
          </w:p>
        </w:tc>
        <w:tc>
          <w:tcPr>
            <w:tcW w:w="28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十四、资源勘探工业信息等支出</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6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outlineLvl w:val="9"/>
              <w:rPr>
                <w:rFonts w:hint="default" w:ascii="Times New Roman" w:hAnsi="Times New Roman" w:cs="Times New Roman"/>
                <w:color w:val="auto"/>
                <w:sz w:val="18"/>
                <w:szCs w:val="18"/>
                <w:highlight w:val="none"/>
              </w:rPr>
            </w:pPr>
          </w:p>
        </w:tc>
        <w:tc>
          <w:tcPr>
            <w:tcW w:w="28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十五、商业服务业等支出</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6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outlineLvl w:val="9"/>
              <w:rPr>
                <w:rFonts w:hint="default" w:ascii="Times New Roman" w:hAnsi="Times New Roman" w:cs="Times New Roman"/>
                <w:color w:val="auto"/>
                <w:sz w:val="18"/>
                <w:szCs w:val="18"/>
                <w:highlight w:val="none"/>
              </w:rPr>
            </w:pPr>
          </w:p>
        </w:tc>
        <w:tc>
          <w:tcPr>
            <w:tcW w:w="28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十六、金融支出</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6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outlineLvl w:val="9"/>
              <w:rPr>
                <w:rFonts w:hint="default" w:ascii="Times New Roman" w:hAnsi="Times New Roman" w:cs="Times New Roman"/>
                <w:color w:val="auto"/>
                <w:sz w:val="18"/>
                <w:szCs w:val="18"/>
                <w:highlight w:val="none"/>
              </w:rPr>
            </w:pPr>
          </w:p>
        </w:tc>
        <w:tc>
          <w:tcPr>
            <w:tcW w:w="28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十七、援助其他地区支出</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6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outlineLvl w:val="9"/>
              <w:rPr>
                <w:rFonts w:hint="default" w:ascii="Times New Roman" w:hAnsi="Times New Roman" w:cs="Times New Roman"/>
                <w:color w:val="auto"/>
                <w:sz w:val="18"/>
                <w:szCs w:val="18"/>
                <w:highlight w:val="none"/>
              </w:rPr>
            </w:pPr>
          </w:p>
        </w:tc>
        <w:tc>
          <w:tcPr>
            <w:tcW w:w="28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十八、自然资源海洋气象等支出</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89.97</w:t>
            </w:r>
            <w:r>
              <w:rPr>
                <w:rFonts w:hint="default" w:ascii="Times New Roman" w:hAnsi="Times New Roman" w:cs="Times New Roman"/>
                <w:color w:val="auto"/>
                <w:sz w:val="18"/>
                <w:highlight w:val="none"/>
                <w:u w:color="auto"/>
              </w:rPr>
              <w:t xml:space="preserve"> </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89.97</w:t>
            </w:r>
            <w:r>
              <w:rPr>
                <w:rFonts w:hint="default" w:ascii="Times New Roman" w:hAnsi="Times New Roman" w:cs="Times New Roman"/>
                <w:color w:val="auto"/>
                <w:sz w:val="18"/>
                <w:highlight w:val="none"/>
                <w:u w:color="auto"/>
              </w:rPr>
              <w:t xml:space="preserve"> </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6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outlineLvl w:val="9"/>
              <w:rPr>
                <w:rFonts w:hint="default" w:ascii="Times New Roman" w:hAnsi="Times New Roman" w:cs="Times New Roman"/>
                <w:color w:val="auto"/>
                <w:sz w:val="18"/>
                <w:szCs w:val="18"/>
                <w:highlight w:val="none"/>
              </w:rPr>
            </w:pPr>
          </w:p>
        </w:tc>
        <w:tc>
          <w:tcPr>
            <w:tcW w:w="28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十九、住房保障支出</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70.40</w:t>
            </w:r>
            <w:r>
              <w:rPr>
                <w:rFonts w:hint="default" w:ascii="Times New Roman" w:hAnsi="Times New Roman" w:cs="Times New Roman"/>
                <w:color w:val="auto"/>
                <w:sz w:val="18"/>
                <w:highlight w:val="none"/>
                <w:u w:color="auto"/>
              </w:rPr>
              <w:t xml:space="preserve"> </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70.40</w:t>
            </w:r>
            <w:r>
              <w:rPr>
                <w:rFonts w:hint="default" w:ascii="Times New Roman" w:hAnsi="Times New Roman" w:cs="Times New Roman"/>
                <w:color w:val="auto"/>
                <w:sz w:val="18"/>
                <w:highlight w:val="none"/>
                <w:u w:color="auto"/>
              </w:rPr>
              <w:t xml:space="preserve"> </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6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outlineLvl w:val="9"/>
              <w:rPr>
                <w:rFonts w:hint="default" w:ascii="Times New Roman" w:hAnsi="Times New Roman" w:cs="Times New Roman"/>
                <w:color w:val="auto"/>
                <w:sz w:val="18"/>
                <w:szCs w:val="18"/>
                <w:highlight w:val="none"/>
              </w:rPr>
            </w:pPr>
          </w:p>
        </w:tc>
        <w:tc>
          <w:tcPr>
            <w:tcW w:w="28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二十、粮油物资储备支出</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6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outlineLvl w:val="9"/>
              <w:rPr>
                <w:rFonts w:hint="default" w:ascii="Times New Roman" w:hAnsi="Times New Roman" w:cs="Times New Roman"/>
                <w:color w:val="auto"/>
                <w:sz w:val="18"/>
                <w:szCs w:val="18"/>
                <w:highlight w:val="none"/>
              </w:rPr>
            </w:pPr>
          </w:p>
        </w:tc>
        <w:tc>
          <w:tcPr>
            <w:tcW w:w="28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二十一、国有资本经营预算支出</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6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outlineLvl w:val="9"/>
              <w:rPr>
                <w:rFonts w:hint="default" w:ascii="Times New Roman" w:hAnsi="Times New Roman" w:cs="Times New Roman"/>
                <w:color w:val="auto"/>
                <w:sz w:val="18"/>
                <w:szCs w:val="18"/>
                <w:highlight w:val="none"/>
              </w:rPr>
            </w:pPr>
          </w:p>
        </w:tc>
        <w:tc>
          <w:tcPr>
            <w:tcW w:w="28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二十二、灾害防治及应急管理支出</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34.76</w:t>
            </w:r>
            <w:r>
              <w:rPr>
                <w:rFonts w:hint="default" w:ascii="Times New Roman" w:hAnsi="Times New Roman" w:cs="Times New Roman"/>
                <w:color w:val="auto"/>
                <w:sz w:val="18"/>
                <w:highlight w:val="none"/>
                <w:u w:color="auto"/>
              </w:rPr>
              <w:t xml:space="preserve"> </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34.76</w:t>
            </w:r>
            <w:r>
              <w:rPr>
                <w:rFonts w:hint="default" w:ascii="Times New Roman" w:hAnsi="Times New Roman" w:cs="Times New Roman"/>
                <w:color w:val="auto"/>
                <w:sz w:val="18"/>
                <w:highlight w:val="none"/>
                <w:u w:color="auto"/>
              </w:rPr>
              <w:t xml:space="preserve"> </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6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outlineLvl w:val="9"/>
              <w:rPr>
                <w:rFonts w:hint="default" w:ascii="Times New Roman" w:hAnsi="Times New Roman" w:cs="Times New Roman"/>
                <w:color w:val="auto"/>
                <w:sz w:val="18"/>
                <w:szCs w:val="18"/>
                <w:highlight w:val="none"/>
              </w:rPr>
            </w:pPr>
          </w:p>
        </w:tc>
        <w:tc>
          <w:tcPr>
            <w:tcW w:w="28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二十三、其他支出</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67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outlineLvl w:val="9"/>
              <w:rPr>
                <w:rFonts w:hint="default" w:ascii="Times New Roman" w:hAnsi="Times New Roman" w:cs="Times New Roman"/>
                <w:color w:val="auto"/>
                <w:sz w:val="18"/>
                <w:szCs w:val="18"/>
                <w:highlight w:val="none"/>
              </w:rPr>
            </w:pPr>
          </w:p>
        </w:tc>
        <w:tc>
          <w:tcPr>
            <w:tcW w:w="28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二十四、债务还本支出</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67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outlineLvl w:val="9"/>
              <w:rPr>
                <w:rFonts w:hint="default" w:ascii="Times New Roman" w:hAnsi="Times New Roman" w:cs="Times New Roman"/>
                <w:color w:val="auto"/>
                <w:sz w:val="18"/>
                <w:szCs w:val="18"/>
                <w:highlight w:val="none"/>
              </w:rPr>
            </w:pPr>
          </w:p>
        </w:tc>
        <w:tc>
          <w:tcPr>
            <w:tcW w:w="28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二十五、债务付息支出</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67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outlineLvl w:val="9"/>
              <w:rPr>
                <w:rFonts w:hint="default" w:ascii="Times New Roman" w:hAnsi="Times New Roman" w:cs="Times New Roman"/>
                <w:color w:val="auto"/>
                <w:sz w:val="18"/>
                <w:szCs w:val="18"/>
                <w:highlight w:val="none"/>
              </w:rPr>
            </w:pPr>
          </w:p>
        </w:tc>
        <w:tc>
          <w:tcPr>
            <w:tcW w:w="28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二十六、抗疫特别国债安排的支出</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6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本年收入合计</w:t>
            </w: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w:t>
            </w:r>
            <w:r>
              <w:rPr>
                <w:rFonts w:hint="eastAsia" w:ascii="Times New Roman" w:hAnsi="Times New Roman" w:cs="Times New Roman"/>
                <w:color w:val="auto"/>
                <w:sz w:val="18"/>
                <w:szCs w:val="18"/>
                <w:highlight w:val="none"/>
                <w:lang w:eastAsia="zh-CN"/>
              </w:rPr>
              <w:t>，</w:t>
            </w:r>
            <w:r>
              <w:rPr>
                <w:rFonts w:hint="default" w:ascii="Times New Roman" w:hAnsi="Times New Roman" w:cs="Times New Roman"/>
                <w:color w:val="auto"/>
                <w:sz w:val="18"/>
                <w:szCs w:val="18"/>
                <w:highlight w:val="none"/>
              </w:rPr>
              <w:t>194.68</w:t>
            </w:r>
            <w:r>
              <w:rPr>
                <w:rFonts w:hint="default" w:ascii="Times New Roman" w:hAnsi="Times New Roman" w:cs="Times New Roman"/>
                <w:color w:val="auto"/>
                <w:sz w:val="18"/>
                <w:highlight w:val="none"/>
                <w:u w:color="auto"/>
              </w:rPr>
              <w:t xml:space="preserve"> </w:t>
            </w:r>
          </w:p>
        </w:tc>
        <w:tc>
          <w:tcPr>
            <w:tcW w:w="28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本年支出合计</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w:t>
            </w:r>
            <w:r>
              <w:rPr>
                <w:rFonts w:hint="eastAsia" w:ascii="Times New Roman" w:hAnsi="Times New Roman" w:cs="Times New Roman"/>
                <w:color w:val="auto"/>
                <w:sz w:val="18"/>
                <w:szCs w:val="18"/>
                <w:highlight w:val="none"/>
                <w:lang w:eastAsia="zh-CN"/>
              </w:rPr>
              <w:t>，</w:t>
            </w:r>
            <w:r>
              <w:rPr>
                <w:rFonts w:hint="default" w:ascii="Times New Roman" w:hAnsi="Times New Roman" w:cs="Times New Roman"/>
                <w:color w:val="auto"/>
                <w:sz w:val="18"/>
                <w:szCs w:val="18"/>
                <w:highlight w:val="none"/>
              </w:rPr>
              <w:t>152.02</w:t>
            </w:r>
            <w:r>
              <w:rPr>
                <w:rFonts w:hint="default" w:ascii="Times New Roman" w:hAnsi="Times New Roman" w:cs="Times New Roman"/>
                <w:color w:val="auto"/>
                <w:sz w:val="18"/>
                <w:highlight w:val="none"/>
                <w:u w:color="auto"/>
              </w:rPr>
              <w:t xml:space="preserve"> </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w:t>
            </w:r>
            <w:r>
              <w:rPr>
                <w:rFonts w:hint="eastAsia" w:ascii="Times New Roman" w:hAnsi="Times New Roman" w:cs="Times New Roman"/>
                <w:color w:val="auto"/>
                <w:sz w:val="18"/>
                <w:szCs w:val="18"/>
                <w:highlight w:val="none"/>
                <w:lang w:eastAsia="zh-CN"/>
              </w:rPr>
              <w:t>，</w:t>
            </w:r>
            <w:r>
              <w:rPr>
                <w:rFonts w:hint="default" w:ascii="Times New Roman" w:hAnsi="Times New Roman" w:cs="Times New Roman"/>
                <w:color w:val="auto"/>
                <w:sz w:val="18"/>
                <w:szCs w:val="18"/>
                <w:highlight w:val="none"/>
              </w:rPr>
              <w:t>084.54</w:t>
            </w:r>
            <w:r>
              <w:rPr>
                <w:rFonts w:hint="default" w:ascii="Times New Roman" w:hAnsi="Times New Roman" w:cs="Times New Roman"/>
                <w:color w:val="auto"/>
                <w:sz w:val="18"/>
                <w:highlight w:val="none"/>
                <w:u w:color="auto"/>
              </w:rPr>
              <w:t xml:space="preserve"> </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67.47</w:t>
            </w:r>
            <w:r>
              <w:rPr>
                <w:rFonts w:hint="default" w:ascii="Times New Roman" w:hAnsi="Times New Roman" w:cs="Times New Roman"/>
                <w:color w:val="auto"/>
                <w:sz w:val="18"/>
                <w:highlight w:val="none"/>
                <w:u w:color="auto"/>
              </w:rPr>
              <w:t xml:space="preserve"> </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6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年初财政拨款结转和结余</w:t>
            </w: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6.91</w:t>
            </w:r>
            <w:r>
              <w:rPr>
                <w:rFonts w:hint="default" w:ascii="Times New Roman" w:hAnsi="Times New Roman" w:cs="Times New Roman"/>
                <w:color w:val="auto"/>
                <w:sz w:val="18"/>
                <w:highlight w:val="none"/>
                <w:u w:color="auto"/>
              </w:rPr>
              <w:t xml:space="preserve"> </w:t>
            </w:r>
          </w:p>
        </w:tc>
        <w:tc>
          <w:tcPr>
            <w:tcW w:w="28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年末财政拨款结转和结余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49.57</w:t>
            </w:r>
            <w:r>
              <w:rPr>
                <w:rFonts w:hint="default" w:ascii="Times New Roman" w:hAnsi="Times New Roman" w:cs="Times New Roman"/>
                <w:color w:val="auto"/>
                <w:sz w:val="18"/>
                <w:highlight w:val="none"/>
                <w:u w:color="auto"/>
              </w:rPr>
              <w:t xml:space="preserve"> </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49.57</w:t>
            </w:r>
            <w:r>
              <w:rPr>
                <w:rFonts w:hint="default" w:ascii="Times New Roman" w:hAnsi="Times New Roman" w:cs="Times New Roman"/>
                <w:color w:val="auto"/>
                <w:sz w:val="18"/>
                <w:highlight w:val="none"/>
                <w:u w:color="auto"/>
              </w:rPr>
              <w:t xml:space="preserve"> </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6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一般公共预算财政拨款</w:t>
            </w: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6.91</w:t>
            </w:r>
            <w:r>
              <w:rPr>
                <w:rFonts w:hint="default" w:ascii="Times New Roman" w:hAnsi="Times New Roman" w:cs="Times New Roman"/>
                <w:color w:val="auto"/>
                <w:sz w:val="18"/>
                <w:highlight w:val="none"/>
                <w:u w:color="auto"/>
              </w:rPr>
              <w:t xml:space="preserve"> </w:t>
            </w:r>
          </w:p>
        </w:tc>
        <w:tc>
          <w:tcPr>
            <w:tcW w:w="286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18"/>
                <w:szCs w:val="18"/>
                <w:highlight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18"/>
                <w:szCs w:val="18"/>
                <w:highlight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18"/>
                <w:szCs w:val="18"/>
                <w:highlight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18"/>
                <w:szCs w:val="18"/>
                <w:highlight w:val="none"/>
              </w:rPr>
            </w:pP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18"/>
                <w:szCs w:val="18"/>
                <w:highlight w:val="none"/>
              </w:rPr>
            </w:pPr>
          </w:p>
        </w:tc>
      </w:tr>
      <w:tr>
        <w:tblPrEx>
          <w:tblLayout w:type="fixed"/>
          <w:tblCellMar>
            <w:top w:w="0" w:type="dxa"/>
            <w:left w:w="0" w:type="dxa"/>
            <w:bottom w:w="0" w:type="dxa"/>
            <w:right w:w="0" w:type="dxa"/>
          </w:tblCellMar>
        </w:tblPrEx>
        <w:trPr>
          <w:trHeight w:val="90" w:hRule="atLeast"/>
        </w:trPr>
        <w:tc>
          <w:tcPr>
            <w:tcW w:w="26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政府性基金预算财政拨款</w:t>
            </w: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8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18"/>
                <w:szCs w:val="18"/>
                <w:highlight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outlineLvl w:val="9"/>
              <w:rPr>
                <w:rFonts w:hint="default" w:ascii="Times New Roman" w:hAnsi="Times New Roman" w:cs="Times New Roman"/>
                <w:color w:val="auto"/>
                <w:sz w:val="18"/>
                <w:szCs w:val="18"/>
                <w:highlight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outlineLvl w:val="9"/>
              <w:rPr>
                <w:rFonts w:hint="default" w:ascii="Times New Roman" w:hAnsi="Times New Roman" w:cs="Times New Roman"/>
                <w:color w:val="auto"/>
                <w:sz w:val="18"/>
                <w:szCs w:val="18"/>
                <w:highlight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outlineLvl w:val="9"/>
              <w:rPr>
                <w:rFonts w:hint="default" w:ascii="Times New Roman" w:hAnsi="Times New Roman" w:cs="Times New Roman"/>
                <w:color w:val="auto"/>
                <w:sz w:val="18"/>
                <w:szCs w:val="18"/>
                <w:highlight w:val="none"/>
              </w:rPr>
            </w:pP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outlineLvl w:val="9"/>
              <w:rPr>
                <w:rFonts w:hint="default" w:ascii="Times New Roman" w:hAnsi="Times New Roman" w:cs="Times New Roman"/>
                <w:color w:val="auto"/>
                <w:sz w:val="18"/>
                <w:szCs w:val="18"/>
                <w:highlight w:val="none"/>
              </w:rPr>
            </w:pPr>
          </w:p>
        </w:tc>
      </w:tr>
      <w:tr>
        <w:tblPrEx>
          <w:tblLayout w:type="fixed"/>
          <w:tblCellMar>
            <w:top w:w="0" w:type="dxa"/>
            <w:left w:w="0" w:type="dxa"/>
            <w:bottom w:w="0" w:type="dxa"/>
            <w:right w:w="0" w:type="dxa"/>
          </w:tblCellMar>
        </w:tblPrEx>
        <w:trPr>
          <w:trHeight w:val="90" w:hRule="atLeast"/>
        </w:trPr>
        <w:tc>
          <w:tcPr>
            <w:tcW w:w="26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国有资本经营预算财政拨款</w:t>
            </w: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8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18"/>
                <w:szCs w:val="18"/>
                <w:highlight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outlineLvl w:val="9"/>
              <w:rPr>
                <w:rFonts w:hint="default" w:ascii="Times New Roman" w:hAnsi="Times New Roman" w:cs="Times New Roman"/>
                <w:color w:val="auto"/>
                <w:sz w:val="18"/>
                <w:szCs w:val="18"/>
                <w:highlight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outlineLvl w:val="9"/>
              <w:rPr>
                <w:rFonts w:hint="default" w:ascii="Times New Roman" w:hAnsi="Times New Roman" w:cs="Times New Roman"/>
                <w:color w:val="auto"/>
                <w:sz w:val="18"/>
                <w:szCs w:val="18"/>
                <w:highlight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outlineLvl w:val="9"/>
              <w:rPr>
                <w:rFonts w:hint="default" w:ascii="Times New Roman" w:hAnsi="Times New Roman" w:cs="Times New Roman"/>
                <w:color w:val="auto"/>
                <w:sz w:val="18"/>
                <w:szCs w:val="18"/>
                <w:highlight w:val="none"/>
              </w:rPr>
            </w:pP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outlineLvl w:val="9"/>
              <w:rPr>
                <w:rFonts w:hint="default" w:ascii="Times New Roman" w:hAnsi="Times New Roman" w:cs="Times New Roman"/>
                <w:color w:val="auto"/>
                <w:sz w:val="18"/>
                <w:szCs w:val="18"/>
                <w:highlight w:val="none"/>
              </w:rPr>
            </w:pPr>
          </w:p>
        </w:tc>
      </w:tr>
      <w:tr>
        <w:tblPrEx>
          <w:tblLayout w:type="fixed"/>
          <w:tblCellMar>
            <w:top w:w="0" w:type="dxa"/>
            <w:left w:w="0" w:type="dxa"/>
            <w:bottom w:w="0" w:type="dxa"/>
            <w:right w:w="0" w:type="dxa"/>
          </w:tblCellMar>
        </w:tblPrEx>
        <w:trPr>
          <w:trHeight w:val="90" w:hRule="atLeast"/>
        </w:trPr>
        <w:tc>
          <w:tcPr>
            <w:tcW w:w="26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总计</w:t>
            </w: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w:t>
            </w:r>
            <w:r>
              <w:rPr>
                <w:rFonts w:hint="eastAsia" w:ascii="Times New Roman" w:hAnsi="Times New Roman" w:cs="Times New Roman"/>
                <w:color w:val="auto"/>
                <w:sz w:val="18"/>
                <w:szCs w:val="18"/>
                <w:highlight w:val="none"/>
                <w:lang w:eastAsia="zh-CN"/>
              </w:rPr>
              <w:t>，</w:t>
            </w:r>
            <w:r>
              <w:rPr>
                <w:rFonts w:hint="default" w:ascii="Times New Roman" w:hAnsi="Times New Roman" w:cs="Times New Roman"/>
                <w:color w:val="auto"/>
                <w:sz w:val="18"/>
                <w:szCs w:val="18"/>
                <w:highlight w:val="none"/>
              </w:rPr>
              <w:t>201.58</w:t>
            </w:r>
            <w:r>
              <w:rPr>
                <w:rFonts w:hint="default" w:ascii="Times New Roman" w:hAnsi="Times New Roman" w:cs="Times New Roman"/>
                <w:color w:val="auto"/>
                <w:sz w:val="18"/>
                <w:highlight w:val="none"/>
                <w:u w:color="auto"/>
              </w:rPr>
              <w:t xml:space="preserve"> </w:t>
            </w:r>
          </w:p>
        </w:tc>
        <w:tc>
          <w:tcPr>
            <w:tcW w:w="286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总计</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w:t>
            </w:r>
            <w:r>
              <w:rPr>
                <w:rFonts w:hint="eastAsia" w:ascii="Times New Roman" w:hAnsi="Times New Roman" w:cs="Times New Roman"/>
                <w:color w:val="auto"/>
                <w:sz w:val="18"/>
                <w:szCs w:val="18"/>
                <w:highlight w:val="none"/>
                <w:lang w:eastAsia="zh-CN"/>
              </w:rPr>
              <w:t>，</w:t>
            </w:r>
            <w:r>
              <w:rPr>
                <w:rFonts w:hint="default" w:ascii="Times New Roman" w:hAnsi="Times New Roman" w:cs="Times New Roman"/>
                <w:color w:val="auto"/>
                <w:sz w:val="18"/>
                <w:szCs w:val="18"/>
                <w:highlight w:val="none"/>
              </w:rPr>
              <w:t>201.58</w:t>
            </w:r>
            <w:r>
              <w:rPr>
                <w:rFonts w:hint="default" w:ascii="Times New Roman" w:hAnsi="Times New Roman" w:cs="Times New Roman"/>
                <w:color w:val="auto"/>
                <w:sz w:val="18"/>
                <w:highlight w:val="none"/>
                <w:u w:color="auto"/>
              </w:rPr>
              <w:t xml:space="preserve"> </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w:t>
            </w:r>
            <w:r>
              <w:rPr>
                <w:rFonts w:hint="eastAsia" w:ascii="Times New Roman" w:hAnsi="Times New Roman" w:cs="Times New Roman"/>
                <w:color w:val="auto"/>
                <w:sz w:val="18"/>
                <w:szCs w:val="18"/>
                <w:highlight w:val="none"/>
                <w:lang w:eastAsia="zh-CN"/>
              </w:rPr>
              <w:t>，</w:t>
            </w:r>
            <w:r>
              <w:rPr>
                <w:rFonts w:hint="default" w:ascii="Times New Roman" w:hAnsi="Times New Roman" w:cs="Times New Roman"/>
                <w:color w:val="auto"/>
                <w:sz w:val="18"/>
                <w:szCs w:val="18"/>
                <w:highlight w:val="none"/>
              </w:rPr>
              <w:t>134.11</w:t>
            </w:r>
            <w:r>
              <w:rPr>
                <w:rFonts w:hint="default" w:ascii="Times New Roman" w:hAnsi="Times New Roman" w:cs="Times New Roman"/>
                <w:color w:val="auto"/>
                <w:sz w:val="18"/>
                <w:highlight w:val="none"/>
                <w:u w:color="auto"/>
              </w:rPr>
              <w:t xml:space="preserve"> </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67.47</w:t>
            </w:r>
            <w:r>
              <w:rPr>
                <w:rFonts w:hint="default" w:ascii="Times New Roman" w:hAnsi="Times New Roman" w:cs="Times New Roman"/>
                <w:color w:val="auto"/>
                <w:sz w:val="18"/>
                <w:highlight w:val="none"/>
                <w:u w:color="auto"/>
              </w:rPr>
              <w:t xml:space="preserve"> </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bl>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备注：1.本表反映部门本年度一般公共预算财政拨款、政府性基金预算财政拨款及国有资本经营预算财政拨款的总收支和年末结转结余情况。</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t xml:space="preserve">      2.本套报表金额单位转换时可能存在尾数误差。</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1"/>
          <w:szCs w:val="21"/>
          <w:highlight w:val="none"/>
        </w:rPr>
        <w:br w:type="page"/>
      </w:r>
    </w:p>
    <w:tbl>
      <w:tblPr>
        <w:tblStyle w:val="12"/>
        <w:tblW w:w="13213" w:type="dxa"/>
        <w:tblInd w:w="0" w:type="dxa"/>
        <w:tblLayout w:type="fixed"/>
        <w:tblCellMar>
          <w:top w:w="0" w:type="dxa"/>
          <w:left w:w="0" w:type="dxa"/>
          <w:bottom w:w="0" w:type="dxa"/>
          <w:right w:w="0" w:type="dxa"/>
        </w:tblCellMar>
      </w:tblPr>
      <w:tblGrid>
        <w:gridCol w:w="1597"/>
        <w:gridCol w:w="3049"/>
        <w:gridCol w:w="2851"/>
        <w:gridCol w:w="2851"/>
        <w:gridCol w:w="2865"/>
      </w:tblGrid>
      <w:tr>
        <w:tblPrEx>
          <w:tblLayout w:type="fixed"/>
          <w:tblCellMar>
            <w:top w:w="0" w:type="dxa"/>
            <w:left w:w="0" w:type="dxa"/>
            <w:bottom w:w="0" w:type="dxa"/>
            <w:right w:w="0" w:type="dxa"/>
          </w:tblCellMar>
        </w:tblPrEx>
        <w:trPr>
          <w:trHeight w:val="510" w:hRule="atLeast"/>
        </w:trPr>
        <w:tc>
          <w:tcPr>
            <w:tcW w:w="13213" w:type="dxa"/>
            <w:gridSpan w:val="5"/>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bottom"/>
              <w:outlineLvl w:val="9"/>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一般公共预算财政拨款支出决算表</w:t>
            </w:r>
          </w:p>
        </w:tc>
      </w:tr>
      <w:tr>
        <w:tblPrEx>
          <w:tblLayout w:type="fixed"/>
          <w:tblCellMar>
            <w:top w:w="0" w:type="dxa"/>
            <w:left w:w="0" w:type="dxa"/>
            <w:bottom w:w="0" w:type="dxa"/>
            <w:right w:w="0" w:type="dxa"/>
          </w:tblCellMar>
        </w:tblPrEx>
        <w:trPr>
          <w:trHeight w:val="255" w:hRule="atLeast"/>
        </w:trPr>
        <w:tc>
          <w:tcPr>
            <w:tcW w:w="4646"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公开部门： </w:t>
            </w:r>
            <w:r>
              <w:rPr>
                <w:rFonts w:hint="default" w:ascii="Times New Roman" w:hAnsi="Times New Roman" w:cs="Times New Roman"/>
                <w:color w:val="auto"/>
                <w:sz w:val="20"/>
                <w:highlight w:val="none"/>
                <w:u w:color="auto"/>
              </w:rPr>
              <w:t>重庆市秀山土家族苗族自治县石耶镇人民政府</w:t>
            </w:r>
          </w:p>
        </w:tc>
        <w:tc>
          <w:tcPr>
            <w:tcW w:w="285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20"/>
                <w:szCs w:val="20"/>
                <w:highlight w:val="none"/>
              </w:rPr>
            </w:pPr>
          </w:p>
        </w:tc>
        <w:tc>
          <w:tcPr>
            <w:tcW w:w="285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20"/>
                <w:szCs w:val="20"/>
                <w:highlight w:val="none"/>
              </w:rPr>
            </w:pPr>
          </w:p>
        </w:tc>
        <w:tc>
          <w:tcPr>
            <w:tcW w:w="286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公开05表</w:t>
            </w:r>
          </w:p>
        </w:tc>
      </w:tr>
      <w:tr>
        <w:tblPrEx>
          <w:tblLayout w:type="fixed"/>
          <w:tblCellMar>
            <w:top w:w="0" w:type="dxa"/>
            <w:left w:w="0" w:type="dxa"/>
            <w:bottom w:w="0" w:type="dxa"/>
            <w:right w:w="0" w:type="dxa"/>
          </w:tblCellMar>
        </w:tblPrEx>
        <w:trPr>
          <w:trHeight w:val="285" w:hRule="atLeast"/>
        </w:trPr>
        <w:tc>
          <w:tcPr>
            <w:tcW w:w="4646"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20"/>
                <w:szCs w:val="20"/>
                <w:highlight w:val="none"/>
              </w:rPr>
            </w:pPr>
          </w:p>
        </w:tc>
        <w:tc>
          <w:tcPr>
            <w:tcW w:w="285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20"/>
                <w:szCs w:val="20"/>
                <w:highlight w:val="none"/>
              </w:rPr>
            </w:pPr>
          </w:p>
        </w:tc>
        <w:tc>
          <w:tcPr>
            <w:tcW w:w="285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20"/>
                <w:szCs w:val="20"/>
                <w:highlight w:val="none"/>
              </w:rPr>
            </w:pPr>
          </w:p>
        </w:tc>
        <w:tc>
          <w:tcPr>
            <w:tcW w:w="286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tblPrEx>
          <w:tblLayout w:type="fixed"/>
          <w:tblCellMar>
            <w:top w:w="0" w:type="dxa"/>
            <w:left w:w="0" w:type="dxa"/>
            <w:bottom w:w="0" w:type="dxa"/>
            <w:right w:w="0" w:type="dxa"/>
          </w:tblCellMar>
        </w:tblPrEx>
        <w:trPr>
          <w:trHeight w:val="308" w:hRule="atLeast"/>
        </w:trPr>
        <w:tc>
          <w:tcPr>
            <w:tcW w:w="464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w:t>
            </w:r>
          </w:p>
        </w:tc>
        <w:tc>
          <w:tcPr>
            <w:tcW w:w="8567"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本年支出</w:t>
            </w:r>
          </w:p>
        </w:tc>
      </w:tr>
      <w:tr>
        <w:tblPrEx>
          <w:tblLayout w:type="fixed"/>
          <w:tblCellMar>
            <w:top w:w="0" w:type="dxa"/>
            <w:left w:w="0" w:type="dxa"/>
            <w:bottom w:w="0" w:type="dxa"/>
            <w:right w:w="0" w:type="dxa"/>
          </w:tblCellMar>
        </w:tblPrEx>
        <w:trPr>
          <w:trHeight w:val="326" w:hRule="atLeast"/>
        </w:trPr>
        <w:tc>
          <w:tcPr>
            <w:tcW w:w="159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功能分类科目编码</w:t>
            </w:r>
          </w:p>
        </w:tc>
        <w:tc>
          <w:tcPr>
            <w:tcW w:w="30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项目（按</w:t>
            </w:r>
            <w:r>
              <w:rPr>
                <w:rFonts w:hint="eastAsia" w:ascii="Times New Roman" w:hAnsi="Times New Roman" w:cs="Times New Roman"/>
                <w:b/>
                <w:color w:val="auto"/>
                <w:sz w:val="20"/>
                <w:szCs w:val="20"/>
                <w:highlight w:val="none"/>
                <w:lang w:eastAsia="zh-CN"/>
              </w:rPr>
              <w:t>“</w:t>
            </w:r>
            <w:r>
              <w:rPr>
                <w:rFonts w:hint="default" w:ascii="Times New Roman" w:hAnsi="Times New Roman" w:cs="Times New Roman"/>
                <w:b/>
                <w:color w:val="auto"/>
                <w:sz w:val="20"/>
                <w:szCs w:val="20"/>
                <w:highlight w:val="none"/>
              </w:rPr>
              <w:t>项</w:t>
            </w:r>
            <w:r>
              <w:rPr>
                <w:rFonts w:hint="eastAsia" w:ascii="Times New Roman" w:hAnsi="Times New Roman" w:cs="Times New Roman"/>
                <w:b/>
                <w:color w:val="auto"/>
                <w:sz w:val="20"/>
                <w:szCs w:val="20"/>
                <w:highlight w:val="none"/>
                <w:lang w:eastAsia="zh-CN"/>
              </w:rPr>
              <w:t>”</w:t>
            </w:r>
            <w:r>
              <w:rPr>
                <w:rFonts w:hint="default" w:ascii="Times New Roman" w:hAnsi="Times New Roman" w:cs="Times New Roman"/>
                <w:b/>
                <w:color w:val="auto"/>
                <w:sz w:val="20"/>
                <w:szCs w:val="20"/>
                <w:highlight w:val="none"/>
              </w:rPr>
              <w:t>级功能分类科目）</w:t>
            </w:r>
          </w:p>
        </w:tc>
        <w:tc>
          <w:tcPr>
            <w:tcW w:w="28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合计</w:t>
            </w:r>
          </w:p>
        </w:tc>
        <w:tc>
          <w:tcPr>
            <w:tcW w:w="28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基本支出</w:t>
            </w:r>
          </w:p>
        </w:tc>
        <w:tc>
          <w:tcPr>
            <w:tcW w:w="28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项目支出</w:t>
            </w:r>
          </w:p>
        </w:tc>
      </w:tr>
      <w:tr>
        <w:tblPrEx>
          <w:tblLayout w:type="fixed"/>
          <w:tblCellMar>
            <w:top w:w="0" w:type="dxa"/>
            <w:left w:w="0" w:type="dxa"/>
            <w:bottom w:w="0" w:type="dxa"/>
            <w:right w:w="0" w:type="dxa"/>
          </w:tblCellMar>
        </w:tblPrEx>
        <w:trPr>
          <w:trHeight w:val="326" w:hRule="atLeast"/>
        </w:trPr>
        <w:tc>
          <w:tcPr>
            <w:tcW w:w="159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c>
          <w:tcPr>
            <w:tcW w:w="28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c>
          <w:tcPr>
            <w:tcW w:w="28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c>
          <w:tcPr>
            <w:tcW w:w="28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615" w:hRule="atLeast"/>
        </w:trPr>
        <w:tc>
          <w:tcPr>
            <w:tcW w:w="159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c>
          <w:tcPr>
            <w:tcW w:w="28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c>
          <w:tcPr>
            <w:tcW w:w="28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c>
          <w:tcPr>
            <w:tcW w:w="28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08" w:hRule="atLeast"/>
        </w:trPr>
        <w:tc>
          <w:tcPr>
            <w:tcW w:w="464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合计</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bCs/>
                <w:color w:val="auto"/>
                <w:sz w:val="20"/>
                <w:szCs w:val="20"/>
                <w:highlight w:val="none"/>
              </w:rPr>
              <w:t>2</w:t>
            </w:r>
            <w:r>
              <w:rPr>
                <w:rFonts w:hint="eastAsia" w:ascii="Times New Roman" w:hAnsi="Times New Roman" w:cs="Times New Roman"/>
                <w:b/>
                <w:bCs/>
                <w:color w:val="auto"/>
                <w:sz w:val="20"/>
                <w:szCs w:val="20"/>
                <w:highlight w:val="none"/>
                <w:lang w:eastAsia="zh-CN"/>
              </w:rPr>
              <w:t>，</w:t>
            </w:r>
            <w:r>
              <w:rPr>
                <w:rFonts w:hint="default" w:ascii="Times New Roman" w:hAnsi="Times New Roman" w:cs="Times New Roman"/>
                <w:b/>
                <w:bCs/>
                <w:color w:val="auto"/>
                <w:sz w:val="20"/>
                <w:szCs w:val="20"/>
                <w:highlight w:val="none"/>
              </w:rPr>
              <w:t>084.54</w:t>
            </w:r>
            <w:r>
              <w:rPr>
                <w:rFonts w:hint="default" w:ascii="Times New Roman" w:hAnsi="Times New Roman" w:cs="Times New Roman"/>
                <w:b/>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bCs/>
                <w:color w:val="auto"/>
                <w:sz w:val="20"/>
                <w:szCs w:val="20"/>
                <w:highlight w:val="none"/>
              </w:rPr>
              <w:t>1</w:t>
            </w:r>
            <w:r>
              <w:rPr>
                <w:rFonts w:hint="eastAsia" w:ascii="Times New Roman" w:hAnsi="Times New Roman" w:cs="Times New Roman"/>
                <w:b/>
                <w:bCs/>
                <w:color w:val="auto"/>
                <w:sz w:val="20"/>
                <w:szCs w:val="20"/>
                <w:highlight w:val="none"/>
                <w:lang w:eastAsia="zh-CN"/>
              </w:rPr>
              <w:t>，</w:t>
            </w:r>
            <w:r>
              <w:rPr>
                <w:rFonts w:hint="default" w:ascii="Times New Roman" w:hAnsi="Times New Roman" w:cs="Times New Roman"/>
                <w:b/>
                <w:bCs/>
                <w:color w:val="auto"/>
                <w:sz w:val="20"/>
                <w:szCs w:val="20"/>
                <w:highlight w:val="none"/>
              </w:rPr>
              <w:t>320.07</w:t>
            </w:r>
            <w:r>
              <w:rPr>
                <w:rFonts w:hint="default" w:ascii="Times New Roman" w:hAnsi="Times New Roman" w:cs="Times New Roman"/>
                <w:b/>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bCs/>
                <w:color w:val="auto"/>
                <w:sz w:val="20"/>
                <w:szCs w:val="20"/>
                <w:highlight w:val="none"/>
              </w:rPr>
              <w:t>764.47</w:t>
            </w: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201</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一般公共服务支出</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587.55</w:t>
            </w:r>
            <w:r>
              <w:rPr>
                <w:rFonts w:hint="default" w:ascii="Times New Roman" w:hAnsi="Times New Roman" w:cs="Times New Roman"/>
                <w:b/>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556.29</w:t>
            </w:r>
            <w:r>
              <w:rPr>
                <w:rFonts w:hint="default" w:ascii="Times New Roman" w:hAnsi="Times New Roman" w:cs="Times New Roman"/>
                <w:b/>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31.26</w:t>
            </w: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20101</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人大事务</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56.90</w:t>
            </w:r>
            <w:r>
              <w:rPr>
                <w:rFonts w:hint="default" w:ascii="Times New Roman" w:hAnsi="Times New Roman" w:cs="Times New Roman"/>
                <w:b/>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51</w:t>
            </w:r>
            <w:r>
              <w:rPr>
                <w:rFonts w:hint="default" w:ascii="Times New Roman" w:hAnsi="Times New Roman" w:cs="Times New Roman"/>
                <w:b/>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5.90</w:t>
            </w: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2010101</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行政运行</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51</w:t>
            </w:r>
            <w:r>
              <w:rPr>
                <w:rFonts w:hint="default" w:ascii="Times New Roman" w:hAnsi="Times New Roman" w:cs="Times New Roman"/>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51</w:t>
            </w:r>
            <w:r>
              <w:rPr>
                <w:rFonts w:hint="default" w:ascii="Times New Roman" w:hAnsi="Times New Roman" w:cs="Times New Roman"/>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2010108</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代表工作</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5.90</w:t>
            </w:r>
            <w:r>
              <w:rPr>
                <w:rFonts w:hint="default" w:ascii="Times New Roman" w:hAnsi="Times New Roman" w:cs="Times New Roman"/>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5.90</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20103</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政府办公厅（室）及相关机构事务</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484.60</w:t>
            </w:r>
            <w:r>
              <w:rPr>
                <w:rFonts w:hint="default" w:ascii="Times New Roman" w:hAnsi="Times New Roman" w:cs="Times New Roman"/>
                <w:b/>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465.60</w:t>
            </w:r>
            <w:r>
              <w:rPr>
                <w:rFonts w:hint="default" w:ascii="Times New Roman" w:hAnsi="Times New Roman" w:cs="Times New Roman"/>
                <w:b/>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19</w:t>
            </w: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2010301</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行政运行</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465.60</w:t>
            </w:r>
            <w:r>
              <w:rPr>
                <w:rFonts w:hint="default" w:ascii="Times New Roman" w:hAnsi="Times New Roman" w:cs="Times New Roman"/>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465.60</w:t>
            </w:r>
            <w:r>
              <w:rPr>
                <w:rFonts w:hint="default" w:ascii="Times New Roman" w:hAnsi="Times New Roman" w:cs="Times New Roman"/>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2010302</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一般行政管理事务</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17</w:t>
            </w:r>
            <w:r>
              <w:rPr>
                <w:rFonts w:hint="default" w:ascii="Times New Roman" w:hAnsi="Times New Roman" w:cs="Times New Roman"/>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17</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2010308</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信访事务</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2</w:t>
            </w:r>
            <w:r>
              <w:rPr>
                <w:rFonts w:hint="default" w:ascii="Times New Roman" w:hAnsi="Times New Roman" w:cs="Times New Roman"/>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2</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20106</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财政事务</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39.69</w:t>
            </w:r>
            <w:r>
              <w:rPr>
                <w:rFonts w:hint="default" w:ascii="Times New Roman" w:hAnsi="Times New Roman" w:cs="Times New Roman"/>
                <w:b/>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39.69</w:t>
            </w:r>
            <w:r>
              <w:rPr>
                <w:rFonts w:hint="default" w:ascii="Times New Roman" w:hAnsi="Times New Roman" w:cs="Times New Roman"/>
                <w:b/>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2010601</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行政运行</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39.69</w:t>
            </w:r>
            <w:r>
              <w:rPr>
                <w:rFonts w:hint="default" w:ascii="Times New Roman" w:hAnsi="Times New Roman" w:cs="Times New Roman"/>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39.69</w:t>
            </w:r>
            <w:r>
              <w:rPr>
                <w:rFonts w:hint="default" w:ascii="Times New Roman" w:hAnsi="Times New Roman" w:cs="Times New Roman"/>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20132</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组织事务</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6.36</w:t>
            </w:r>
            <w:r>
              <w:rPr>
                <w:rFonts w:hint="default" w:ascii="Times New Roman" w:hAnsi="Times New Roman" w:cs="Times New Roman"/>
                <w:b/>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6.36</w:t>
            </w: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2013202</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一般行政管理事务</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6.36</w:t>
            </w:r>
            <w:r>
              <w:rPr>
                <w:rFonts w:hint="default" w:ascii="Times New Roman" w:hAnsi="Times New Roman" w:cs="Times New Roman"/>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6.36</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203</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国防支出</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3</w:t>
            </w:r>
            <w:r>
              <w:rPr>
                <w:rFonts w:hint="default" w:ascii="Times New Roman" w:hAnsi="Times New Roman" w:cs="Times New Roman"/>
                <w:b/>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3</w:t>
            </w: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20306</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国防动员</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3</w:t>
            </w:r>
            <w:r>
              <w:rPr>
                <w:rFonts w:hint="default" w:ascii="Times New Roman" w:hAnsi="Times New Roman" w:cs="Times New Roman"/>
                <w:b/>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3</w:t>
            </w: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2030607</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民兵</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3</w:t>
            </w:r>
            <w:r>
              <w:rPr>
                <w:rFonts w:hint="default" w:ascii="Times New Roman" w:hAnsi="Times New Roman" w:cs="Times New Roman"/>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3</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204</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公共安全支出</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12.96</w:t>
            </w:r>
            <w:r>
              <w:rPr>
                <w:rFonts w:hint="default" w:ascii="Times New Roman" w:hAnsi="Times New Roman" w:cs="Times New Roman"/>
                <w:b/>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12.96</w:t>
            </w: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20402</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公安</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0.96</w:t>
            </w:r>
            <w:r>
              <w:rPr>
                <w:rFonts w:hint="default" w:ascii="Times New Roman" w:hAnsi="Times New Roman" w:cs="Times New Roman"/>
                <w:b/>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0.96</w:t>
            </w: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2040299</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其他公安支出</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0.96</w:t>
            </w:r>
            <w:r>
              <w:rPr>
                <w:rFonts w:hint="default" w:ascii="Times New Roman" w:hAnsi="Times New Roman" w:cs="Times New Roman"/>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0.96</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20499</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其他公共安全支出</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12</w:t>
            </w:r>
            <w:r>
              <w:rPr>
                <w:rFonts w:hint="default" w:ascii="Times New Roman" w:hAnsi="Times New Roman" w:cs="Times New Roman"/>
                <w:b/>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12</w:t>
            </w: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2049999</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其他公共安全支出</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12</w:t>
            </w:r>
            <w:r>
              <w:rPr>
                <w:rFonts w:hint="default" w:ascii="Times New Roman" w:hAnsi="Times New Roman" w:cs="Times New Roman"/>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12</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205</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教育支出</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9</w:t>
            </w:r>
            <w:r>
              <w:rPr>
                <w:rFonts w:hint="default" w:ascii="Times New Roman" w:hAnsi="Times New Roman" w:cs="Times New Roman"/>
                <w:b/>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9</w:t>
            </w: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20599</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其他教育支出</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9</w:t>
            </w:r>
            <w:r>
              <w:rPr>
                <w:rFonts w:hint="default" w:ascii="Times New Roman" w:hAnsi="Times New Roman" w:cs="Times New Roman"/>
                <w:b/>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9</w:t>
            </w: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2059999</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其他教育支出</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9</w:t>
            </w:r>
            <w:r>
              <w:rPr>
                <w:rFonts w:hint="default" w:ascii="Times New Roman" w:hAnsi="Times New Roman" w:cs="Times New Roman"/>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9</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207</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文化旅游体育与传媒支出</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66.17</w:t>
            </w:r>
            <w:r>
              <w:rPr>
                <w:rFonts w:hint="default" w:ascii="Times New Roman" w:hAnsi="Times New Roman" w:cs="Times New Roman"/>
                <w:b/>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50.38</w:t>
            </w:r>
            <w:r>
              <w:rPr>
                <w:rFonts w:hint="default" w:ascii="Times New Roman" w:hAnsi="Times New Roman" w:cs="Times New Roman"/>
                <w:b/>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15.80</w:t>
            </w: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20701</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文化和旅游</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64.67</w:t>
            </w:r>
            <w:r>
              <w:rPr>
                <w:rFonts w:hint="default" w:ascii="Times New Roman" w:hAnsi="Times New Roman" w:cs="Times New Roman"/>
                <w:b/>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50.38</w:t>
            </w:r>
            <w:r>
              <w:rPr>
                <w:rFonts w:hint="default" w:ascii="Times New Roman" w:hAnsi="Times New Roman" w:cs="Times New Roman"/>
                <w:b/>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14.30</w:t>
            </w: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2070109</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群众文化</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50.38</w:t>
            </w:r>
            <w:r>
              <w:rPr>
                <w:rFonts w:hint="default" w:ascii="Times New Roman" w:hAnsi="Times New Roman" w:cs="Times New Roman"/>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50.38</w:t>
            </w:r>
            <w:r>
              <w:rPr>
                <w:rFonts w:hint="default" w:ascii="Times New Roman" w:hAnsi="Times New Roman" w:cs="Times New Roman"/>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2070199</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其他文化和旅游支出</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14.30</w:t>
            </w:r>
            <w:r>
              <w:rPr>
                <w:rFonts w:hint="default" w:ascii="Times New Roman" w:hAnsi="Times New Roman" w:cs="Times New Roman"/>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14.30</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20703</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体育</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1.50</w:t>
            </w:r>
            <w:r>
              <w:rPr>
                <w:rFonts w:hint="default" w:ascii="Times New Roman" w:hAnsi="Times New Roman" w:cs="Times New Roman"/>
                <w:b/>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1.50</w:t>
            </w: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2070307</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体育场馆</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1.50</w:t>
            </w:r>
            <w:r>
              <w:rPr>
                <w:rFonts w:hint="default" w:ascii="Times New Roman" w:hAnsi="Times New Roman" w:cs="Times New Roman"/>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1.50</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社会保障和就业支出</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282.30</w:t>
            </w:r>
            <w:r>
              <w:rPr>
                <w:rFonts w:hint="default" w:ascii="Times New Roman" w:hAnsi="Times New Roman" w:cs="Times New Roman"/>
                <w:b/>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277.28</w:t>
            </w:r>
            <w:r>
              <w:rPr>
                <w:rFonts w:hint="default" w:ascii="Times New Roman" w:hAnsi="Times New Roman" w:cs="Times New Roman"/>
                <w:b/>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5.02</w:t>
            </w: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20801</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人力资源和社会保障管理事务</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38.87</w:t>
            </w:r>
            <w:r>
              <w:rPr>
                <w:rFonts w:hint="default" w:ascii="Times New Roman" w:hAnsi="Times New Roman" w:cs="Times New Roman"/>
                <w:b/>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38.87</w:t>
            </w:r>
            <w:r>
              <w:rPr>
                <w:rFonts w:hint="default" w:ascii="Times New Roman" w:hAnsi="Times New Roman" w:cs="Times New Roman"/>
                <w:b/>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2080109</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社会保险经办机构</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38.87</w:t>
            </w:r>
            <w:r>
              <w:rPr>
                <w:rFonts w:hint="default" w:ascii="Times New Roman" w:hAnsi="Times New Roman" w:cs="Times New Roman"/>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38.87</w:t>
            </w:r>
            <w:r>
              <w:rPr>
                <w:rFonts w:hint="default" w:ascii="Times New Roman" w:hAnsi="Times New Roman" w:cs="Times New Roman"/>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20805</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行政事业单位养老支出</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198.82</w:t>
            </w:r>
            <w:r>
              <w:rPr>
                <w:rFonts w:hint="default" w:ascii="Times New Roman" w:hAnsi="Times New Roman" w:cs="Times New Roman"/>
                <w:b/>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198.82</w:t>
            </w:r>
            <w:r>
              <w:rPr>
                <w:rFonts w:hint="default" w:ascii="Times New Roman" w:hAnsi="Times New Roman" w:cs="Times New Roman"/>
                <w:b/>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2080501</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行政单位离退休</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57.34</w:t>
            </w:r>
            <w:r>
              <w:rPr>
                <w:rFonts w:hint="default" w:ascii="Times New Roman" w:hAnsi="Times New Roman" w:cs="Times New Roman"/>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57.34</w:t>
            </w:r>
            <w:r>
              <w:rPr>
                <w:rFonts w:hint="default" w:ascii="Times New Roman" w:hAnsi="Times New Roman" w:cs="Times New Roman"/>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2080502</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事业单位离退休</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23.22</w:t>
            </w:r>
            <w:r>
              <w:rPr>
                <w:rFonts w:hint="default" w:ascii="Times New Roman" w:hAnsi="Times New Roman" w:cs="Times New Roman"/>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23.22</w:t>
            </w:r>
            <w:r>
              <w:rPr>
                <w:rFonts w:hint="default" w:ascii="Times New Roman" w:hAnsi="Times New Roman" w:cs="Times New Roman"/>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2080505</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机关事业单位基本养老保险缴费支出</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80.99</w:t>
            </w:r>
            <w:r>
              <w:rPr>
                <w:rFonts w:hint="default" w:ascii="Times New Roman" w:hAnsi="Times New Roman" w:cs="Times New Roman"/>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80.99</w:t>
            </w:r>
            <w:r>
              <w:rPr>
                <w:rFonts w:hint="default" w:ascii="Times New Roman" w:hAnsi="Times New Roman" w:cs="Times New Roman"/>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2080506</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机关事业单位职业年金缴费支出</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37.27</w:t>
            </w:r>
            <w:r>
              <w:rPr>
                <w:rFonts w:hint="default" w:ascii="Times New Roman" w:hAnsi="Times New Roman" w:cs="Times New Roman"/>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37.27</w:t>
            </w:r>
            <w:r>
              <w:rPr>
                <w:rFonts w:hint="default" w:ascii="Times New Roman" w:hAnsi="Times New Roman" w:cs="Times New Roman"/>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20808</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抚恤</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9.46</w:t>
            </w:r>
            <w:r>
              <w:rPr>
                <w:rFonts w:hint="default" w:ascii="Times New Roman" w:hAnsi="Times New Roman" w:cs="Times New Roman"/>
                <w:b/>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9.46</w:t>
            </w:r>
            <w:r>
              <w:rPr>
                <w:rFonts w:hint="default" w:ascii="Times New Roman" w:hAnsi="Times New Roman" w:cs="Times New Roman"/>
                <w:b/>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2080805</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义务兵优待</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9.46</w:t>
            </w:r>
            <w:r>
              <w:rPr>
                <w:rFonts w:hint="default" w:ascii="Times New Roman" w:hAnsi="Times New Roman" w:cs="Times New Roman"/>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9.46</w:t>
            </w:r>
            <w:r>
              <w:rPr>
                <w:rFonts w:hint="default" w:ascii="Times New Roman" w:hAnsi="Times New Roman" w:cs="Times New Roman"/>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20811</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残疾人事业</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3.97</w:t>
            </w:r>
            <w:r>
              <w:rPr>
                <w:rFonts w:hint="default" w:ascii="Times New Roman" w:hAnsi="Times New Roman" w:cs="Times New Roman"/>
                <w:b/>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3.97</w:t>
            </w: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2081199</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其他残疾人事业支出</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3.97</w:t>
            </w:r>
            <w:r>
              <w:rPr>
                <w:rFonts w:hint="default" w:ascii="Times New Roman" w:hAnsi="Times New Roman" w:cs="Times New Roman"/>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3.97</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20821</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特困人员救助供养</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0.50</w:t>
            </w:r>
            <w:r>
              <w:rPr>
                <w:rFonts w:hint="default" w:ascii="Times New Roman" w:hAnsi="Times New Roman" w:cs="Times New Roman"/>
                <w:b/>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0.50</w:t>
            </w:r>
            <w:r>
              <w:rPr>
                <w:rFonts w:hint="default" w:ascii="Times New Roman" w:hAnsi="Times New Roman" w:cs="Times New Roman"/>
                <w:b/>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2082102</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农村特困人员救助供养支出</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0.50</w:t>
            </w:r>
            <w:r>
              <w:rPr>
                <w:rFonts w:hint="default" w:ascii="Times New Roman" w:hAnsi="Times New Roman" w:cs="Times New Roman"/>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0.50</w:t>
            </w:r>
            <w:r>
              <w:rPr>
                <w:rFonts w:hint="default" w:ascii="Times New Roman" w:hAnsi="Times New Roman" w:cs="Times New Roman"/>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20828</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退役军人管理事务</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30.68</w:t>
            </w:r>
            <w:r>
              <w:rPr>
                <w:rFonts w:hint="default" w:ascii="Times New Roman" w:hAnsi="Times New Roman" w:cs="Times New Roman"/>
                <w:b/>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29.63</w:t>
            </w:r>
            <w:r>
              <w:rPr>
                <w:rFonts w:hint="default" w:ascii="Times New Roman" w:hAnsi="Times New Roman" w:cs="Times New Roman"/>
                <w:b/>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1.05</w:t>
            </w: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2082850</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事业运行</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29.63</w:t>
            </w:r>
            <w:r>
              <w:rPr>
                <w:rFonts w:hint="default" w:ascii="Times New Roman" w:hAnsi="Times New Roman" w:cs="Times New Roman"/>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29.63</w:t>
            </w:r>
            <w:r>
              <w:rPr>
                <w:rFonts w:hint="default" w:ascii="Times New Roman" w:hAnsi="Times New Roman" w:cs="Times New Roman"/>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2082899</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其他退役军人事务管理支出</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1.05</w:t>
            </w:r>
            <w:r>
              <w:rPr>
                <w:rFonts w:hint="default" w:ascii="Times New Roman" w:hAnsi="Times New Roman" w:cs="Times New Roman"/>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1.05</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210</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卫生健康支出</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59.37</w:t>
            </w:r>
            <w:r>
              <w:rPr>
                <w:rFonts w:hint="default" w:ascii="Times New Roman" w:hAnsi="Times New Roman" w:cs="Times New Roman"/>
                <w:b/>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38.37</w:t>
            </w:r>
            <w:r>
              <w:rPr>
                <w:rFonts w:hint="default" w:ascii="Times New Roman" w:hAnsi="Times New Roman" w:cs="Times New Roman"/>
                <w:b/>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21</w:t>
            </w: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21004</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公共卫生</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21.96</w:t>
            </w:r>
            <w:r>
              <w:rPr>
                <w:rFonts w:hint="default" w:ascii="Times New Roman" w:hAnsi="Times New Roman" w:cs="Times New Roman"/>
                <w:b/>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0.96</w:t>
            </w:r>
            <w:r>
              <w:rPr>
                <w:rFonts w:hint="default" w:ascii="Times New Roman" w:hAnsi="Times New Roman" w:cs="Times New Roman"/>
                <w:b/>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21</w:t>
            </w: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2100410</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突发公共卫生事件应急处理</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21</w:t>
            </w:r>
            <w:r>
              <w:rPr>
                <w:rFonts w:hint="default" w:ascii="Times New Roman" w:hAnsi="Times New Roman" w:cs="Times New Roman"/>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21</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2100499</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其他公共卫生支出</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0.96</w:t>
            </w:r>
            <w:r>
              <w:rPr>
                <w:rFonts w:hint="default" w:ascii="Times New Roman" w:hAnsi="Times New Roman" w:cs="Times New Roman"/>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0.96</w:t>
            </w:r>
            <w:r>
              <w:rPr>
                <w:rFonts w:hint="default" w:ascii="Times New Roman" w:hAnsi="Times New Roman" w:cs="Times New Roman"/>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21011</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行政事业单位医疗</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37.41</w:t>
            </w:r>
            <w:r>
              <w:rPr>
                <w:rFonts w:hint="default" w:ascii="Times New Roman" w:hAnsi="Times New Roman" w:cs="Times New Roman"/>
                <w:b/>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37.41</w:t>
            </w:r>
            <w:r>
              <w:rPr>
                <w:rFonts w:hint="default" w:ascii="Times New Roman" w:hAnsi="Times New Roman" w:cs="Times New Roman"/>
                <w:b/>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2101101</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行政单位医疗</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19.80</w:t>
            </w:r>
            <w:r>
              <w:rPr>
                <w:rFonts w:hint="default" w:ascii="Times New Roman" w:hAnsi="Times New Roman" w:cs="Times New Roman"/>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19.80</w:t>
            </w:r>
            <w:r>
              <w:rPr>
                <w:rFonts w:hint="default" w:ascii="Times New Roman" w:hAnsi="Times New Roman" w:cs="Times New Roman"/>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2101102</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事业单位医疗</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17.61</w:t>
            </w:r>
            <w:r>
              <w:rPr>
                <w:rFonts w:hint="default" w:ascii="Times New Roman" w:hAnsi="Times New Roman" w:cs="Times New Roman"/>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17.61</w:t>
            </w:r>
            <w:r>
              <w:rPr>
                <w:rFonts w:hint="default" w:ascii="Times New Roman" w:hAnsi="Times New Roman" w:cs="Times New Roman"/>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211</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节能环保支出</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58.54</w:t>
            </w:r>
            <w:r>
              <w:rPr>
                <w:rFonts w:hint="default" w:ascii="Times New Roman" w:hAnsi="Times New Roman" w:cs="Times New Roman"/>
                <w:b/>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58.54</w:t>
            </w: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21105</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天然林保护</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8.54</w:t>
            </w:r>
            <w:r>
              <w:rPr>
                <w:rFonts w:hint="default" w:ascii="Times New Roman" w:hAnsi="Times New Roman" w:cs="Times New Roman"/>
                <w:b/>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8.54</w:t>
            </w: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2110501</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森林管护</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0.84</w:t>
            </w:r>
            <w:r>
              <w:rPr>
                <w:rFonts w:hint="default" w:ascii="Times New Roman" w:hAnsi="Times New Roman" w:cs="Times New Roman"/>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0.84</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2110599</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其他天然林保护支出</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7.70</w:t>
            </w:r>
            <w:r>
              <w:rPr>
                <w:rFonts w:hint="default" w:ascii="Times New Roman" w:hAnsi="Times New Roman" w:cs="Times New Roman"/>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7.70</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21199</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其他节能环保支出</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50</w:t>
            </w:r>
            <w:r>
              <w:rPr>
                <w:rFonts w:hint="default" w:ascii="Times New Roman" w:hAnsi="Times New Roman" w:cs="Times New Roman"/>
                <w:b/>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50</w:t>
            </w: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2119999</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其他节能环保支出</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50</w:t>
            </w:r>
            <w:r>
              <w:rPr>
                <w:rFonts w:hint="default" w:ascii="Times New Roman" w:hAnsi="Times New Roman" w:cs="Times New Roman"/>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50</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212</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城乡社区支出</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115.50</w:t>
            </w:r>
            <w:r>
              <w:rPr>
                <w:rFonts w:hint="default" w:ascii="Times New Roman" w:hAnsi="Times New Roman" w:cs="Times New Roman"/>
                <w:b/>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41.04</w:t>
            </w:r>
            <w:r>
              <w:rPr>
                <w:rFonts w:hint="default" w:ascii="Times New Roman" w:hAnsi="Times New Roman" w:cs="Times New Roman"/>
                <w:b/>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74.46</w:t>
            </w: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21201</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城乡社区管理事务</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41.04</w:t>
            </w:r>
            <w:r>
              <w:rPr>
                <w:rFonts w:hint="default" w:ascii="Times New Roman" w:hAnsi="Times New Roman" w:cs="Times New Roman"/>
                <w:b/>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41.04</w:t>
            </w:r>
            <w:r>
              <w:rPr>
                <w:rFonts w:hint="default" w:ascii="Times New Roman" w:hAnsi="Times New Roman" w:cs="Times New Roman"/>
                <w:b/>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2120199</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其他城乡社区管理事务支出</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41.04</w:t>
            </w:r>
            <w:r>
              <w:rPr>
                <w:rFonts w:hint="default" w:ascii="Times New Roman" w:hAnsi="Times New Roman" w:cs="Times New Roman"/>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41.04</w:t>
            </w:r>
            <w:r>
              <w:rPr>
                <w:rFonts w:hint="default" w:ascii="Times New Roman" w:hAnsi="Times New Roman" w:cs="Times New Roman"/>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21203</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城乡社区公共设施</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69.46</w:t>
            </w:r>
            <w:r>
              <w:rPr>
                <w:rFonts w:hint="default" w:ascii="Times New Roman" w:hAnsi="Times New Roman" w:cs="Times New Roman"/>
                <w:b/>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69.46</w:t>
            </w: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2120399</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其他城乡社区公共设施支出</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69.46</w:t>
            </w:r>
            <w:r>
              <w:rPr>
                <w:rFonts w:hint="default" w:ascii="Times New Roman" w:hAnsi="Times New Roman" w:cs="Times New Roman"/>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69.46</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21205</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城乡社区环境卫生</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5</w:t>
            </w:r>
            <w:r>
              <w:rPr>
                <w:rFonts w:hint="default" w:ascii="Times New Roman" w:hAnsi="Times New Roman" w:cs="Times New Roman"/>
                <w:b/>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5</w:t>
            </w: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2120501</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城乡社区环境卫生</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5</w:t>
            </w:r>
            <w:r>
              <w:rPr>
                <w:rFonts w:hint="default" w:ascii="Times New Roman" w:hAnsi="Times New Roman" w:cs="Times New Roman"/>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5</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213</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农林水支出</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677.95</w:t>
            </w:r>
            <w:r>
              <w:rPr>
                <w:rFonts w:hint="default" w:ascii="Times New Roman" w:hAnsi="Times New Roman" w:cs="Times New Roman"/>
                <w:b/>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288.93</w:t>
            </w:r>
            <w:r>
              <w:rPr>
                <w:rFonts w:hint="default" w:ascii="Times New Roman" w:hAnsi="Times New Roman" w:cs="Times New Roman"/>
                <w:b/>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389.03</w:t>
            </w: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21301</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农业农村</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243.30</w:t>
            </w:r>
            <w:r>
              <w:rPr>
                <w:rFonts w:hint="default" w:ascii="Times New Roman" w:hAnsi="Times New Roman" w:cs="Times New Roman"/>
                <w:b/>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150.12</w:t>
            </w:r>
            <w:r>
              <w:rPr>
                <w:rFonts w:hint="default" w:ascii="Times New Roman" w:hAnsi="Times New Roman" w:cs="Times New Roman"/>
                <w:b/>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93.18</w:t>
            </w: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2130104</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事业运行</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149.28</w:t>
            </w:r>
            <w:r>
              <w:rPr>
                <w:rFonts w:hint="default" w:ascii="Times New Roman" w:hAnsi="Times New Roman" w:cs="Times New Roman"/>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149.28</w:t>
            </w:r>
            <w:r>
              <w:rPr>
                <w:rFonts w:hint="default" w:ascii="Times New Roman" w:hAnsi="Times New Roman" w:cs="Times New Roman"/>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2130108</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病虫害控制</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0.84</w:t>
            </w:r>
            <w:r>
              <w:rPr>
                <w:rFonts w:hint="default" w:ascii="Times New Roman" w:hAnsi="Times New Roman" w:cs="Times New Roman"/>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0.84</w:t>
            </w:r>
            <w:r>
              <w:rPr>
                <w:rFonts w:hint="default" w:ascii="Times New Roman" w:hAnsi="Times New Roman" w:cs="Times New Roman"/>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2130122</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农业生产发展</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55.34</w:t>
            </w:r>
            <w:r>
              <w:rPr>
                <w:rFonts w:hint="default" w:ascii="Times New Roman" w:hAnsi="Times New Roman" w:cs="Times New Roman"/>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55.34</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2130124</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农村合作经济</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6</w:t>
            </w:r>
            <w:r>
              <w:rPr>
                <w:rFonts w:hint="default" w:ascii="Times New Roman" w:hAnsi="Times New Roman" w:cs="Times New Roman"/>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6</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2130135</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农业资源保护修复与利用</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27.84</w:t>
            </w:r>
            <w:r>
              <w:rPr>
                <w:rFonts w:hint="default" w:ascii="Times New Roman" w:hAnsi="Times New Roman" w:cs="Times New Roman"/>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27.84</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2130199</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其他农业农村支出</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4</w:t>
            </w:r>
            <w:r>
              <w:rPr>
                <w:rFonts w:hint="default" w:ascii="Times New Roman" w:hAnsi="Times New Roman" w:cs="Times New Roman"/>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4</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21302</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林业和草原</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36.82</w:t>
            </w:r>
            <w:r>
              <w:rPr>
                <w:rFonts w:hint="default" w:ascii="Times New Roman" w:hAnsi="Times New Roman" w:cs="Times New Roman"/>
                <w:b/>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36.82</w:t>
            </w: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2130205</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森林资源培育</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11</w:t>
            </w:r>
            <w:r>
              <w:rPr>
                <w:rFonts w:hint="default" w:ascii="Times New Roman" w:hAnsi="Times New Roman" w:cs="Times New Roman"/>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11</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2130234</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林业草原防灾减灾</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4.82</w:t>
            </w:r>
            <w:r>
              <w:rPr>
                <w:rFonts w:hint="default" w:ascii="Times New Roman" w:hAnsi="Times New Roman" w:cs="Times New Roman"/>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4.82</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2130299</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其他林业和草原支出</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21</w:t>
            </w:r>
            <w:r>
              <w:rPr>
                <w:rFonts w:hint="default" w:ascii="Times New Roman" w:hAnsi="Times New Roman" w:cs="Times New Roman"/>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21</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21303</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水利</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27.85</w:t>
            </w:r>
            <w:r>
              <w:rPr>
                <w:rFonts w:hint="default" w:ascii="Times New Roman" w:hAnsi="Times New Roman" w:cs="Times New Roman"/>
                <w:b/>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27.85</w:t>
            </w: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2130314</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防汛</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26.46</w:t>
            </w:r>
            <w:r>
              <w:rPr>
                <w:rFonts w:hint="default" w:ascii="Times New Roman" w:hAnsi="Times New Roman" w:cs="Times New Roman"/>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26.46</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2130315</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抗旱</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1.39</w:t>
            </w:r>
            <w:r>
              <w:rPr>
                <w:rFonts w:hint="default" w:ascii="Times New Roman" w:hAnsi="Times New Roman" w:cs="Times New Roman"/>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1.39</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21305</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巩固脱贫攻坚成果衔接乡村振兴</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198.25</w:t>
            </w:r>
            <w:r>
              <w:rPr>
                <w:rFonts w:hint="default" w:ascii="Times New Roman" w:hAnsi="Times New Roman" w:cs="Times New Roman"/>
                <w:b/>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9.08</w:t>
            </w:r>
            <w:r>
              <w:rPr>
                <w:rFonts w:hint="default" w:ascii="Times New Roman" w:hAnsi="Times New Roman" w:cs="Times New Roman"/>
                <w:b/>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189.18</w:t>
            </w: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2130504</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农村基础设施建设</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30.77</w:t>
            </w:r>
            <w:r>
              <w:rPr>
                <w:rFonts w:hint="default" w:ascii="Times New Roman" w:hAnsi="Times New Roman" w:cs="Times New Roman"/>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30.77</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2130505</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生产发展</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46.86</w:t>
            </w:r>
            <w:r>
              <w:rPr>
                <w:rFonts w:hint="default" w:ascii="Times New Roman" w:hAnsi="Times New Roman" w:cs="Times New Roman"/>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46.86</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2130599</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其他巩固脱贫攻坚成果衔接乡村振兴支出</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120.63</w:t>
            </w:r>
            <w:r>
              <w:rPr>
                <w:rFonts w:hint="default" w:ascii="Times New Roman" w:hAnsi="Times New Roman" w:cs="Times New Roman"/>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9.08</w:t>
            </w:r>
            <w:r>
              <w:rPr>
                <w:rFonts w:hint="default" w:ascii="Times New Roman" w:hAnsi="Times New Roman" w:cs="Times New Roman"/>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111.55</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21307</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农村综合改革</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171.73</w:t>
            </w:r>
            <w:r>
              <w:rPr>
                <w:rFonts w:hint="default" w:ascii="Times New Roman" w:hAnsi="Times New Roman" w:cs="Times New Roman"/>
                <w:b/>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129.73</w:t>
            </w:r>
            <w:r>
              <w:rPr>
                <w:rFonts w:hint="default" w:ascii="Times New Roman" w:hAnsi="Times New Roman" w:cs="Times New Roman"/>
                <w:b/>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42</w:t>
            </w: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2130701</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对村级公益事业建设的补助</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10</w:t>
            </w:r>
            <w:r>
              <w:rPr>
                <w:rFonts w:hint="default" w:ascii="Times New Roman" w:hAnsi="Times New Roman" w:cs="Times New Roman"/>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10</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2130705</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对村民委员会和村党支部的补助</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161.73</w:t>
            </w:r>
            <w:r>
              <w:rPr>
                <w:rFonts w:hint="default" w:ascii="Times New Roman" w:hAnsi="Times New Roman" w:cs="Times New Roman"/>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129.73</w:t>
            </w:r>
            <w:r>
              <w:rPr>
                <w:rFonts w:hint="default" w:ascii="Times New Roman" w:hAnsi="Times New Roman" w:cs="Times New Roman"/>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32</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214</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交通运输支出</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17.07</w:t>
            </w:r>
            <w:r>
              <w:rPr>
                <w:rFonts w:hint="default" w:ascii="Times New Roman" w:hAnsi="Times New Roman" w:cs="Times New Roman"/>
                <w:b/>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17.07</w:t>
            </w: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21401</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公路水路运输</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11.67</w:t>
            </w:r>
            <w:r>
              <w:rPr>
                <w:rFonts w:hint="default" w:ascii="Times New Roman" w:hAnsi="Times New Roman" w:cs="Times New Roman"/>
                <w:b/>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11.67</w:t>
            </w: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2140104</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公路建设</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11.67</w:t>
            </w:r>
            <w:r>
              <w:rPr>
                <w:rFonts w:hint="default" w:ascii="Times New Roman" w:hAnsi="Times New Roman" w:cs="Times New Roman"/>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11.67</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21406</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车辆购置税支出</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5.41</w:t>
            </w:r>
            <w:r>
              <w:rPr>
                <w:rFonts w:hint="default" w:ascii="Times New Roman" w:hAnsi="Times New Roman" w:cs="Times New Roman"/>
                <w:b/>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5.41</w:t>
            </w: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2140601</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车辆购置税用于公路等基础设施建设支出</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5.41</w:t>
            </w:r>
            <w:r>
              <w:rPr>
                <w:rFonts w:hint="default" w:ascii="Times New Roman" w:hAnsi="Times New Roman" w:cs="Times New Roman"/>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5.41</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220</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自然资源海洋气象等支出</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89.97</w:t>
            </w:r>
            <w:r>
              <w:rPr>
                <w:rFonts w:hint="default" w:ascii="Times New Roman" w:hAnsi="Times New Roman" w:cs="Times New Roman"/>
                <w:b/>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89.97</w:t>
            </w: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22001</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自然资源事务</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89.97</w:t>
            </w:r>
            <w:r>
              <w:rPr>
                <w:rFonts w:hint="default" w:ascii="Times New Roman" w:hAnsi="Times New Roman" w:cs="Times New Roman"/>
                <w:b/>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89.97</w:t>
            </w: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2200106</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自然资源利用与保护</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89.97</w:t>
            </w:r>
            <w:r>
              <w:rPr>
                <w:rFonts w:hint="default" w:ascii="Times New Roman" w:hAnsi="Times New Roman" w:cs="Times New Roman"/>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89.97</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221</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住房保障支出</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70.40</w:t>
            </w:r>
            <w:r>
              <w:rPr>
                <w:rFonts w:hint="default" w:ascii="Times New Roman" w:hAnsi="Times New Roman" w:cs="Times New Roman"/>
                <w:b/>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67.79</w:t>
            </w:r>
            <w:r>
              <w:rPr>
                <w:rFonts w:hint="default" w:ascii="Times New Roman" w:hAnsi="Times New Roman" w:cs="Times New Roman"/>
                <w:b/>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2.61</w:t>
            </w: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22101</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保障性安居工程支出</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2.61</w:t>
            </w:r>
            <w:r>
              <w:rPr>
                <w:rFonts w:hint="default" w:ascii="Times New Roman" w:hAnsi="Times New Roman" w:cs="Times New Roman"/>
                <w:b/>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2.61</w:t>
            </w: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2210105</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农村危房改造</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2.61</w:t>
            </w:r>
            <w:r>
              <w:rPr>
                <w:rFonts w:hint="default" w:ascii="Times New Roman" w:hAnsi="Times New Roman" w:cs="Times New Roman"/>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2.61</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22102</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住房改革支出</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67.79</w:t>
            </w:r>
            <w:r>
              <w:rPr>
                <w:rFonts w:hint="default" w:ascii="Times New Roman" w:hAnsi="Times New Roman" w:cs="Times New Roman"/>
                <w:b/>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67.79</w:t>
            </w:r>
            <w:r>
              <w:rPr>
                <w:rFonts w:hint="default" w:ascii="Times New Roman" w:hAnsi="Times New Roman" w:cs="Times New Roman"/>
                <w:b/>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2210201</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住房公积金</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67.79</w:t>
            </w:r>
            <w:r>
              <w:rPr>
                <w:rFonts w:hint="default" w:ascii="Times New Roman" w:hAnsi="Times New Roman" w:cs="Times New Roman"/>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67.79</w:t>
            </w:r>
            <w:r>
              <w:rPr>
                <w:rFonts w:hint="default" w:ascii="Times New Roman" w:hAnsi="Times New Roman" w:cs="Times New Roman"/>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224</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灾害防治及应急管理支出</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34.76</w:t>
            </w:r>
            <w:r>
              <w:rPr>
                <w:rFonts w:hint="default" w:ascii="Times New Roman" w:hAnsi="Times New Roman" w:cs="Times New Roman"/>
                <w:b/>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34.76</w:t>
            </w: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22401</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应急管理事务</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12.76</w:t>
            </w:r>
            <w:r>
              <w:rPr>
                <w:rFonts w:hint="default" w:ascii="Times New Roman" w:hAnsi="Times New Roman" w:cs="Times New Roman"/>
                <w:b/>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12.76</w:t>
            </w: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2240108</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应急救援</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12.76</w:t>
            </w:r>
            <w:r>
              <w:rPr>
                <w:rFonts w:hint="default" w:ascii="Times New Roman" w:hAnsi="Times New Roman" w:cs="Times New Roman"/>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12.76</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22402</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消防救援事务</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22</w:t>
            </w:r>
            <w:r>
              <w:rPr>
                <w:rFonts w:hint="default" w:ascii="Times New Roman" w:hAnsi="Times New Roman" w:cs="Times New Roman"/>
                <w:b/>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22</w:t>
            </w: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2240204</w:t>
            </w:r>
          </w:p>
        </w:tc>
        <w:tc>
          <w:tcPr>
            <w:tcW w:w="30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消防应急救援</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22</w:t>
            </w:r>
            <w:r>
              <w:rPr>
                <w:rFonts w:hint="default" w:ascii="Times New Roman" w:hAnsi="Times New Roman" w:cs="Times New Roman"/>
                <w:color w:val="auto"/>
                <w:sz w:val="20"/>
                <w:highlight w:val="none"/>
                <w:u w:color="auto"/>
              </w:rPr>
              <w:t xml:space="preserve"> </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2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22</w:t>
            </w:r>
            <w:r>
              <w:rPr>
                <w:rFonts w:hint="default" w:ascii="Times New Roman" w:hAnsi="Times New Roman" w:cs="Times New Roman"/>
                <w:color w:val="auto"/>
                <w:sz w:val="20"/>
                <w:highlight w:val="none"/>
                <w:u w:color="auto"/>
              </w:rPr>
              <w:t xml:space="preserve"> </w:t>
            </w:r>
          </w:p>
        </w:tc>
      </w:tr>
    </w:tbl>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0"/>
          <w:szCs w:val="20"/>
          <w:highlight w:val="none"/>
        </w:rPr>
        <w:t>备注：1.本表反映部门本年度一般公共预算财政拨款支出情况。</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t xml:space="preserve">      2.本套报表金额单位转换时可能存在尾数误差。</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br w:type="textWrapping"/>
      </w: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br w:type="page"/>
      </w:r>
    </w:p>
    <w:tbl>
      <w:tblPr>
        <w:tblStyle w:val="12"/>
        <w:tblW w:w="13213" w:type="dxa"/>
        <w:tblInd w:w="0" w:type="dxa"/>
        <w:tblLayout w:type="fixed"/>
        <w:tblCellMar>
          <w:top w:w="0" w:type="dxa"/>
          <w:left w:w="0" w:type="dxa"/>
          <w:bottom w:w="0" w:type="dxa"/>
          <w:right w:w="0" w:type="dxa"/>
        </w:tblCellMar>
      </w:tblPr>
      <w:tblGrid>
        <w:gridCol w:w="521"/>
        <w:gridCol w:w="2357"/>
        <w:gridCol w:w="1183"/>
        <w:gridCol w:w="719"/>
        <w:gridCol w:w="1654"/>
        <w:gridCol w:w="1"/>
        <w:gridCol w:w="1424"/>
        <w:gridCol w:w="695"/>
        <w:gridCol w:w="3033"/>
        <w:gridCol w:w="1"/>
        <w:gridCol w:w="1625"/>
      </w:tblGrid>
      <w:tr>
        <w:tblPrEx>
          <w:tblLayout w:type="fixed"/>
          <w:tblCellMar>
            <w:top w:w="0" w:type="dxa"/>
            <w:left w:w="0" w:type="dxa"/>
            <w:bottom w:w="0" w:type="dxa"/>
            <w:right w:w="0" w:type="dxa"/>
          </w:tblCellMar>
        </w:tblPrEx>
        <w:trPr>
          <w:trHeight w:val="90" w:hRule="atLeast"/>
        </w:trPr>
        <w:tc>
          <w:tcPr>
            <w:tcW w:w="13213" w:type="dxa"/>
            <w:gridSpan w:val="11"/>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bottom"/>
              <w:outlineLvl w:val="9"/>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2878"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20"/>
                <w:szCs w:val="20"/>
                <w:highlight w:val="none"/>
              </w:rPr>
              <w:t xml:space="preserve">公开部门： </w:t>
            </w:r>
            <w:r>
              <w:rPr>
                <w:rFonts w:hint="default" w:ascii="Times New Roman" w:hAnsi="Times New Roman" w:cs="Times New Roman"/>
                <w:color w:val="auto"/>
                <w:sz w:val="20"/>
                <w:highlight w:val="none"/>
                <w:u w:color="auto"/>
              </w:rPr>
              <w:t>重庆市秀山土家族苗族自治县石耶镇人民政府</w:t>
            </w:r>
          </w:p>
        </w:tc>
        <w:tc>
          <w:tcPr>
            <w:tcW w:w="118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18"/>
                <w:szCs w:val="18"/>
                <w:highlight w:val="none"/>
              </w:rPr>
            </w:pPr>
          </w:p>
        </w:tc>
        <w:tc>
          <w:tcPr>
            <w:tcW w:w="71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18"/>
                <w:szCs w:val="18"/>
                <w:highlight w:val="none"/>
              </w:rPr>
            </w:pPr>
          </w:p>
        </w:tc>
        <w:tc>
          <w:tcPr>
            <w:tcW w:w="1655"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18"/>
                <w:szCs w:val="18"/>
                <w:highlight w:val="none"/>
              </w:rPr>
            </w:pPr>
          </w:p>
        </w:tc>
        <w:tc>
          <w:tcPr>
            <w:tcW w:w="142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18"/>
                <w:szCs w:val="18"/>
                <w:highlight w:val="none"/>
              </w:rPr>
            </w:pPr>
          </w:p>
        </w:tc>
        <w:tc>
          <w:tcPr>
            <w:tcW w:w="69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18"/>
                <w:szCs w:val="18"/>
                <w:highlight w:val="none"/>
              </w:rPr>
            </w:pPr>
          </w:p>
        </w:tc>
        <w:tc>
          <w:tcPr>
            <w:tcW w:w="3034"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18"/>
                <w:szCs w:val="18"/>
                <w:highlight w:val="none"/>
              </w:rPr>
            </w:pPr>
          </w:p>
        </w:tc>
        <w:tc>
          <w:tcPr>
            <w:tcW w:w="162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公开06表</w:t>
            </w:r>
          </w:p>
        </w:tc>
      </w:tr>
      <w:tr>
        <w:tblPrEx>
          <w:tblLayout w:type="fixed"/>
          <w:tblCellMar>
            <w:top w:w="0" w:type="dxa"/>
            <w:left w:w="0" w:type="dxa"/>
            <w:bottom w:w="0" w:type="dxa"/>
            <w:right w:w="0" w:type="dxa"/>
          </w:tblCellMar>
        </w:tblPrEx>
        <w:trPr>
          <w:trHeight w:val="90" w:hRule="atLeast"/>
        </w:trPr>
        <w:tc>
          <w:tcPr>
            <w:tcW w:w="2878"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18"/>
                <w:szCs w:val="18"/>
                <w:highlight w:val="none"/>
              </w:rPr>
            </w:pPr>
          </w:p>
        </w:tc>
        <w:tc>
          <w:tcPr>
            <w:tcW w:w="118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18"/>
                <w:szCs w:val="18"/>
                <w:highlight w:val="none"/>
              </w:rPr>
            </w:pPr>
          </w:p>
        </w:tc>
        <w:tc>
          <w:tcPr>
            <w:tcW w:w="71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18"/>
                <w:szCs w:val="18"/>
                <w:highlight w:val="none"/>
              </w:rPr>
            </w:pPr>
          </w:p>
        </w:tc>
        <w:tc>
          <w:tcPr>
            <w:tcW w:w="1655"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18"/>
                <w:szCs w:val="18"/>
                <w:highlight w:val="none"/>
              </w:rPr>
            </w:pPr>
          </w:p>
        </w:tc>
        <w:tc>
          <w:tcPr>
            <w:tcW w:w="142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18"/>
                <w:szCs w:val="18"/>
                <w:highlight w:val="none"/>
              </w:rPr>
            </w:pPr>
          </w:p>
        </w:tc>
        <w:tc>
          <w:tcPr>
            <w:tcW w:w="69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18"/>
                <w:szCs w:val="18"/>
                <w:highlight w:val="none"/>
              </w:rPr>
            </w:pPr>
          </w:p>
        </w:tc>
        <w:tc>
          <w:tcPr>
            <w:tcW w:w="3034"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18"/>
                <w:szCs w:val="18"/>
                <w:highlight w:val="none"/>
              </w:rPr>
            </w:pPr>
          </w:p>
        </w:tc>
        <w:tc>
          <w:tcPr>
            <w:tcW w:w="162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tblPrEx>
          <w:tblLayout w:type="fixed"/>
          <w:tblCellMar>
            <w:top w:w="0" w:type="dxa"/>
            <w:left w:w="0" w:type="dxa"/>
            <w:bottom w:w="0" w:type="dxa"/>
            <w:right w:w="0" w:type="dxa"/>
          </w:tblCellMar>
        </w:tblPrEx>
        <w:trPr>
          <w:trHeight w:val="90" w:hRule="atLeast"/>
        </w:trPr>
        <w:tc>
          <w:tcPr>
            <w:tcW w:w="406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人员经费</w:t>
            </w:r>
          </w:p>
        </w:tc>
        <w:tc>
          <w:tcPr>
            <w:tcW w:w="9152" w:type="dxa"/>
            <w:gridSpan w:val="8"/>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公用经费</w:t>
            </w:r>
          </w:p>
        </w:tc>
      </w:tr>
      <w:tr>
        <w:tblPrEx>
          <w:tblLayout w:type="fixed"/>
          <w:tblCellMar>
            <w:top w:w="0" w:type="dxa"/>
            <w:left w:w="0" w:type="dxa"/>
            <w:bottom w:w="0" w:type="dxa"/>
            <w:right w:w="0" w:type="dxa"/>
          </w:tblCellMar>
        </w:tblPrEx>
        <w:trPr>
          <w:trHeight w:val="312" w:hRule="atLeast"/>
        </w:trPr>
        <w:tc>
          <w:tcPr>
            <w:tcW w:w="52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经济分类科目编码</w:t>
            </w:r>
          </w:p>
        </w:tc>
        <w:tc>
          <w:tcPr>
            <w:tcW w:w="235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经济分类科目（按</w:t>
            </w:r>
            <w:r>
              <w:rPr>
                <w:rFonts w:hint="eastAsia" w:ascii="Times New Roman" w:hAnsi="Times New Roman" w:cs="Times New Roman"/>
                <w:b/>
                <w:color w:val="auto"/>
                <w:sz w:val="18"/>
                <w:szCs w:val="18"/>
                <w:highlight w:val="none"/>
                <w:lang w:eastAsia="zh-CN"/>
              </w:rPr>
              <w:t>“</w:t>
            </w:r>
            <w:r>
              <w:rPr>
                <w:rFonts w:hint="default" w:ascii="Times New Roman" w:hAnsi="Times New Roman" w:cs="Times New Roman"/>
                <w:b/>
                <w:color w:val="auto"/>
                <w:sz w:val="18"/>
                <w:szCs w:val="18"/>
                <w:highlight w:val="none"/>
              </w:rPr>
              <w:t>款</w:t>
            </w:r>
            <w:r>
              <w:rPr>
                <w:rFonts w:hint="eastAsia" w:ascii="Times New Roman" w:hAnsi="Times New Roman" w:cs="Times New Roman"/>
                <w:b/>
                <w:color w:val="auto"/>
                <w:sz w:val="18"/>
                <w:szCs w:val="18"/>
                <w:highlight w:val="none"/>
                <w:lang w:eastAsia="zh-CN"/>
              </w:rPr>
              <w:t>”</w:t>
            </w:r>
            <w:r>
              <w:rPr>
                <w:rFonts w:hint="default" w:ascii="Times New Roman" w:hAnsi="Times New Roman" w:cs="Times New Roman"/>
                <w:b/>
                <w:color w:val="auto"/>
                <w:sz w:val="18"/>
                <w:szCs w:val="18"/>
                <w:highlight w:val="none"/>
              </w:rPr>
              <w:t>级功能分类科目）</w:t>
            </w:r>
          </w:p>
        </w:tc>
        <w:tc>
          <w:tcPr>
            <w:tcW w:w="118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金额</w:t>
            </w:r>
          </w:p>
        </w:tc>
        <w:tc>
          <w:tcPr>
            <w:tcW w:w="71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经济分类科目编码</w:t>
            </w:r>
          </w:p>
        </w:tc>
        <w:tc>
          <w:tcPr>
            <w:tcW w:w="165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经济分类科目（按</w:t>
            </w:r>
            <w:r>
              <w:rPr>
                <w:rFonts w:hint="eastAsia" w:ascii="Times New Roman" w:hAnsi="Times New Roman" w:cs="Times New Roman"/>
                <w:b/>
                <w:color w:val="auto"/>
                <w:sz w:val="18"/>
                <w:szCs w:val="18"/>
                <w:highlight w:val="none"/>
                <w:lang w:eastAsia="zh-CN"/>
              </w:rPr>
              <w:t>“</w:t>
            </w:r>
            <w:r>
              <w:rPr>
                <w:rFonts w:hint="default" w:ascii="Times New Roman" w:hAnsi="Times New Roman" w:cs="Times New Roman"/>
                <w:b/>
                <w:color w:val="auto"/>
                <w:sz w:val="18"/>
                <w:szCs w:val="18"/>
                <w:highlight w:val="none"/>
              </w:rPr>
              <w:t>款</w:t>
            </w:r>
            <w:r>
              <w:rPr>
                <w:rFonts w:hint="eastAsia" w:ascii="Times New Roman" w:hAnsi="Times New Roman" w:cs="Times New Roman"/>
                <w:b/>
                <w:color w:val="auto"/>
                <w:sz w:val="18"/>
                <w:szCs w:val="18"/>
                <w:highlight w:val="none"/>
                <w:lang w:eastAsia="zh-CN"/>
              </w:rPr>
              <w:t>”</w:t>
            </w:r>
            <w:r>
              <w:rPr>
                <w:rFonts w:hint="default" w:ascii="Times New Roman" w:hAnsi="Times New Roman" w:cs="Times New Roman"/>
                <w:b/>
                <w:color w:val="auto"/>
                <w:sz w:val="18"/>
                <w:szCs w:val="18"/>
                <w:highlight w:val="none"/>
              </w:rPr>
              <w:t>级功能分类科目）</w:t>
            </w:r>
          </w:p>
        </w:tc>
        <w:tc>
          <w:tcPr>
            <w:tcW w:w="142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金额</w:t>
            </w:r>
          </w:p>
        </w:tc>
        <w:tc>
          <w:tcPr>
            <w:tcW w:w="69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经济分类科目编码</w:t>
            </w:r>
          </w:p>
        </w:tc>
        <w:tc>
          <w:tcPr>
            <w:tcW w:w="303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经济分类科目（按</w:t>
            </w:r>
            <w:r>
              <w:rPr>
                <w:rFonts w:hint="eastAsia" w:ascii="Times New Roman" w:hAnsi="Times New Roman" w:cs="Times New Roman"/>
                <w:b/>
                <w:color w:val="auto"/>
                <w:sz w:val="18"/>
                <w:szCs w:val="18"/>
                <w:highlight w:val="none"/>
                <w:lang w:eastAsia="zh-CN"/>
              </w:rPr>
              <w:t>“</w:t>
            </w:r>
            <w:r>
              <w:rPr>
                <w:rFonts w:hint="default" w:ascii="Times New Roman" w:hAnsi="Times New Roman" w:cs="Times New Roman"/>
                <w:b/>
                <w:color w:val="auto"/>
                <w:sz w:val="18"/>
                <w:szCs w:val="18"/>
                <w:highlight w:val="none"/>
              </w:rPr>
              <w:t>款</w:t>
            </w:r>
            <w:r>
              <w:rPr>
                <w:rFonts w:hint="eastAsia" w:ascii="Times New Roman" w:hAnsi="Times New Roman" w:cs="Times New Roman"/>
                <w:b/>
                <w:color w:val="auto"/>
                <w:sz w:val="18"/>
                <w:szCs w:val="18"/>
                <w:highlight w:val="none"/>
                <w:lang w:eastAsia="zh-CN"/>
              </w:rPr>
              <w:t>”</w:t>
            </w:r>
            <w:r>
              <w:rPr>
                <w:rFonts w:hint="default" w:ascii="Times New Roman" w:hAnsi="Times New Roman" w:cs="Times New Roman"/>
                <w:b/>
                <w:color w:val="auto"/>
                <w:sz w:val="18"/>
                <w:szCs w:val="18"/>
                <w:highlight w:val="none"/>
              </w:rPr>
              <w:t>级功能分类科目）</w:t>
            </w:r>
          </w:p>
        </w:tc>
        <w:tc>
          <w:tcPr>
            <w:tcW w:w="1626"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金额</w:t>
            </w:r>
          </w:p>
        </w:tc>
      </w:tr>
      <w:tr>
        <w:tblPrEx>
          <w:tblLayout w:type="fixed"/>
          <w:tblCellMar>
            <w:top w:w="0" w:type="dxa"/>
            <w:left w:w="0" w:type="dxa"/>
            <w:bottom w:w="0" w:type="dxa"/>
            <w:right w:w="0" w:type="dxa"/>
          </w:tblCellMar>
        </w:tblPrEx>
        <w:trPr>
          <w:trHeight w:val="312" w:hRule="atLeast"/>
        </w:trPr>
        <w:tc>
          <w:tcPr>
            <w:tcW w:w="52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18"/>
                <w:szCs w:val="18"/>
                <w:highlight w:val="none"/>
              </w:rPr>
            </w:pPr>
          </w:p>
        </w:tc>
        <w:tc>
          <w:tcPr>
            <w:tcW w:w="235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18"/>
                <w:szCs w:val="18"/>
                <w:highlight w:val="none"/>
              </w:rPr>
            </w:pPr>
          </w:p>
        </w:tc>
        <w:tc>
          <w:tcPr>
            <w:tcW w:w="118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18"/>
                <w:szCs w:val="18"/>
                <w:highlight w:val="none"/>
              </w:rPr>
            </w:pPr>
          </w:p>
        </w:tc>
        <w:tc>
          <w:tcPr>
            <w:tcW w:w="71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18"/>
                <w:szCs w:val="18"/>
                <w:highlight w:val="none"/>
              </w:rPr>
            </w:pPr>
          </w:p>
        </w:tc>
        <w:tc>
          <w:tcPr>
            <w:tcW w:w="165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18"/>
                <w:szCs w:val="18"/>
                <w:highlight w:val="none"/>
              </w:rPr>
            </w:pPr>
          </w:p>
        </w:tc>
        <w:tc>
          <w:tcPr>
            <w:tcW w:w="142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18"/>
                <w:szCs w:val="18"/>
                <w:highlight w:val="none"/>
              </w:rPr>
            </w:pPr>
          </w:p>
        </w:tc>
        <w:tc>
          <w:tcPr>
            <w:tcW w:w="6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18"/>
                <w:szCs w:val="18"/>
                <w:highlight w:val="none"/>
              </w:rPr>
            </w:pPr>
          </w:p>
        </w:tc>
        <w:tc>
          <w:tcPr>
            <w:tcW w:w="303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18"/>
                <w:szCs w:val="18"/>
                <w:highlight w:val="none"/>
              </w:rPr>
            </w:pPr>
          </w:p>
        </w:tc>
        <w:tc>
          <w:tcPr>
            <w:tcW w:w="1626"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18"/>
                <w:szCs w:val="18"/>
                <w:highlight w:val="none"/>
              </w:rPr>
            </w:pPr>
          </w:p>
        </w:tc>
      </w:tr>
      <w:tr>
        <w:tblPrEx>
          <w:tblLayout w:type="fixed"/>
          <w:tblCellMar>
            <w:top w:w="0" w:type="dxa"/>
            <w:left w:w="0" w:type="dxa"/>
            <w:bottom w:w="0" w:type="dxa"/>
            <w:right w:w="0" w:type="dxa"/>
          </w:tblCellMar>
        </w:tblPrEx>
        <w:trPr>
          <w:trHeight w:val="90" w:hRule="atLeast"/>
        </w:trPr>
        <w:tc>
          <w:tcPr>
            <w:tcW w:w="52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w:t>
            </w:r>
          </w:p>
        </w:tc>
        <w:tc>
          <w:tcPr>
            <w:tcW w:w="235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工资福利支出</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861.10</w:t>
            </w:r>
            <w:r>
              <w:rPr>
                <w:rFonts w:hint="default" w:ascii="Times New Roman" w:hAnsi="Times New Roman" w:cs="Times New Roman"/>
                <w:color w:val="auto"/>
                <w:sz w:val="18"/>
                <w:highlight w:val="none"/>
                <w:u w:color="auto"/>
              </w:rPr>
              <w:t xml:space="preserve"> </w:t>
            </w:r>
          </w:p>
        </w:tc>
        <w:tc>
          <w:tcPr>
            <w:tcW w:w="71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w:t>
            </w:r>
          </w:p>
        </w:tc>
        <w:tc>
          <w:tcPr>
            <w:tcW w:w="165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商品和服务支出</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181.37</w:t>
            </w:r>
            <w:r>
              <w:rPr>
                <w:rFonts w:hint="default" w:ascii="Times New Roman" w:hAnsi="Times New Roman" w:cs="Times New Roman"/>
                <w:color w:val="auto"/>
                <w:sz w:val="18"/>
                <w:highlight w:val="none"/>
                <w:u w:color="auto"/>
              </w:rPr>
              <w:t xml:space="preserve"> </w:t>
            </w:r>
          </w:p>
        </w:tc>
        <w:tc>
          <w:tcPr>
            <w:tcW w:w="6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w:t>
            </w:r>
          </w:p>
        </w:tc>
        <w:tc>
          <w:tcPr>
            <w:tcW w:w="30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资本性支出</w:t>
            </w: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52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30101</w:t>
            </w:r>
          </w:p>
        </w:tc>
        <w:tc>
          <w:tcPr>
            <w:tcW w:w="235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基本工资</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198.80</w:t>
            </w:r>
            <w:r>
              <w:rPr>
                <w:rFonts w:hint="default" w:ascii="Times New Roman" w:hAnsi="Times New Roman" w:cs="Times New Roman"/>
                <w:color w:val="auto"/>
                <w:sz w:val="18"/>
                <w:highlight w:val="none"/>
                <w:u w:color="auto"/>
              </w:rPr>
              <w:t xml:space="preserve"> </w:t>
            </w:r>
          </w:p>
        </w:tc>
        <w:tc>
          <w:tcPr>
            <w:tcW w:w="71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30201</w:t>
            </w:r>
          </w:p>
        </w:tc>
        <w:tc>
          <w:tcPr>
            <w:tcW w:w="165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办公费</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101.02</w:t>
            </w:r>
            <w:r>
              <w:rPr>
                <w:rFonts w:hint="default" w:ascii="Times New Roman" w:hAnsi="Times New Roman" w:cs="Times New Roman"/>
                <w:color w:val="auto"/>
                <w:sz w:val="18"/>
                <w:highlight w:val="none"/>
                <w:u w:color="auto"/>
              </w:rPr>
              <w:t xml:space="preserve"> </w:t>
            </w:r>
          </w:p>
        </w:tc>
        <w:tc>
          <w:tcPr>
            <w:tcW w:w="6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31001</w:t>
            </w:r>
          </w:p>
        </w:tc>
        <w:tc>
          <w:tcPr>
            <w:tcW w:w="30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房屋建筑物购建</w:t>
            </w: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52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30102</w:t>
            </w:r>
          </w:p>
        </w:tc>
        <w:tc>
          <w:tcPr>
            <w:tcW w:w="235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津贴补贴</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128.81</w:t>
            </w:r>
            <w:r>
              <w:rPr>
                <w:rFonts w:hint="default" w:ascii="Times New Roman" w:hAnsi="Times New Roman" w:cs="Times New Roman"/>
                <w:color w:val="auto"/>
                <w:sz w:val="18"/>
                <w:highlight w:val="none"/>
                <w:u w:color="auto"/>
              </w:rPr>
              <w:t xml:space="preserve"> </w:t>
            </w:r>
          </w:p>
        </w:tc>
        <w:tc>
          <w:tcPr>
            <w:tcW w:w="71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30202</w:t>
            </w:r>
          </w:p>
        </w:tc>
        <w:tc>
          <w:tcPr>
            <w:tcW w:w="165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印刷费</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0.30</w:t>
            </w:r>
            <w:r>
              <w:rPr>
                <w:rFonts w:hint="default" w:ascii="Times New Roman" w:hAnsi="Times New Roman" w:cs="Times New Roman"/>
                <w:color w:val="auto"/>
                <w:sz w:val="18"/>
                <w:highlight w:val="none"/>
                <w:u w:color="auto"/>
              </w:rPr>
              <w:t xml:space="preserve"> </w:t>
            </w:r>
          </w:p>
        </w:tc>
        <w:tc>
          <w:tcPr>
            <w:tcW w:w="6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31002</w:t>
            </w:r>
          </w:p>
        </w:tc>
        <w:tc>
          <w:tcPr>
            <w:tcW w:w="30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办公设备购置</w:t>
            </w: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52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30103</w:t>
            </w:r>
          </w:p>
        </w:tc>
        <w:tc>
          <w:tcPr>
            <w:tcW w:w="235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奖金</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137.92</w:t>
            </w:r>
            <w:r>
              <w:rPr>
                <w:rFonts w:hint="default" w:ascii="Times New Roman" w:hAnsi="Times New Roman" w:cs="Times New Roman"/>
                <w:color w:val="auto"/>
                <w:sz w:val="18"/>
                <w:highlight w:val="none"/>
                <w:u w:color="auto"/>
              </w:rPr>
              <w:t xml:space="preserve"> </w:t>
            </w:r>
          </w:p>
        </w:tc>
        <w:tc>
          <w:tcPr>
            <w:tcW w:w="71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30203</w:t>
            </w:r>
          </w:p>
        </w:tc>
        <w:tc>
          <w:tcPr>
            <w:tcW w:w="165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咨询费</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31003</w:t>
            </w:r>
          </w:p>
        </w:tc>
        <w:tc>
          <w:tcPr>
            <w:tcW w:w="30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专用设备购置</w:t>
            </w: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52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30106</w:t>
            </w:r>
          </w:p>
        </w:tc>
        <w:tc>
          <w:tcPr>
            <w:tcW w:w="235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伙食补助费</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1.27</w:t>
            </w:r>
            <w:r>
              <w:rPr>
                <w:rFonts w:hint="default" w:ascii="Times New Roman" w:hAnsi="Times New Roman" w:cs="Times New Roman"/>
                <w:color w:val="auto"/>
                <w:sz w:val="18"/>
                <w:highlight w:val="none"/>
                <w:u w:color="auto"/>
              </w:rPr>
              <w:t xml:space="preserve"> </w:t>
            </w:r>
          </w:p>
        </w:tc>
        <w:tc>
          <w:tcPr>
            <w:tcW w:w="71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30204</w:t>
            </w:r>
          </w:p>
        </w:tc>
        <w:tc>
          <w:tcPr>
            <w:tcW w:w="165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手续费</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31005</w:t>
            </w:r>
          </w:p>
        </w:tc>
        <w:tc>
          <w:tcPr>
            <w:tcW w:w="30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基础设施建设</w:t>
            </w: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52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30107</w:t>
            </w:r>
          </w:p>
        </w:tc>
        <w:tc>
          <w:tcPr>
            <w:tcW w:w="235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绩效工资</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143.39</w:t>
            </w:r>
            <w:r>
              <w:rPr>
                <w:rFonts w:hint="default" w:ascii="Times New Roman" w:hAnsi="Times New Roman" w:cs="Times New Roman"/>
                <w:color w:val="auto"/>
                <w:sz w:val="18"/>
                <w:highlight w:val="none"/>
                <w:u w:color="auto"/>
              </w:rPr>
              <w:t xml:space="preserve"> </w:t>
            </w:r>
          </w:p>
        </w:tc>
        <w:tc>
          <w:tcPr>
            <w:tcW w:w="71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30205</w:t>
            </w:r>
          </w:p>
        </w:tc>
        <w:tc>
          <w:tcPr>
            <w:tcW w:w="165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水费</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1.82</w:t>
            </w:r>
            <w:r>
              <w:rPr>
                <w:rFonts w:hint="default" w:ascii="Times New Roman" w:hAnsi="Times New Roman" w:cs="Times New Roman"/>
                <w:color w:val="auto"/>
                <w:sz w:val="18"/>
                <w:highlight w:val="none"/>
                <w:u w:color="auto"/>
              </w:rPr>
              <w:t xml:space="preserve"> </w:t>
            </w:r>
          </w:p>
        </w:tc>
        <w:tc>
          <w:tcPr>
            <w:tcW w:w="6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31006</w:t>
            </w:r>
          </w:p>
        </w:tc>
        <w:tc>
          <w:tcPr>
            <w:tcW w:w="30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大型修缮</w:t>
            </w: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52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30108</w:t>
            </w:r>
          </w:p>
        </w:tc>
        <w:tc>
          <w:tcPr>
            <w:tcW w:w="235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机关事业单位基本养老保险缴费</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80.99</w:t>
            </w:r>
            <w:r>
              <w:rPr>
                <w:rFonts w:hint="default" w:ascii="Times New Roman" w:hAnsi="Times New Roman" w:cs="Times New Roman"/>
                <w:color w:val="auto"/>
                <w:sz w:val="18"/>
                <w:highlight w:val="none"/>
                <w:u w:color="auto"/>
              </w:rPr>
              <w:t xml:space="preserve"> </w:t>
            </w:r>
          </w:p>
        </w:tc>
        <w:tc>
          <w:tcPr>
            <w:tcW w:w="71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30206</w:t>
            </w:r>
          </w:p>
        </w:tc>
        <w:tc>
          <w:tcPr>
            <w:tcW w:w="165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电费</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5.66</w:t>
            </w:r>
            <w:r>
              <w:rPr>
                <w:rFonts w:hint="default" w:ascii="Times New Roman" w:hAnsi="Times New Roman" w:cs="Times New Roman"/>
                <w:color w:val="auto"/>
                <w:sz w:val="18"/>
                <w:highlight w:val="none"/>
                <w:u w:color="auto"/>
              </w:rPr>
              <w:t xml:space="preserve"> </w:t>
            </w:r>
          </w:p>
        </w:tc>
        <w:tc>
          <w:tcPr>
            <w:tcW w:w="6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31007</w:t>
            </w:r>
          </w:p>
        </w:tc>
        <w:tc>
          <w:tcPr>
            <w:tcW w:w="30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信息网络及软件购置更新</w:t>
            </w: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52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30109</w:t>
            </w:r>
          </w:p>
        </w:tc>
        <w:tc>
          <w:tcPr>
            <w:tcW w:w="235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职业年金缴费</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37.27</w:t>
            </w:r>
            <w:r>
              <w:rPr>
                <w:rFonts w:hint="default" w:ascii="Times New Roman" w:hAnsi="Times New Roman" w:cs="Times New Roman"/>
                <w:color w:val="auto"/>
                <w:sz w:val="18"/>
                <w:highlight w:val="none"/>
                <w:u w:color="auto"/>
              </w:rPr>
              <w:t xml:space="preserve"> </w:t>
            </w:r>
          </w:p>
        </w:tc>
        <w:tc>
          <w:tcPr>
            <w:tcW w:w="71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30207</w:t>
            </w:r>
          </w:p>
        </w:tc>
        <w:tc>
          <w:tcPr>
            <w:tcW w:w="165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邮电费</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16.21</w:t>
            </w:r>
            <w:r>
              <w:rPr>
                <w:rFonts w:hint="default" w:ascii="Times New Roman" w:hAnsi="Times New Roman" w:cs="Times New Roman"/>
                <w:color w:val="auto"/>
                <w:sz w:val="18"/>
                <w:highlight w:val="none"/>
                <w:u w:color="auto"/>
              </w:rPr>
              <w:t xml:space="preserve"> </w:t>
            </w:r>
          </w:p>
        </w:tc>
        <w:tc>
          <w:tcPr>
            <w:tcW w:w="6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31008</w:t>
            </w:r>
          </w:p>
        </w:tc>
        <w:tc>
          <w:tcPr>
            <w:tcW w:w="30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物资储备</w:t>
            </w: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52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30110</w:t>
            </w:r>
          </w:p>
        </w:tc>
        <w:tc>
          <w:tcPr>
            <w:tcW w:w="235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职工基本医疗保险缴费</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37.41</w:t>
            </w:r>
            <w:r>
              <w:rPr>
                <w:rFonts w:hint="default" w:ascii="Times New Roman" w:hAnsi="Times New Roman" w:cs="Times New Roman"/>
                <w:color w:val="auto"/>
                <w:sz w:val="18"/>
                <w:highlight w:val="none"/>
                <w:u w:color="auto"/>
              </w:rPr>
              <w:t xml:space="preserve"> </w:t>
            </w:r>
          </w:p>
        </w:tc>
        <w:tc>
          <w:tcPr>
            <w:tcW w:w="71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30208</w:t>
            </w:r>
          </w:p>
        </w:tc>
        <w:tc>
          <w:tcPr>
            <w:tcW w:w="165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取暖费</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31009</w:t>
            </w:r>
          </w:p>
        </w:tc>
        <w:tc>
          <w:tcPr>
            <w:tcW w:w="30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土地补偿</w:t>
            </w: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52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30111</w:t>
            </w:r>
          </w:p>
        </w:tc>
        <w:tc>
          <w:tcPr>
            <w:tcW w:w="235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公务员医疗补助缴费</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71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30209</w:t>
            </w:r>
          </w:p>
        </w:tc>
        <w:tc>
          <w:tcPr>
            <w:tcW w:w="165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物业管理费</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31010</w:t>
            </w:r>
          </w:p>
        </w:tc>
        <w:tc>
          <w:tcPr>
            <w:tcW w:w="30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安置补助</w:t>
            </w: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52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30112</w:t>
            </w:r>
          </w:p>
        </w:tc>
        <w:tc>
          <w:tcPr>
            <w:tcW w:w="235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其他社会保障缴费</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11.58</w:t>
            </w:r>
            <w:r>
              <w:rPr>
                <w:rFonts w:hint="default" w:ascii="Times New Roman" w:hAnsi="Times New Roman" w:cs="Times New Roman"/>
                <w:color w:val="auto"/>
                <w:sz w:val="18"/>
                <w:highlight w:val="none"/>
                <w:u w:color="auto"/>
              </w:rPr>
              <w:t xml:space="preserve"> </w:t>
            </w:r>
          </w:p>
        </w:tc>
        <w:tc>
          <w:tcPr>
            <w:tcW w:w="71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30211</w:t>
            </w:r>
          </w:p>
        </w:tc>
        <w:tc>
          <w:tcPr>
            <w:tcW w:w="165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差旅费</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0.59</w:t>
            </w:r>
            <w:r>
              <w:rPr>
                <w:rFonts w:hint="default" w:ascii="Times New Roman" w:hAnsi="Times New Roman" w:cs="Times New Roman"/>
                <w:color w:val="auto"/>
                <w:sz w:val="18"/>
                <w:highlight w:val="none"/>
                <w:u w:color="auto"/>
              </w:rPr>
              <w:t xml:space="preserve"> </w:t>
            </w:r>
          </w:p>
        </w:tc>
        <w:tc>
          <w:tcPr>
            <w:tcW w:w="6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31011</w:t>
            </w:r>
          </w:p>
        </w:tc>
        <w:tc>
          <w:tcPr>
            <w:tcW w:w="30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地上附着物和青苗补偿</w:t>
            </w: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52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30113</w:t>
            </w:r>
          </w:p>
        </w:tc>
        <w:tc>
          <w:tcPr>
            <w:tcW w:w="235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住房公积金</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72.85</w:t>
            </w:r>
            <w:r>
              <w:rPr>
                <w:rFonts w:hint="default" w:ascii="Times New Roman" w:hAnsi="Times New Roman" w:cs="Times New Roman"/>
                <w:color w:val="auto"/>
                <w:sz w:val="18"/>
                <w:highlight w:val="none"/>
                <w:u w:color="auto"/>
              </w:rPr>
              <w:t xml:space="preserve"> </w:t>
            </w:r>
          </w:p>
        </w:tc>
        <w:tc>
          <w:tcPr>
            <w:tcW w:w="71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30212</w:t>
            </w:r>
          </w:p>
        </w:tc>
        <w:tc>
          <w:tcPr>
            <w:tcW w:w="165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因公出国（境）费用</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31012</w:t>
            </w:r>
          </w:p>
        </w:tc>
        <w:tc>
          <w:tcPr>
            <w:tcW w:w="30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拆迁补偿</w:t>
            </w: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52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30114</w:t>
            </w:r>
          </w:p>
        </w:tc>
        <w:tc>
          <w:tcPr>
            <w:tcW w:w="235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医疗费</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10.80</w:t>
            </w:r>
            <w:r>
              <w:rPr>
                <w:rFonts w:hint="default" w:ascii="Times New Roman" w:hAnsi="Times New Roman" w:cs="Times New Roman"/>
                <w:color w:val="auto"/>
                <w:sz w:val="18"/>
                <w:highlight w:val="none"/>
                <w:u w:color="auto"/>
              </w:rPr>
              <w:t xml:space="preserve"> </w:t>
            </w:r>
          </w:p>
        </w:tc>
        <w:tc>
          <w:tcPr>
            <w:tcW w:w="71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30213</w:t>
            </w:r>
          </w:p>
        </w:tc>
        <w:tc>
          <w:tcPr>
            <w:tcW w:w="165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维修（护）费</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31013</w:t>
            </w:r>
          </w:p>
        </w:tc>
        <w:tc>
          <w:tcPr>
            <w:tcW w:w="30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公务用车购置</w:t>
            </w: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52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30199</w:t>
            </w:r>
          </w:p>
        </w:tc>
        <w:tc>
          <w:tcPr>
            <w:tcW w:w="235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其他工资福利支出</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71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30214</w:t>
            </w:r>
          </w:p>
        </w:tc>
        <w:tc>
          <w:tcPr>
            <w:tcW w:w="165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租赁费</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31019</w:t>
            </w:r>
          </w:p>
        </w:tc>
        <w:tc>
          <w:tcPr>
            <w:tcW w:w="30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其他交通工具购置</w:t>
            </w: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52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w:t>
            </w:r>
          </w:p>
        </w:tc>
        <w:tc>
          <w:tcPr>
            <w:tcW w:w="235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对个人和家庭的补助</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277.61</w:t>
            </w:r>
            <w:r>
              <w:rPr>
                <w:rFonts w:hint="default" w:ascii="Times New Roman" w:hAnsi="Times New Roman" w:cs="Times New Roman"/>
                <w:color w:val="auto"/>
                <w:sz w:val="18"/>
                <w:highlight w:val="none"/>
                <w:u w:color="auto"/>
              </w:rPr>
              <w:t xml:space="preserve"> </w:t>
            </w:r>
          </w:p>
        </w:tc>
        <w:tc>
          <w:tcPr>
            <w:tcW w:w="71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30215</w:t>
            </w:r>
          </w:p>
        </w:tc>
        <w:tc>
          <w:tcPr>
            <w:tcW w:w="165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会议费</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31021</w:t>
            </w:r>
          </w:p>
        </w:tc>
        <w:tc>
          <w:tcPr>
            <w:tcW w:w="30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文物和陈列品购置</w:t>
            </w: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52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30301</w:t>
            </w:r>
          </w:p>
        </w:tc>
        <w:tc>
          <w:tcPr>
            <w:tcW w:w="235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离休费</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71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30216</w:t>
            </w:r>
          </w:p>
        </w:tc>
        <w:tc>
          <w:tcPr>
            <w:tcW w:w="165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培训费</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2.96</w:t>
            </w:r>
            <w:r>
              <w:rPr>
                <w:rFonts w:hint="default" w:ascii="Times New Roman" w:hAnsi="Times New Roman" w:cs="Times New Roman"/>
                <w:color w:val="auto"/>
                <w:sz w:val="18"/>
                <w:highlight w:val="none"/>
                <w:u w:color="auto"/>
              </w:rPr>
              <w:t xml:space="preserve"> </w:t>
            </w:r>
          </w:p>
        </w:tc>
        <w:tc>
          <w:tcPr>
            <w:tcW w:w="6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31022</w:t>
            </w:r>
          </w:p>
        </w:tc>
        <w:tc>
          <w:tcPr>
            <w:tcW w:w="30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无形资产购置</w:t>
            </w: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52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30302</w:t>
            </w:r>
          </w:p>
        </w:tc>
        <w:tc>
          <w:tcPr>
            <w:tcW w:w="235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退休费</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71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30217</w:t>
            </w:r>
          </w:p>
        </w:tc>
        <w:tc>
          <w:tcPr>
            <w:tcW w:w="165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公务接待费</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31099</w:t>
            </w:r>
          </w:p>
        </w:tc>
        <w:tc>
          <w:tcPr>
            <w:tcW w:w="30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其他资本性支出</w:t>
            </w: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52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30303</w:t>
            </w:r>
          </w:p>
        </w:tc>
        <w:tc>
          <w:tcPr>
            <w:tcW w:w="235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退职（役）费</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71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30218</w:t>
            </w:r>
          </w:p>
        </w:tc>
        <w:tc>
          <w:tcPr>
            <w:tcW w:w="165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专用材料费</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312</w:t>
            </w:r>
          </w:p>
        </w:tc>
        <w:tc>
          <w:tcPr>
            <w:tcW w:w="30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对企业补助</w:t>
            </w: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52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30304</w:t>
            </w:r>
          </w:p>
        </w:tc>
        <w:tc>
          <w:tcPr>
            <w:tcW w:w="235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抚恤金</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7.66</w:t>
            </w:r>
            <w:r>
              <w:rPr>
                <w:rFonts w:hint="default" w:ascii="Times New Roman" w:hAnsi="Times New Roman" w:cs="Times New Roman"/>
                <w:color w:val="auto"/>
                <w:sz w:val="18"/>
                <w:highlight w:val="none"/>
                <w:u w:color="auto"/>
              </w:rPr>
              <w:t xml:space="preserve"> </w:t>
            </w:r>
          </w:p>
        </w:tc>
        <w:tc>
          <w:tcPr>
            <w:tcW w:w="71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30224</w:t>
            </w:r>
          </w:p>
        </w:tc>
        <w:tc>
          <w:tcPr>
            <w:tcW w:w="165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被装购置费</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31201</w:t>
            </w:r>
          </w:p>
        </w:tc>
        <w:tc>
          <w:tcPr>
            <w:tcW w:w="30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资本金注入</w:t>
            </w: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52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30305</w:t>
            </w:r>
          </w:p>
        </w:tc>
        <w:tc>
          <w:tcPr>
            <w:tcW w:w="235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生活补助</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258.85</w:t>
            </w:r>
            <w:r>
              <w:rPr>
                <w:rFonts w:hint="default" w:ascii="Times New Roman" w:hAnsi="Times New Roman" w:cs="Times New Roman"/>
                <w:color w:val="auto"/>
                <w:sz w:val="18"/>
                <w:highlight w:val="none"/>
                <w:u w:color="auto"/>
              </w:rPr>
              <w:t xml:space="preserve"> </w:t>
            </w:r>
          </w:p>
        </w:tc>
        <w:tc>
          <w:tcPr>
            <w:tcW w:w="71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30225</w:t>
            </w:r>
          </w:p>
        </w:tc>
        <w:tc>
          <w:tcPr>
            <w:tcW w:w="165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专用燃料费</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31203</w:t>
            </w:r>
          </w:p>
        </w:tc>
        <w:tc>
          <w:tcPr>
            <w:tcW w:w="30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政府投资基金股权投资</w:t>
            </w: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52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30306</w:t>
            </w:r>
          </w:p>
        </w:tc>
        <w:tc>
          <w:tcPr>
            <w:tcW w:w="235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救济费</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0.50</w:t>
            </w:r>
            <w:r>
              <w:rPr>
                <w:rFonts w:hint="default" w:ascii="Times New Roman" w:hAnsi="Times New Roman" w:cs="Times New Roman"/>
                <w:color w:val="auto"/>
                <w:sz w:val="18"/>
                <w:highlight w:val="none"/>
                <w:u w:color="auto"/>
              </w:rPr>
              <w:t xml:space="preserve"> </w:t>
            </w:r>
          </w:p>
        </w:tc>
        <w:tc>
          <w:tcPr>
            <w:tcW w:w="71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30226</w:t>
            </w:r>
          </w:p>
        </w:tc>
        <w:tc>
          <w:tcPr>
            <w:tcW w:w="165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劳务费</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13.52</w:t>
            </w:r>
            <w:r>
              <w:rPr>
                <w:rFonts w:hint="default" w:ascii="Times New Roman" w:hAnsi="Times New Roman" w:cs="Times New Roman"/>
                <w:color w:val="auto"/>
                <w:sz w:val="18"/>
                <w:highlight w:val="none"/>
                <w:u w:color="auto"/>
              </w:rPr>
              <w:t xml:space="preserve"> </w:t>
            </w:r>
          </w:p>
        </w:tc>
        <w:tc>
          <w:tcPr>
            <w:tcW w:w="6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31204</w:t>
            </w:r>
          </w:p>
        </w:tc>
        <w:tc>
          <w:tcPr>
            <w:tcW w:w="30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费用补贴</w:t>
            </w: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52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30307</w:t>
            </w:r>
          </w:p>
        </w:tc>
        <w:tc>
          <w:tcPr>
            <w:tcW w:w="235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医疗费补助</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10.60</w:t>
            </w:r>
            <w:r>
              <w:rPr>
                <w:rFonts w:hint="default" w:ascii="Times New Roman" w:hAnsi="Times New Roman" w:cs="Times New Roman"/>
                <w:color w:val="auto"/>
                <w:sz w:val="18"/>
                <w:highlight w:val="none"/>
                <w:u w:color="auto"/>
              </w:rPr>
              <w:t xml:space="preserve"> </w:t>
            </w:r>
          </w:p>
        </w:tc>
        <w:tc>
          <w:tcPr>
            <w:tcW w:w="71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30227</w:t>
            </w:r>
          </w:p>
        </w:tc>
        <w:tc>
          <w:tcPr>
            <w:tcW w:w="165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委托业务费</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31205</w:t>
            </w:r>
          </w:p>
        </w:tc>
        <w:tc>
          <w:tcPr>
            <w:tcW w:w="30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利息补贴</w:t>
            </w: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52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30308</w:t>
            </w:r>
          </w:p>
        </w:tc>
        <w:tc>
          <w:tcPr>
            <w:tcW w:w="235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助学金</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71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30228</w:t>
            </w:r>
          </w:p>
        </w:tc>
        <w:tc>
          <w:tcPr>
            <w:tcW w:w="165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工会经费</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2.30</w:t>
            </w:r>
            <w:r>
              <w:rPr>
                <w:rFonts w:hint="default" w:ascii="Times New Roman" w:hAnsi="Times New Roman" w:cs="Times New Roman"/>
                <w:color w:val="auto"/>
                <w:sz w:val="18"/>
                <w:highlight w:val="none"/>
                <w:u w:color="auto"/>
              </w:rPr>
              <w:t xml:space="preserve"> </w:t>
            </w:r>
          </w:p>
        </w:tc>
        <w:tc>
          <w:tcPr>
            <w:tcW w:w="6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31299</w:t>
            </w:r>
          </w:p>
        </w:tc>
        <w:tc>
          <w:tcPr>
            <w:tcW w:w="30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其他对企业补助</w:t>
            </w: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52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30309</w:t>
            </w:r>
          </w:p>
        </w:tc>
        <w:tc>
          <w:tcPr>
            <w:tcW w:w="235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奖励金</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71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30229</w:t>
            </w:r>
          </w:p>
        </w:tc>
        <w:tc>
          <w:tcPr>
            <w:tcW w:w="165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福利费</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5.45</w:t>
            </w:r>
            <w:r>
              <w:rPr>
                <w:rFonts w:hint="default" w:ascii="Times New Roman" w:hAnsi="Times New Roman" w:cs="Times New Roman"/>
                <w:color w:val="auto"/>
                <w:sz w:val="18"/>
                <w:highlight w:val="none"/>
                <w:u w:color="auto"/>
              </w:rPr>
              <w:t xml:space="preserve"> </w:t>
            </w:r>
          </w:p>
        </w:tc>
        <w:tc>
          <w:tcPr>
            <w:tcW w:w="6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399</w:t>
            </w:r>
          </w:p>
        </w:tc>
        <w:tc>
          <w:tcPr>
            <w:tcW w:w="30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其他支出</w:t>
            </w: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52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30310</w:t>
            </w:r>
          </w:p>
        </w:tc>
        <w:tc>
          <w:tcPr>
            <w:tcW w:w="235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个人农业生产补贴</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71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30231</w:t>
            </w:r>
          </w:p>
        </w:tc>
        <w:tc>
          <w:tcPr>
            <w:tcW w:w="165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公务用车运行维护费</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9.89</w:t>
            </w:r>
            <w:r>
              <w:rPr>
                <w:rFonts w:hint="default" w:ascii="Times New Roman" w:hAnsi="Times New Roman" w:cs="Times New Roman"/>
                <w:color w:val="auto"/>
                <w:sz w:val="18"/>
                <w:highlight w:val="none"/>
                <w:u w:color="auto"/>
              </w:rPr>
              <w:t xml:space="preserve"> </w:t>
            </w:r>
          </w:p>
        </w:tc>
        <w:tc>
          <w:tcPr>
            <w:tcW w:w="6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39907</w:t>
            </w:r>
          </w:p>
        </w:tc>
        <w:tc>
          <w:tcPr>
            <w:tcW w:w="30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国家赔偿费用支出</w:t>
            </w: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52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30311</w:t>
            </w:r>
          </w:p>
        </w:tc>
        <w:tc>
          <w:tcPr>
            <w:tcW w:w="235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代缴社会保险费</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71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30239</w:t>
            </w:r>
          </w:p>
        </w:tc>
        <w:tc>
          <w:tcPr>
            <w:tcW w:w="165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其他交通费用</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21.64</w:t>
            </w:r>
            <w:r>
              <w:rPr>
                <w:rFonts w:hint="default" w:ascii="Times New Roman" w:hAnsi="Times New Roman" w:cs="Times New Roman"/>
                <w:color w:val="auto"/>
                <w:sz w:val="18"/>
                <w:highlight w:val="none"/>
                <w:u w:color="auto"/>
              </w:rPr>
              <w:t xml:space="preserve"> </w:t>
            </w:r>
          </w:p>
        </w:tc>
        <w:tc>
          <w:tcPr>
            <w:tcW w:w="6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39908</w:t>
            </w:r>
          </w:p>
        </w:tc>
        <w:tc>
          <w:tcPr>
            <w:tcW w:w="30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对民间非营利组织和群众性自治组织补贴</w:t>
            </w: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52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30399</w:t>
            </w:r>
          </w:p>
        </w:tc>
        <w:tc>
          <w:tcPr>
            <w:tcW w:w="235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其他对个人和家庭的补助</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71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30240</w:t>
            </w:r>
          </w:p>
        </w:tc>
        <w:tc>
          <w:tcPr>
            <w:tcW w:w="165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税金及附加费用</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39909</w:t>
            </w:r>
          </w:p>
        </w:tc>
        <w:tc>
          <w:tcPr>
            <w:tcW w:w="30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经常性赠与</w:t>
            </w: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52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18"/>
                <w:szCs w:val="18"/>
                <w:highlight w:val="none"/>
              </w:rPr>
            </w:pPr>
          </w:p>
        </w:tc>
        <w:tc>
          <w:tcPr>
            <w:tcW w:w="235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18"/>
                <w:szCs w:val="18"/>
                <w:highlight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18"/>
                <w:szCs w:val="18"/>
                <w:highlight w:val="none"/>
              </w:rPr>
            </w:pPr>
          </w:p>
        </w:tc>
        <w:tc>
          <w:tcPr>
            <w:tcW w:w="71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30299</w:t>
            </w:r>
          </w:p>
        </w:tc>
        <w:tc>
          <w:tcPr>
            <w:tcW w:w="165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其他商品和服务支出</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39910</w:t>
            </w:r>
          </w:p>
        </w:tc>
        <w:tc>
          <w:tcPr>
            <w:tcW w:w="30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资本性赠与</w:t>
            </w: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52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18"/>
                <w:szCs w:val="18"/>
                <w:highlight w:val="none"/>
              </w:rPr>
            </w:pPr>
          </w:p>
        </w:tc>
        <w:tc>
          <w:tcPr>
            <w:tcW w:w="235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18"/>
                <w:szCs w:val="18"/>
                <w:highlight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18"/>
                <w:szCs w:val="18"/>
                <w:highlight w:val="none"/>
              </w:rPr>
            </w:pPr>
          </w:p>
        </w:tc>
        <w:tc>
          <w:tcPr>
            <w:tcW w:w="71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307</w:t>
            </w:r>
          </w:p>
        </w:tc>
        <w:tc>
          <w:tcPr>
            <w:tcW w:w="165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债务利息及费用支出</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39999</w:t>
            </w:r>
          </w:p>
        </w:tc>
        <w:tc>
          <w:tcPr>
            <w:tcW w:w="30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其他支出</w:t>
            </w: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52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18"/>
                <w:szCs w:val="18"/>
                <w:highlight w:val="none"/>
              </w:rPr>
            </w:pPr>
          </w:p>
        </w:tc>
        <w:tc>
          <w:tcPr>
            <w:tcW w:w="235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18"/>
                <w:szCs w:val="18"/>
                <w:highlight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18"/>
                <w:szCs w:val="18"/>
                <w:highlight w:val="none"/>
              </w:rPr>
            </w:pPr>
          </w:p>
        </w:tc>
        <w:tc>
          <w:tcPr>
            <w:tcW w:w="71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30701</w:t>
            </w:r>
          </w:p>
        </w:tc>
        <w:tc>
          <w:tcPr>
            <w:tcW w:w="165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国内债务付息</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18"/>
                <w:szCs w:val="18"/>
                <w:highlight w:val="none"/>
              </w:rPr>
            </w:pPr>
          </w:p>
        </w:tc>
        <w:tc>
          <w:tcPr>
            <w:tcW w:w="30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18"/>
                <w:szCs w:val="18"/>
                <w:highlight w:val="none"/>
              </w:rPr>
            </w:pP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outlineLvl w:val="9"/>
              <w:rPr>
                <w:rFonts w:hint="default" w:ascii="Times New Roman" w:hAnsi="Times New Roman" w:cs="Times New Roman"/>
                <w:color w:val="auto"/>
                <w:sz w:val="18"/>
                <w:szCs w:val="18"/>
                <w:highlight w:val="none"/>
              </w:rPr>
            </w:pPr>
          </w:p>
        </w:tc>
      </w:tr>
      <w:tr>
        <w:tblPrEx>
          <w:tblLayout w:type="fixed"/>
          <w:tblCellMar>
            <w:top w:w="0" w:type="dxa"/>
            <w:left w:w="0" w:type="dxa"/>
            <w:bottom w:w="0" w:type="dxa"/>
            <w:right w:w="0" w:type="dxa"/>
          </w:tblCellMar>
        </w:tblPrEx>
        <w:trPr>
          <w:trHeight w:val="90" w:hRule="atLeast"/>
        </w:trPr>
        <w:tc>
          <w:tcPr>
            <w:tcW w:w="52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18"/>
                <w:szCs w:val="18"/>
                <w:highlight w:val="none"/>
              </w:rPr>
            </w:pPr>
          </w:p>
        </w:tc>
        <w:tc>
          <w:tcPr>
            <w:tcW w:w="235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18"/>
                <w:szCs w:val="18"/>
                <w:highlight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18"/>
                <w:szCs w:val="18"/>
                <w:highlight w:val="none"/>
              </w:rPr>
            </w:pPr>
          </w:p>
        </w:tc>
        <w:tc>
          <w:tcPr>
            <w:tcW w:w="71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30702</w:t>
            </w:r>
          </w:p>
        </w:tc>
        <w:tc>
          <w:tcPr>
            <w:tcW w:w="165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国外债务付息</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18"/>
                <w:szCs w:val="18"/>
                <w:highlight w:val="none"/>
              </w:rPr>
            </w:pPr>
          </w:p>
        </w:tc>
        <w:tc>
          <w:tcPr>
            <w:tcW w:w="30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18"/>
                <w:szCs w:val="18"/>
                <w:highlight w:val="none"/>
              </w:rPr>
            </w:pP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outlineLvl w:val="9"/>
              <w:rPr>
                <w:rFonts w:hint="default" w:ascii="Times New Roman" w:hAnsi="Times New Roman" w:cs="Times New Roman"/>
                <w:color w:val="auto"/>
                <w:sz w:val="18"/>
                <w:szCs w:val="18"/>
                <w:highlight w:val="none"/>
              </w:rPr>
            </w:pPr>
          </w:p>
        </w:tc>
      </w:tr>
      <w:tr>
        <w:tblPrEx>
          <w:tblLayout w:type="fixed"/>
          <w:tblCellMar>
            <w:top w:w="0" w:type="dxa"/>
            <w:left w:w="0" w:type="dxa"/>
            <w:bottom w:w="0" w:type="dxa"/>
            <w:right w:w="0" w:type="dxa"/>
          </w:tblCellMar>
        </w:tblPrEx>
        <w:trPr>
          <w:trHeight w:val="90" w:hRule="atLeast"/>
        </w:trPr>
        <w:tc>
          <w:tcPr>
            <w:tcW w:w="52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18"/>
                <w:szCs w:val="18"/>
                <w:highlight w:val="none"/>
              </w:rPr>
            </w:pPr>
          </w:p>
        </w:tc>
        <w:tc>
          <w:tcPr>
            <w:tcW w:w="235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18"/>
                <w:szCs w:val="18"/>
                <w:highlight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18"/>
                <w:szCs w:val="18"/>
                <w:highlight w:val="none"/>
              </w:rPr>
            </w:pPr>
          </w:p>
        </w:tc>
        <w:tc>
          <w:tcPr>
            <w:tcW w:w="71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30703</w:t>
            </w:r>
          </w:p>
        </w:tc>
        <w:tc>
          <w:tcPr>
            <w:tcW w:w="165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国内债务发行费用</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18"/>
                <w:szCs w:val="18"/>
                <w:highlight w:val="none"/>
              </w:rPr>
            </w:pPr>
          </w:p>
        </w:tc>
        <w:tc>
          <w:tcPr>
            <w:tcW w:w="30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18"/>
                <w:szCs w:val="18"/>
                <w:highlight w:val="none"/>
              </w:rPr>
            </w:pP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outlineLvl w:val="9"/>
              <w:rPr>
                <w:rFonts w:hint="default" w:ascii="Times New Roman" w:hAnsi="Times New Roman" w:cs="Times New Roman"/>
                <w:color w:val="auto"/>
                <w:sz w:val="18"/>
                <w:szCs w:val="18"/>
                <w:highlight w:val="none"/>
              </w:rPr>
            </w:pPr>
          </w:p>
        </w:tc>
      </w:tr>
      <w:tr>
        <w:tblPrEx>
          <w:tblLayout w:type="fixed"/>
          <w:tblCellMar>
            <w:top w:w="0" w:type="dxa"/>
            <w:left w:w="0" w:type="dxa"/>
            <w:bottom w:w="0" w:type="dxa"/>
            <w:right w:w="0" w:type="dxa"/>
          </w:tblCellMar>
        </w:tblPrEx>
        <w:trPr>
          <w:trHeight w:val="90" w:hRule="atLeast"/>
        </w:trPr>
        <w:tc>
          <w:tcPr>
            <w:tcW w:w="52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18"/>
                <w:szCs w:val="18"/>
                <w:highlight w:val="none"/>
              </w:rPr>
            </w:pPr>
          </w:p>
        </w:tc>
        <w:tc>
          <w:tcPr>
            <w:tcW w:w="235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18"/>
                <w:szCs w:val="18"/>
                <w:highlight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18"/>
                <w:szCs w:val="18"/>
                <w:highlight w:val="none"/>
              </w:rPr>
            </w:pPr>
          </w:p>
        </w:tc>
        <w:tc>
          <w:tcPr>
            <w:tcW w:w="71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30704</w:t>
            </w:r>
          </w:p>
        </w:tc>
        <w:tc>
          <w:tcPr>
            <w:tcW w:w="165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国外债务发行费用</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18"/>
                <w:szCs w:val="18"/>
                <w:highlight w:val="none"/>
              </w:rPr>
            </w:pPr>
          </w:p>
        </w:tc>
        <w:tc>
          <w:tcPr>
            <w:tcW w:w="30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18"/>
                <w:szCs w:val="18"/>
                <w:highlight w:val="none"/>
              </w:rPr>
            </w:pP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outlineLvl w:val="9"/>
              <w:rPr>
                <w:rFonts w:hint="default" w:ascii="Times New Roman" w:hAnsi="Times New Roman" w:cs="Times New Roman"/>
                <w:color w:val="auto"/>
                <w:sz w:val="18"/>
                <w:szCs w:val="18"/>
                <w:highlight w:val="none"/>
              </w:rPr>
            </w:pPr>
          </w:p>
        </w:tc>
      </w:tr>
      <w:tr>
        <w:tblPrEx>
          <w:tblLayout w:type="fixed"/>
          <w:tblCellMar>
            <w:top w:w="0" w:type="dxa"/>
            <w:left w:w="0" w:type="dxa"/>
            <w:bottom w:w="0" w:type="dxa"/>
            <w:right w:w="0" w:type="dxa"/>
          </w:tblCellMar>
        </w:tblPrEx>
        <w:trPr>
          <w:trHeight w:val="90" w:hRule="atLeast"/>
        </w:trPr>
        <w:tc>
          <w:tcPr>
            <w:tcW w:w="2878"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人员经费合计</w:t>
            </w:r>
          </w:p>
        </w:tc>
        <w:tc>
          <w:tcPr>
            <w:tcW w:w="11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bottom"/>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w:t>
            </w:r>
            <w:r>
              <w:rPr>
                <w:rFonts w:hint="eastAsia" w:ascii="Times New Roman" w:hAnsi="Times New Roman" w:cs="Times New Roman"/>
                <w:color w:val="auto"/>
                <w:sz w:val="18"/>
                <w:szCs w:val="18"/>
                <w:highlight w:val="none"/>
                <w:lang w:eastAsia="zh-CN"/>
              </w:rPr>
              <w:t>，</w:t>
            </w:r>
            <w:r>
              <w:rPr>
                <w:rFonts w:hint="default" w:ascii="Times New Roman" w:hAnsi="Times New Roman" w:cs="Times New Roman"/>
                <w:color w:val="auto"/>
                <w:sz w:val="18"/>
                <w:szCs w:val="18"/>
                <w:highlight w:val="none"/>
              </w:rPr>
              <w:t>138.71</w:t>
            </w:r>
            <w:r>
              <w:rPr>
                <w:rFonts w:hint="default" w:ascii="Times New Roman" w:hAnsi="Times New Roman" w:cs="Times New Roman"/>
                <w:color w:val="auto"/>
                <w:sz w:val="18"/>
                <w:highlight w:val="none"/>
                <w:u w:color="auto"/>
              </w:rPr>
              <w:t xml:space="preserve"> </w:t>
            </w:r>
          </w:p>
        </w:tc>
        <w:tc>
          <w:tcPr>
            <w:tcW w:w="7526" w:type="dxa"/>
            <w:gridSpan w:val="6"/>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公用经费合计</w:t>
            </w:r>
          </w:p>
        </w:tc>
        <w:tc>
          <w:tcPr>
            <w:tcW w:w="162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181.37</w:t>
            </w:r>
            <w:r>
              <w:rPr>
                <w:rFonts w:hint="default" w:ascii="Times New Roman" w:hAnsi="Times New Roman" w:cs="Times New Roman"/>
                <w:color w:val="auto"/>
                <w:sz w:val="18"/>
                <w:highlight w:val="none"/>
                <w:u w:color="auto"/>
              </w:rPr>
              <w:t xml:space="preserve"> </w:t>
            </w:r>
          </w:p>
        </w:tc>
      </w:tr>
    </w:tbl>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备注：1.本表反映部门本年度一般公共预算财政拨款基本支出明细情况。</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t xml:space="preserve">      2.本套报表金额单位转换时可能存在尾数误差。</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1"/>
          <w:szCs w:val="21"/>
          <w:highlight w:val="none"/>
        </w:rPr>
        <w:br w:type="page"/>
      </w:r>
    </w:p>
    <w:tbl>
      <w:tblPr>
        <w:tblStyle w:val="12"/>
        <w:tblW w:w="13460" w:type="dxa"/>
        <w:tblInd w:w="0" w:type="dxa"/>
        <w:tblLayout w:type="fixed"/>
        <w:tblCellMar>
          <w:top w:w="0" w:type="dxa"/>
          <w:left w:w="0" w:type="dxa"/>
          <w:bottom w:w="0" w:type="dxa"/>
          <w:right w:w="0" w:type="dxa"/>
        </w:tblCellMar>
      </w:tblPr>
      <w:tblGrid>
        <w:gridCol w:w="1623"/>
        <w:gridCol w:w="2702"/>
        <w:gridCol w:w="1495"/>
        <w:gridCol w:w="1494"/>
        <w:gridCol w:w="1494"/>
        <w:gridCol w:w="1"/>
        <w:gridCol w:w="1494"/>
        <w:gridCol w:w="1551"/>
        <w:gridCol w:w="1606"/>
      </w:tblGrid>
      <w:tr>
        <w:tblPrEx>
          <w:tblLayout w:type="fixed"/>
          <w:tblCellMar>
            <w:top w:w="0" w:type="dxa"/>
            <w:left w:w="0" w:type="dxa"/>
            <w:bottom w:w="0" w:type="dxa"/>
            <w:right w:w="0" w:type="dxa"/>
          </w:tblCellMar>
        </w:tblPrEx>
        <w:trPr>
          <w:trHeight w:val="380" w:hRule="atLeast"/>
        </w:trPr>
        <w:tc>
          <w:tcPr>
            <w:tcW w:w="13460"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bottom"/>
              <w:outlineLvl w:val="9"/>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政府性基金预算财政拨款收入支出决算表</w:t>
            </w:r>
          </w:p>
        </w:tc>
      </w:tr>
      <w:tr>
        <w:tblPrEx>
          <w:tblLayout w:type="fixed"/>
          <w:tblCellMar>
            <w:top w:w="0" w:type="dxa"/>
            <w:left w:w="0" w:type="dxa"/>
            <w:bottom w:w="0" w:type="dxa"/>
            <w:right w:w="0" w:type="dxa"/>
          </w:tblCellMar>
        </w:tblPrEx>
        <w:trPr>
          <w:trHeight w:val="196" w:hRule="atLeast"/>
        </w:trPr>
        <w:tc>
          <w:tcPr>
            <w:tcW w:w="4325"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公开部门： 重庆市秀山土家族苗族自治县石耶镇人民政府</w:t>
            </w:r>
          </w:p>
        </w:tc>
        <w:tc>
          <w:tcPr>
            <w:tcW w:w="149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20"/>
                <w:szCs w:val="20"/>
                <w:highlight w:val="none"/>
              </w:rPr>
            </w:pPr>
          </w:p>
        </w:tc>
        <w:tc>
          <w:tcPr>
            <w:tcW w:w="149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20"/>
                <w:szCs w:val="20"/>
                <w:highlight w:val="none"/>
              </w:rPr>
            </w:pPr>
          </w:p>
        </w:tc>
        <w:tc>
          <w:tcPr>
            <w:tcW w:w="1495"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20"/>
                <w:szCs w:val="20"/>
                <w:highlight w:val="none"/>
              </w:rPr>
            </w:pPr>
          </w:p>
        </w:tc>
        <w:tc>
          <w:tcPr>
            <w:tcW w:w="149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20"/>
                <w:szCs w:val="20"/>
                <w:highlight w:val="none"/>
              </w:rPr>
            </w:pPr>
          </w:p>
        </w:tc>
        <w:tc>
          <w:tcPr>
            <w:tcW w:w="155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20"/>
                <w:szCs w:val="20"/>
                <w:highlight w:val="none"/>
              </w:rPr>
            </w:pPr>
          </w:p>
        </w:tc>
        <w:tc>
          <w:tcPr>
            <w:tcW w:w="160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公开07表</w:t>
            </w:r>
          </w:p>
        </w:tc>
      </w:tr>
      <w:tr>
        <w:tblPrEx>
          <w:tblLayout w:type="fixed"/>
          <w:tblCellMar>
            <w:top w:w="0" w:type="dxa"/>
            <w:left w:w="0" w:type="dxa"/>
            <w:bottom w:w="0" w:type="dxa"/>
            <w:right w:w="0" w:type="dxa"/>
          </w:tblCellMar>
        </w:tblPrEx>
        <w:trPr>
          <w:trHeight w:val="196" w:hRule="atLeast"/>
        </w:trPr>
        <w:tc>
          <w:tcPr>
            <w:tcW w:w="4325"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20"/>
                <w:szCs w:val="20"/>
                <w:highlight w:val="none"/>
              </w:rPr>
            </w:pPr>
          </w:p>
        </w:tc>
        <w:tc>
          <w:tcPr>
            <w:tcW w:w="149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20"/>
                <w:szCs w:val="20"/>
                <w:highlight w:val="none"/>
              </w:rPr>
            </w:pPr>
          </w:p>
        </w:tc>
        <w:tc>
          <w:tcPr>
            <w:tcW w:w="149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20"/>
                <w:szCs w:val="20"/>
                <w:highlight w:val="none"/>
              </w:rPr>
            </w:pPr>
          </w:p>
        </w:tc>
        <w:tc>
          <w:tcPr>
            <w:tcW w:w="1495"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20"/>
                <w:szCs w:val="20"/>
                <w:highlight w:val="none"/>
              </w:rPr>
            </w:pPr>
          </w:p>
        </w:tc>
        <w:tc>
          <w:tcPr>
            <w:tcW w:w="149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20"/>
                <w:szCs w:val="20"/>
                <w:highlight w:val="none"/>
              </w:rPr>
            </w:pPr>
          </w:p>
        </w:tc>
        <w:tc>
          <w:tcPr>
            <w:tcW w:w="155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20"/>
                <w:szCs w:val="20"/>
                <w:highlight w:val="none"/>
              </w:rPr>
            </w:pPr>
          </w:p>
        </w:tc>
        <w:tc>
          <w:tcPr>
            <w:tcW w:w="160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tblPrEx>
          <w:tblLayout w:type="fixed"/>
          <w:tblCellMar>
            <w:top w:w="0" w:type="dxa"/>
            <w:left w:w="0" w:type="dxa"/>
            <w:bottom w:w="0" w:type="dxa"/>
            <w:right w:w="0" w:type="dxa"/>
          </w:tblCellMar>
        </w:tblPrEx>
        <w:trPr>
          <w:trHeight w:val="208" w:hRule="atLeast"/>
        </w:trPr>
        <w:tc>
          <w:tcPr>
            <w:tcW w:w="432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w:t>
            </w:r>
          </w:p>
        </w:tc>
        <w:tc>
          <w:tcPr>
            <w:tcW w:w="1495"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年初结转和结余</w:t>
            </w:r>
          </w:p>
        </w:tc>
        <w:tc>
          <w:tcPr>
            <w:tcW w:w="149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本年收入</w:t>
            </w:r>
          </w:p>
        </w:tc>
        <w:tc>
          <w:tcPr>
            <w:tcW w:w="4540" w:type="dxa"/>
            <w:gridSpan w:val="4"/>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本年支出</w:t>
            </w:r>
          </w:p>
        </w:tc>
        <w:tc>
          <w:tcPr>
            <w:tcW w:w="160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年末结转和结余</w:t>
            </w:r>
          </w:p>
        </w:tc>
      </w:tr>
      <w:tr>
        <w:tblPrEx>
          <w:tblLayout w:type="fixed"/>
          <w:tblCellMar>
            <w:top w:w="0" w:type="dxa"/>
            <w:left w:w="0" w:type="dxa"/>
            <w:bottom w:w="0" w:type="dxa"/>
            <w:right w:w="0" w:type="dxa"/>
          </w:tblCellMar>
        </w:tblPrEx>
        <w:trPr>
          <w:trHeight w:val="312" w:hRule="atLeast"/>
        </w:trPr>
        <w:tc>
          <w:tcPr>
            <w:tcW w:w="162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功能分类科目编码</w:t>
            </w:r>
          </w:p>
        </w:tc>
        <w:tc>
          <w:tcPr>
            <w:tcW w:w="270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项目（按</w:t>
            </w:r>
            <w:r>
              <w:rPr>
                <w:rFonts w:hint="eastAsia" w:ascii="Times New Roman" w:hAnsi="Times New Roman" w:cs="Times New Roman"/>
                <w:b/>
                <w:color w:val="auto"/>
                <w:sz w:val="20"/>
                <w:szCs w:val="20"/>
                <w:highlight w:val="none"/>
                <w:lang w:eastAsia="zh-CN"/>
              </w:rPr>
              <w:t>“</w:t>
            </w:r>
            <w:r>
              <w:rPr>
                <w:rFonts w:hint="default" w:ascii="Times New Roman" w:hAnsi="Times New Roman" w:cs="Times New Roman"/>
                <w:b/>
                <w:color w:val="auto"/>
                <w:sz w:val="20"/>
                <w:szCs w:val="20"/>
                <w:highlight w:val="none"/>
              </w:rPr>
              <w:t>项</w:t>
            </w:r>
            <w:r>
              <w:rPr>
                <w:rFonts w:hint="eastAsia" w:ascii="Times New Roman" w:hAnsi="Times New Roman" w:cs="Times New Roman"/>
                <w:b/>
                <w:color w:val="auto"/>
                <w:sz w:val="20"/>
                <w:szCs w:val="20"/>
                <w:highlight w:val="none"/>
                <w:lang w:eastAsia="zh-CN"/>
              </w:rPr>
              <w:t>”</w:t>
            </w:r>
            <w:r>
              <w:rPr>
                <w:rFonts w:hint="default" w:ascii="Times New Roman" w:hAnsi="Times New Roman" w:cs="Times New Roman"/>
                <w:b/>
                <w:color w:val="auto"/>
                <w:sz w:val="20"/>
                <w:szCs w:val="20"/>
                <w:highlight w:val="none"/>
              </w:rPr>
              <w:t>级功能分类科目）</w:t>
            </w:r>
          </w:p>
        </w:tc>
        <w:tc>
          <w:tcPr>
            <w:tcW w:w="149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c>
          <w:tcPr>
            <w:tcW w:w="1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合计</w:t>
            </w:r>
          </w:p>
        </w:tc>
        <w:tc>
          <w:tcPr>
            <w:tcW w:w="149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基本支出</w:t>
            </w:r>
          </w:p>
        </w:tc>
        <w:tc>
          <w:tcPr>
            <w:tcW w:w="15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项目支出</w:t>
            </w:r>
          </w:p>
        </w:tc>
        <w:tc>
          <w:tcPr>
            <w:tcW w:w="160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12" w:hRule="atLeast"/>
        </w:trPr>
        <w:tc>
          <w:tcPr>
            <w:tcW w:w="162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c>
          <w:tcPr>
            <w:tcW w:w="27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c>
          <w:tcPr>
            <w:tcW w:w="149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c>
          <w:tcPr>
            <w:tcW w:w="1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c>
          <w:tcPr>
            <w:tcW w:w="149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c>
          <w:tcPr>
            <w:tcW w:w="15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82" w:hRule="atLeast"/>
        </w:trPr>
        <w:tc>
          <w:tcPr>
            <w:tcW w:w="162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c>
          <w:tcPr>
            <w:tcW w:w="27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c>
          <w:tcPr>
            <w:tcW w:w="149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c>
          <w:tcPr>
            <w:tcW w:w="1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c>
          <w:tcPr>
            <w:tcW w:w="149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c>
          <w:tcPr>
            <w:tcW w:w="15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208" w:hRule="atLeast"/>
        </w:trPr>
        <w:tc>
          <w:tcPr>
            <w:tcW w:w="432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合计</w:t>
            </w:r>
          </w:p>
        </w:tc>
        <w:tc>
          <w:tcPr>
            <w:tcW w:w="14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14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bCs/>
                <w:color w:val="auto"/>
                <w:sz w:val="20"/>
                <w:szCs w:val="20"/>
                <w:highlight w:val="none"/>
              </w:rPr>
              <w:t>67.47</w:t>
            </w:r>
            <w:r>
              <w:rPr>
                <w:rFonts w:hint="default" w:ascii="Times New Roman" w:hAnsi="Times New Roman" w:cs="Times New Roman"/>
                <w:b/>
                <w:color w:val="auto"/>
                <w:sz w:val="20"/>
                <w:highlight w:val="none"/>
                <w:u w:color="auto"/>
              </w:rPr>
              <w:t xml:space="preserve"> </w:t>
            </w:r>
          </w:p>
        </w:tc>
        <w:tc>
          <w:tcPr>
            <w:tcW w:w="14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bCs/>
                <w:color w:val="auto"/>
                <w:sz w:val="20"/>
                <w:szCs w:val="20"/>
                <w:highlight w:val="none"/>
              </w:rPr>
              <w:t>67.47</w:t>
            </w:r>
            <w:r>
              <w:rPr>
                <w:rFonts w:hint="default" w:ascii="Times New Roman" w:hAnsi="Times New Roman" w:cs="Times New Roman"/>
                <w:b/>
                <w:color w:val="auto"/>
                <w:sz w:val="20"/>
                <w:highlight w:val="none"/>
                <w:u w:color="auto"/>
              </w:rPr>
              <w:t xml:space="preserve"> </w:t>
            </w:r>
          </w:p>
        </w:tc>
        <w:tc>
          <w:tcPr>
            <w:tcW w:w="14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15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bCs/>
                <w:color w:val="auto"/>
                <w:sz w:val="20"/>
                <w:szCs w:val="20"/>
                <w:highlight w:val="none"/>
              </w:rPr>
              <w:t>67.47</w:t>
            </w:r>
            <w:r>
              <w:rPr>
                <w:rFonts w:hint="default" w:ascii="Times New Roman" w:hAnsi="Times New Roman" w:cs="Times New Roman"/>
                <w:b/>
                <w:color w:val="auto"/>
                <w:sz w:val="20"/>
                <w:highlight w:val="none"/>
                <w:u w:color="auto"/>
              </w:rPr>
              <w:t xml:space="preserve"> </w:t>
            </w:r>
          </w:p>
        </w:tc>
        <w:tc>
          <w:tcPr>
            <w:tcW w:w="16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214" w:hRule="atLeast"/>
        </w:trPr>
        <w:tc>
          <w:tcPr>
            <w:tcW w:w="16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both"/>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w:t>
            </w:r>
          </w:p>
        </w:tc>
        <w:tc>
          <w:tcPr>
            <w:tcW w:w="27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both"/>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社会保障和就业支出</w:t>
            </w:r>
          </w:p>
        </w:tc>
        <w:tc>
          <w:tcPr>
            <w:tcW w:w="14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42</w:t>
            </w:r>
            <w:r>
              <w:rPr>
                <w:rFonts w:hint="default" w:ascii="Times New Roman" w:hAnsi="Times New Roman" w:cs="Times New Roman"/>
                <w:b/>
                <w:color w:val="auto"/>
                <w:sz w:val="20"/>
                <w:highlight w:val="none"/>
                <w:u w:color="auto"/>
              </w:rPr>
              <w:t xml:space="preserve"> </w:t>
            </w:r>
          </w:p>
        </w:tc>
        <w:tc>
          <w:tcPr>
            <w:tcW w:w="14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42</w:t>
            </w:r>
            <w:r>
              <w:rPr>
                <w:rFonts w:hint="default" w:ascii="Times New Roman" w:hAnsi="Times New Roman" w:cs="Times New Roman"/>
                <w:b/>
                <w:color w:val="auto"/>
                <w:sz w:val="20"/>
                <w:highlight w:val="none"/>
                <w:u w:color="auto"/>
              </w:rPr>
              <w:t xml:space="preserve"> </w:t>
            </w:r>
          </w:p>
        </w:tc>
        <w:tc>
          <w:tcPr>
            <w:tcW w:w="14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42</w:t>
            </w:r>
            <w:r>
              <w:rPr>
                <w:rFonts w:hint="default" w:ascii="Times New Roman" w:hAnsi="Times New Roman" w:cs="Times New Roman"/>
                <w:b/>
                <w:color w:val="auto"/>
                <w:sz w:val="20"/>
                <w:highlight w:val="none"/>
                <w:u w:color="auto"/>
              </w:rPr>
              <w:t xml:space="preserve"> </w:t>
            </w:r>
          </w:p>
        </w:tc>
        <w:tc>
          <w:tcPr>
            <w:tcW w:w="16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6" w:hRule="atLeast"/>
        </w:trPr>
        <w:tc>
          <w:tcPr>
            <w:tcW w:w="16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both"/>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20823</w:t>
            </w:r>
          </w:p>
        </w:tc>
        <w:tc>
          <w:tcPr>
            <w:tcW w:w="27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both"/>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小型水库移民扶助基金安排的支出</w:t>
            </w:r>
          </w:p>
        </w:tc>
        <w:tc>
          <w:tcPr>
            <w:tcW w:w="14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42</w:t>
            </w:r>
            <w:r>
              <w:rPr>
                <w:rFonts w:hint="default" w:ascii="Times New Roman" w:hAnsi="Times New Roman" w:cs="Times New Roman"/>
                <w:b/>
                <w:color w:val="auto"/>
                <w:sz w:val="20"/>
                <w:highlight w:val="none"/>
                <w:u w:color="auto"/>
              </w:rPr>
              <w:t xml:space="preserve"> </w:t>
            </w:r>
          </w:p>
        </w:tc>
        <w:tc>
          <w:tcPr>
            <w:tcW w:w="14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42</w:t>
            </w:r>
            <w:r>
              <w:rPr>
                <w:rFonts w:hint="default" w:ascii="Times New Roman" w:hAnsi="Times New Roman" w:cs="Times New Roman"/>
                <w:b/>
                <w:color w:val="auto"/>
                <w:sz w:val="20"/>
                <w:highlight w:val="none"/>
                <w:u w:color="auto"/>
              </w:rPr>
              <w:t xml:space="preserve"> </w:t>
            </w:r>
          </w:p>
        </w:tc>
        <w:tc>
          <w:tcPr>
            <w:tcW w:w="14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42</w:t>
            </w:r>
            <w:r>
              <w:rPr>
                <w:rFonts w:hint="default" w:ascii="Times New Roman" w:hAnsi="Times New Roman" w:cs="Times New Roman"/>
                <w:b/>
                <w:color w:val="auto"/>
                <w:sz w:val="20"/>
                <w:highlight w:val="none"/>
                <w:u w:color="auto"/>
              </w:rPr>
              <w:t xml:space="preserve"> </w:t>
            </w:r>
          </w:p>
        </w:tc>
        <w:tc>
          <w:tcPr>
            <w:tcW w:w="16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6" w:hRule="atLeast"/>
        </w:trPr>
        <w:tc>
          <w:tcPr>
            <w:tcW w:w="16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both"/>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2082399</w:t>
            </w:r>
          </w:p>
        </w:tc>
        <w:tc>
          <w:tcPr>
            <w:tcW w:w="27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both"/>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其他小型水库移民扶助基金支出</w:t>
            </w:r>
          </w:p>
        </w:tc>
        <w:tc>
          <w:tcPr>
            <w:tcW w:w="14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42</w:t>
            </w:r>
            <w:r>
              <w:rPr>
                <w:rFonts w:hint="default" w:ascii="Times New Roman" w:hAnsi="Times New Roman" w:cs="Times New Roman"/>
                <w:color w:val="auto"/>
                <w:sz w:val="20"/>
                <w:highlight w:val="none"/>
                <w:u w:color="auto"/>
              </w:rPr>
              <w:t xml:space="preserve"> </w:t>
            </w:r>
          </w:p>
        </w:tc>
        <w:tc>
          <w:tcPr>
            <w:tcW w:w="14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42</w:t>
            </w:r>
            <w:r>
              <w:rPr>
                <w:rFonts w:hint="default" w:ascii="Times New Roman" w:hAnsi="Times New Roman" w:cs="Times New Roman"/>
                <w:color w:val="auto"/>
                <w:sz w:val="20"/>
                <w:highlight w:val="none"/>
                <w:u w:color="auto"/>
              </w:rPr>
              <w:t xml:space="preserve"> </w:t>
            </w:r>
          </w:p>
        </w:tc>
        <w:tc>
          <w:tcPr>
            <w:tcW w:w="14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42</w:t>
            </w:r>
            <w:r>
              <w:rPr>
                <w:rFonts w:hint="default" w:ascii="Times New Roman" w:hAnsi="Times New Roman" w:cs="Times New Roman"/>
                <w:color w:val="auto"/>
                <w:sz w:val="20"/>
                <w:highlight w:val="none"/>
                <w:u w:color="auto"/>
              </w:rPr>
              <w:t xml:space="preserve"> </w:t>
            </w:r>
          </w:p>
        </w:tc>
        <w:tc>
          <w:tcPr>
            <w:tcW w:w="16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14" w:hRule="atLeast"/>
        </w:trPr>
        <w:tc>
          <w:tcPr>
            <w:tcW w:w="16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both"/>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212</w:t>
            </w:r>
          </w:p>
        </w:tc>
        <w:tc>
          <w:tcPr>
            <w:tcW w:w="27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both"/>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城乡社区支出</w:t>
            </w:r>
          </w:p>
        </w:tc>
        <w:tc>
          <w:tcPr>
            <w:tcW w:w="14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5</w:t>
            </w:r>
            <w:r>
              <w:rPr>
                <w:rFonts w:hint="default" w:ascii="Times New Roman" w:hAnsi="Times New Roman" w:cs="Times New Roman"/>
                <w:b/>
                <w:color w:val="auto"/>
                <w:sz w:val="20"/>
                <w:highlight w:val="none"/>
                <w:u w:color="auto"/>
              </w:rPr>
              <w:t xml:space="preserve"> </w:t>
            </w:r>
          </w:p>
        </w:tc>
        <w:tc>
          <w:tcPr>
            <w:tcW w:w="14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5</w:t>
            </w:r>
            <w:r>
              <w:rPr>
                <w:rFonts w:hint="default" w:ascii="Times New Roman" w:hAnsi="Times New Roman" w:cs="Times New Roman"/>
                <w:b/>
                <w:color w:val="auto"/>
                <w:sz w:val="20"/>
                <w:highlight w:val="none"/>
                <w:u w:color="auto"/>
              </w:rPr>
              <w:t xml:space="preserve"> </w:t>
            </w:r>
          </w:p>
        </w:tc>
        <w:tc>
          <w:tcPr>
            <w:tcW w:w="14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5</w:t>
            </w:r>
            <w:r>
              <w:rPr>
                <w:rFonts w:hint="default" w:ascii="Times New Roman" w:hAnsi="Times New Roman" w:cs="Times New Roman"/>
                <w:b/>
                <w:color w:val="auto"/>
                <w:sz w:val="20"/>
                <w:highlight w:val="none"/>
                <w:u w:color="auto"/>
              </w:rPr>
              <w:t xml:space="preserve"> </w:t>
            </w:r>
          </w:p>
        </w:tc>
        <w:tc>
          <w:tcPr>
            <w:tcW w:w="16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6" w:hRule="atLeast"/>
        </w:trPr>
        <w:tc>
          <w:tcPr>
            <w:tcW w:w="16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both"/>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21208</w:t>
            </w:r>
          </w:p>
        </w:tc>
        <w:tc>
          <w:tcPr>
            <w:tcW w:w="27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both"/>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国有土地使用权出让收入安排的支出</w:t>
            </w:r>
          </w:p>
        </w:tc>
        <w:tc>
          <w:tcPr>
            <w:tcW w:w="14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5</w:t>
            </w:r>
            <w:r>
              <w:rPr>
                <w:rFonts w:hint="default" w:ascii="Times New Roman" w:hAnsi="Times New Roman" w:cs="Times New Roman"/>
                <w:b/>
                <w:color w:val="auto"/>
                <w:sz w:val="20"/>
                <w:highlight w:val="none"/>
                <w:u w:color="auto"/>
              </w:rPr>
              <w:t xml:space="preserve"> </w:t>
            </w:r>
          </w:p>
        </w:tc>
        <w:tc>
          <w:tcPr>
            <w:tcW w:w="14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5</w:t>
            </w:r>
            <w:r>
              <w:rPr>
                <w:rFonts w:hint="default" w:ascii="Times New Roman" w:hAnsi="Times New Roman" w:cs="Times New Roman"/>
                <w:b/>
                <w:color w:val="auto"/>
                <w:sz w:val="20"/>
                <w:highlight w:val="none"/>
                <w:u w:color="auto"/>
              </w:rPr>
              <w:t xml:space="preserve"> </w:t>
            </w:r>
          </w:p>
        </w:tc>
        <w:tc>
          <w:tcPr>
            <w:tcW w:w="14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5</w:t>
            </w:r>
            <w:r>
              <w:rPr>
                <w:rFonts w:hint="default" w:ascii="Times New Roman" w:hAnsi="Times New Roman" w:cs="Times New Roman"/>
                <w:b/>
                <w:color w:val="auto"/>
                <w:sz w:val="20"/>
                <w:highlight w:val="none"/>
                <w:u w:color="auto"/>
              </w:rPr>
              <w:t xml:space="preserve"> </w:t>
            </w:r>
          </w:p>
        </w:tc>
        <w:tc>
          <w:tcPr>
            <w:tcW w:w="16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6" w:hRule="atLeast"/>
        </w:trPr>
        <w:tc>
          <w:tcPr>
            <w:tcW w:w="16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both"/>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2120899</w:t>
            </w:r>
          </w:p>
        </w:tc>
        <w:tc>
          <w:tcPr>
            <w:tcW w:w="27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both"/>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其他国有土地使用权出让收入安排的支出</w:t>
            </w:r>
          </w:p>
        </w:tc>
        <w:tc>
          <w:tcPr>
            <w:tcW w:w="14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5</w:t>
            </w:r>
            <w:r>
              <w:rPr>
                <w:rFonts w:hint="default" w:ascii="Times New Roman" w:hAnsi="Times New Roman" w:cs="Times New Roman"/>
                <w:color w:val="auto"/>
                <w:sz w:val="20"/>
                <w:highlight w:val="none"/>
                <w:u w:color="auto"/>
              </w:rPr>
              <w:t xml:space="preserve"> </w:t>
            </w:r>
          </w:p>
        </w:tc>
        <w:tc>
          <w:tcPr>
            <w:tcW w:w="14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5</w:t>
            </w:r>
            <w:r>
              <w:rPr>
                <w:rFonts w:hint="default" w:ascii="Times New Roman" w:hAnsi="Times New Roman" w:cs="Times New Roman"/>
                <w:color w:val="auto"/>
                <w:sz w:val="20"/>
                <w:highlight w:val="none"/>
                <w:u w:color="auto"/>
              </w:rPr>
              <w:t xml:space="preserve"> </w:t>
            </w:r>
          </w:p>
        </w:tc>
        <w:tc>
          <w:tcPr>
            <w:tcW w:w="14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5</w:t>
            </w:r>
            <w:r>
              <w:rPr>
                <w:rFonts w:hint="default" w:ascii="Times New Roman" w:hAnsi="Times New Roman" w:cs="Times New Roman"/>
                <w:color w:val="auto"/>
                <w:sz w:val="20"/>
                <w:highlight w:val="none"/>
                <w:u w:color="auto"/>
              </w:rPr>
              <w:t xml:space="preserve"> </w:t>
            </w:r>
          </w:p>
        </w:tc>
        <w:tc>
          <w:tcPr>
            <w:tcW w:w="16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14" w:hRule="atLeast"/>
        </w:trPr>
        <w:tc>
          <w:tcPr>
            <w:tcW w:w="16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both"/>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213</w:t>
            </w:r>
          </w:p>
        </w:tc>
        <w:tc>
          <w:tcPr>
            <w:tcW w:w="27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both"/>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农林水支出</w:t>
            </w:r>
          </w:p>
        </w:tc>
        <w:tc>
          <w:tcPr>
            <w:tcW w:w="14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20.47</w:t>
            </w:r>
            <w:r>
              <w:rPr>
                <w:rFonts w:hint="default" w:ascii="Times New Roman" w:hAnsi="Times New Roman" w:cs="Times New Roman"/>
                <w:b/>
                <w:color w:val="auto"/>
                <w:sz w:val="20"/>
                <w:highlight w:val="none"/>
                <w:u w:color="auto"/>
              </w:rPr>
              <w:t xml:space="preserve"> </w:t>
            </w:r>
          </w:p>
        </w:tc>
        <w:tc>
          <w:tcPr>
            <w:tcW w:w="14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20.47</w:t>
            </w:r>
            <w:r>
              <w:rPr>
                <w:rFonts w:hint="default" w:ascii="Times New Roman" w:hAnsi="Times New Roman" w:cs="Times New Roman"/>
                <w:b/>
                <w:color w:val="auto"/>
                <w:sz w:val="20"/>
                <w:highlight w:val="none"/>
                <w:u w:color="auto"/>
              </w:rPr>
              <w:t xml:space="preserve"> </w:t>
            </w:r>
          </w:p>
        </w:tc>
        <w:tc>
          <w:tcPr>
            <w:tcW w:w="14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20.47</w:t>
            </w:r>
            <w:r>
              <w:rPr>
                <w:rFonts w:hint="default" w:ascii="Times New Roman" w:hAnsi="Times New Roman" w:cs="Times New Roman"/>
                <w:b/>
                <w:color w:val="auto"/>
                <w:sz w:val="20"/>
                <w:highlight w:val="none"/>
                <w:u w:color="auto"/>
              </w:rPr>
              <w:t xml:space="preserve"> </w:t>
            </w:r>
          </w:p>
        </w:tc>
        <w:tc>
          <w:tcPr>
            <w:tcW w:w="16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6" w:hRule="atLeast"/>
        </w:trPr>
        <w:tc>
          <w:tcPr>
            <w:tcW w:w="16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both"/>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21366</w:t>
            </w:r>
          </w:p>
        </w:tc>
        <w:tc>
          <w:tcPr>
            <w:tcW w:w="27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both"/>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大中型水库库区基金安排的支出</w:t>
            </w:r>
          </w:p>
        </w:tc>
        <w:tc>
          <w:tcPr>
            <w:tcW w:w="14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20.47</w:t>
            </w:r>
            <w:r>
              <w:rPr>
                <w:rFonts w:hint="default" w:ascii="Times New Roman" w:hAnsi="Times New Roman" w:cs="Times New Roman"/>
                <w:b/>
                <w:color w:val="auto"/>
                <w:sz w:val="20"/>
                <w:highlight w:val="none"/>
                <w:u w:color="auto"/>
              </w:rPr>
              <w:t xml:space="preserve"> </w:t>
            </w:r>
          </w:p>
        </w:tc>
        <w:tc>
          <w:tcPr>
            <w:tcW w:w="14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20.47</w:t>
            </w:r>
            <w:r>
              <w:rPr>
                <w:rFonts w:hint="default" w:ascii="Times New Roman" w:hAnsi="Times New Roman" w:cs="Times New Roman"/>
                <w:b/>
                <w:color w:val="auto"/>
                <w:sz w:val="20"/>
                <w:highlight w:val="none"/>
                <w:u w:color="auto"/>
              </w:rPr>
              <w:t xml:space="preserve"> </w:t>
            </w:r>
          </w:p>
        </w:tc>
        <w:tc>
          <w:tcPr>
            <w:tcW w:w="14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20.47</w:t>
            </w:r>
            <w:r>
              <w:rPr>
                <w:rFonts w:hint="default" w:ascii="Times New Roman" w:hAnsi="Times New Roman" w:cs="Times New Roman"/>
                <w:b/>
                <w:color w:val="auto"/>
                <w:sz w:val="20"/>
                <w:highlight w:val="none"/>
                <w:u w:color="auto"/>
              </w:rPr>
              <w:t xml:space="preserve"> </w:t>
            </w:r>
          </w:p>
        </w:tc>
        <w:tc>
          <w:tcPr>
            <w:tcW w:w="16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19" w:hRule="atLeast"/>
        </w:trPr>
        <w:tc>
          <w:tcPr>
            <w:tcW w:w="16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both"/>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2136601</w:t>
            </w:r>
          </w:p>
        </w:tc>
        <w:tc>
          <w:tcPr>
            <w:tcW w:w="27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both"/>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基础设施建设和经济发展</w:t>
            </w:r>
          </w:p>
        </w:tc>
        <w:tc>
          <w:tcPr>
            <w:tcW w:w="14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20.47</w:t>
            </w:r>
            <w:r>
              <w:rPr>
                <w:rFonts w:hint="default" w:ascii="Times New Roman" w:hAnsi="Times New Roman" w:cs="Times New Roman"/>
                <w:color w:val="auto"/>
                <w:sz w:val="20"/>
                <w:highlight w:val="none"/>
                <w:u w:color="auto"/>
              </w:rPr>
              <w:t xml:space="preserve"> </w:t>
            </w:r>
          </w:p>
        </w:tc>
        <w:tc>
          <w:tcPr>
            <w:tcW w:w="14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20.47</w:t>
            </w:r>
            <w:r>
              <w:rPr>
                <w:rFonts w:hint="default" w:ascii="Times New Roman" w:hAnsi="Times New Roman" w:cs="Times New Roman"/>
                <w:color w:val="auto"/>
                <w:sz w:val="20"/>
                <w:highlight w:val="none"/>
                <w:u w:color="auto"/>
              </w:rPr>
              <w:t xml:space="preserve"> </w:t>
            </w:r>
          </w:p>
        </w:tc>
        <w:tc>
          <w:tcPr>
            <w:tcW w:w="14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20.47</w:t>
            </w:r>
            <w:r>
              <w:rPr>
                <w:rFonts w:hint="default" w:ascii="Times New Roman" w:hAnsi="Times New Roman" w:cs="Times New Roman"/>
                <w:color w:val="auto"/>
                <w:sz w:val="20"/>
                <w:highlight w:val="none"/>
                <w:u w:color="auto"/>
              </w:rPr>
              <w:t xml:space="preserve"> </w:t>
            </w:r>
          </w:p>
        </w:tc>
        <w:tc>
          <w:tcPr>
            <w:tcW w:w="16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bl>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0"/>
          <w:szCs w:val="20"/>
          <w:highlight w:val="none"/>
        </w:rPr>
        <w:t>备注：1.本表反映部门本年度政府性基金预算财政拨款收入支出及结转和结余情况。</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t xml:space="preserve">      2.本套报表金额单位转换时可能存在尾数误差。</w:t>
      </w:r>
      <w:r>
        <w:rPr>
          <w:rFonts w:hint="default" w:ascii="Times New Roman" w:hAnsi="Times New Roman" w:cs="Times New Roman"/>
          <w:color w:val="auto"/>
          <w:sz w:val="20"/>
          <w:szCs w:val="20"/>
          <w:highlight w:val="none"/>
        </w:rPr>
        <w:br w:type="textWrapping"/>
      </w: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br w:type="page"/>
      </w:r>
    </w:p>
    <w:tbl>
      <w:tblPr>
        <w:tblStyle w:val="12"/>
        <w:tblW w:w="13213" w:type="dxa"/>
        <w:tblInd w:w="0" w:type="dxa"/>
        <w:tblLayout w:type="fixed"/>
        <w:tblCellMar>
          <w:top w:w="0" w:type="dxa"/>
          <w:left w:w="0" w:type="dxa"/>
          <w:bottom w:w="0" w:type="dxa"/>
          <w:right w:w="0" w:type="dxa"/>
        </w:tblCellMar>
      </w:tblPr>
      <w:tblGrid>
        <w:gridCol w:w="1617"/>
        <w:gridCol w:w="2629"/>
        <w:gridCol w:w="2815"/>
        <w:gridCol w:w="171"/>
        <w:gridCol w:w="2987"/>
        <w:gridCol w:w="66"/>
        <w:gridCol w:w="2928"/>
      </w:tblGrid>
      <w:tr>
        <w:tblPrEx>
          <w:tblLayout w:type="fixed"/>
          <w:tblCellMar>
            <w:top w:w="0" w:type="dxa"/>
            <w:left w:w="0" w:type="dxa"/>
            <w:bottom w:w="0" w:type="dxa"/>
            <w:right w:w="0" w:type="dxa"/>
          </w:tblCellMar>
        </w:tblPrEx>
        <w:trPr>
          <w:trHeight w:val="650" w:hRule="atLeast"/>
        </w:trPr>
        <w:tc>
          <w:tcPr>
            <w:tcW w:w="13213" w:type="dxa"/>
            <w:gridSpan w:val="7"/>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bottom"/>
              <w:outlineLvl w:val="9"/>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4246"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公开部门： </w:t>
            </w:r>
            <w:r>
              <w:rPr>
                <w:rFonts w:hint="default" w:ascii="Times New Roman" w:hAnsi="Times New Roman" w:cs="Times New Roman"/>
                <w:color w:val="auto"/>
                <w:sz w:val="20"/>
                <w:highlight w:val="none"/>
                <w:u w:color="auto"/>
              </w:rPr>
              <w:t>重庆市秀山土家族苗族自治县石耶镇人民政府</w:t>
            </w:r>
          </w:p>
        </w:tc>
        <w:tc>
          <w:tcPr>
            <w:tcW w:w="281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20"/>
                <w:szCs w:val="20"/>
                <w:highlight w:val="none"/>
              </w:rPr>
            </w:pPr>
          </w:p>
        </w:tc>
        <w:tc>
          <w:tcPr>
            <w:tcW w:w="3224" w:type="dxa"/>
            <w:gridSpan w:val="3"/>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20"/>
                <w:szCs w:val="20"/>
                <w:highlight w:val="none"/>
              </w:rPr>
            </w:pPr>
          </w:p>
        </w:tc>
        <w:tc>
          <w:tcPr>
            <w:tcW w:w="292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公开08表</w:t>
            </w:r>
          </w:p>
        </w:tc>
      </w:tr>
      <w:tr>
        <w:tblPrEx>
          <w:tblLayout w:type="fixed"/>
          <w:tblCellMar>
            <w:top w:w="0" w:type="dxa"/>
            <w:left w:w="0" w:type="dxa"/>
            <w:bottom w:w="0" w:type="dxa"/>
            <w:right w:w="0" w:type="dxa"/>
          </w:tblCellMar>
        </w:tblPrEx>
        <w:trPr>
          <w:trHeight w:val="332" w:hRule="atLeast"/>
        </w:trPr>
        <w:tc>
          <w:tcPr>
            <w:tcW w:w="4246"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20"/>
                <w:szCs w:val="20"/>
                <w:highlight w:val="none"/>
              </w:rPr>
            </w:pPr>
          </w:p>
        </w:tc>
        <w:tc>
          <w:tcPr>
            <w:tcW w:w="281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20"/>
                <w:szCs w:val="20"/>
                <w:highlight w:val="none"/>
              </w:rPr>
            </w:pPr>
          </w:p>
        </w:tc>
        <w:tc>
          <w:tcPr>
            <w:tcW w:w="3224" w:type="dxa"/>
            <w:gridSpan w:val="3"/>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20"/>
                <w:szCs w:val="20"/>
                <w:highlight w:val="none"/>
              </w:rPr>
            </w:pPr>
          </w:p>
        </w:tc>
        <w:tc>
          <w:tcPr>
            <w:tcW w:w="292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tblPrEx>
          <w:tblLayout w:type="fixed"/>
          <w:tblCellMar>
            <w:top w:w="0" w:type="dxa"/>
            <w:left w:w="0" w:type="dxa"/>
            <w:bottom w:w="0" w:type="dxa"/>
            <w:right w:w="0" w:type="dxa"/>
          </w:tblCellMar>
        </w:tblPrEx>
        <w:trPr>
          <w:trHeight w:val="422" w:hRule="atLeast"/>
        </w:trPr>
        <w:tc>
          <w:tcPr>
            <w:tcW w:w="424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bottom"/>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w:t>
            </w:r>
          </w:p>
        </w:tc>
        <w:tc>
          <w:tcPr>
            <w:tcW w:w="8967"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bottom"/>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本年支出</w:t>
            </w:r>
          </w:p>
        </w:tc>
      </w:tr>
      <w:tr>
        <w:tblPrEx>
          <w:tblLayout w:type="fixed"/>
          <w:tblCellMar>
            <w:top w:w="0" w:type="dxa"/>
            <w:left w:w="0" w:type="dxa"/>
            <w:bottom w:w="0" w:type="dxa"/>
            <w:right w:w="0" w:type="dxa"/>
          </w:tblCellMar>
        </w:tblPrEx>
        <w:trPr>
          <w:trHeight w:val="339" w:hRule="atLeast"/>
        </w:trPr>
        <w:tc>
          <w:tcPr>
            <w:tcW w:w="161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功能分类科目编码</w:t>
            </w:r>
          </w:p>
        </w:tc>
        <w:tc>
          <w:tcPr>
            <w:tcW w:w="26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科目名称</w:t>
            </w:r>
          </w:p>
        </w:tc>
        <w:tc>
          <w:tcPr>
            <w:tcW w:w="298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合计</w:t>
            </w:r>
          </w:p>
        </w:tc>
        <w:tc>
          <w:tcPr>
            <w:tcW w:w="298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基本支出</w:t>
            </w:r>
          </w:p>
        </w:tc>
        <w:tc>
          <w:tcPr>
            <w:tcW w:w="2994"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项目支出</w:t>
            </w:r>
          </w:p>
        </w:tc>
      </w:tr>
      <w:tr>
        <w:tblPrEx>
          <w:tblLayout w:type="fixed"/>
          <w:tblCellMar>
            <w:top w:w="0" w:type="dxa"/>
            <w:left w:w="0" w:type="dxa"/>
            <w:bottom w:w="0" w:type="dxa"/>
            <w:right w:w="0" w:type="dxa"/>
          </w:tblCellMar>
        </w:tblPrEx>
        <w:trPr>
          <w:trHeight w:val="339" w:hRule="atLeast"/>
        </w:trPr>
        <w:tc>
          <w:tcPr>
            <w:tcW w:w="161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c>
          <w:tcPr>
            <w:tcW w:w="26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c>
          <w:tcPr>
            <w:tcW w:w="298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c>
          <w:tcPr>
            <w:tcW w:w="298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c>
          <w:tcPr>
            <w:tcW w:w="2994"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39" w:hRule="atLeast"/>
        </w:trPr>
        <w:tc>
          <w:tcPr>
            <w:tcW w:w="161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c>
          <w:tcPr>
            <w:tcW w:w="26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c>
          <w:tcPr>
            <w:tcW w:w="298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c>
          <w:tcPr>
            <w:tcW w:w="298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c>
          <w:tcPr>
            <w:tcW w:w="2994"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26" w:hRule="atLeast"/>
        </w:trPr>
        <w:tc>
          <w:tcPr>
            <w:tcW w:w="161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c>
          <w:tcPr>
            <w:tcW w:w="26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c>
          <w:tcPr>
            <w:tcW w:w="298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c>
          <w:tcPr>
            <w:tcW w:w="298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c>
          <w:tcPr>
            <w:tcW w:w="2994"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611" w:hRule="atLeast"/>
        </w:trPr>
        <w:tc>
          <w:tcPr>
            <w:tcW w:w="424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合计</w:t>
            </w:r>
          </w:p>
        </w:tc>
        <w:tc>
          <w:tcPr>
            <w:tcW w:w="298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29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outlineLvl w:val="9"/>
              <w:rPr>
                <w:rFonts w:hint="default" w:ascii="Times New Roman" w:hAnsi="Times New Roman" w:cs="Times New Roman"/>
                <w:b/>
                <w:color w:val="auto"/>
                <w:sz w:val="20"/>
                <w:szCs w:val="20"/>
                <w:highlight w:val="none"/>
              </w:rPr>
            </w:pPr>
          </w:p>
        </w:tc>
        <w:tc>
          <w:tcPr>
            <w:tcW w:w="299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right="0" w:rightChars="0"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r>
    </w:tbl>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0"/>
          <w:szCs w:val="20"/>
          <w:highlight w:val="none"/>
        </w:rPr>
        <w:t>备注：本表反映部门本年度国有资本经营预算财政拨款支出情况。本部门无国有资本经营收支，故本表无数据。</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br w:type="textWrapping"/>
      </w:r>
    </w:p>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br w:type="page"/>
      </w:r>
    </w:p>
    <w:tbl>
      <w:tblPr>
        <w:tblStyle w:val="12"/>
        <w:tblW w:w="13300" w:type="dxa"/>
        <w:tblInd w:w="0" w:type="dxa"/>
        <w:tblLayout w:type="fixed"/>
        <w:tblCellMar>
          <w:top w:w="0" w:type="dxa"/>
          <w:left w:w="0" w:type="dxa"/>
          <w:bottom w:w="0" w:type="dxa"/>
          <w:right w:w="0" w:type="dxa"/>
        </w:tblCellMar>
      </w:tblPr>
      <w:tblGrid>
        <w:gridCol w:w="3604"/>
        <w:gridCol w:w="1933"/>
        <w:gridCol w:w="1889"/>
        <w:gridCol w:w="4030"/>
        <w:gridCol w:w="1844"/>
      </w:tblGrid>
      <w:tr>
        <w:tblPrEx>
          <w:tblLayout w:type="fixed"/>
          <w:tblCellMar>
            <w:top w:w="0" w:type="dxa"/>
            <w:left w:w="0" w:type="dxa"/>
            <w:bottom w:w="0" w:type="dxa"/>
            <w:right w:w="0" w:type="dxa"/>
          </w:tblCellMar>
        </w:tblPrEx>
        <w:trPr>
          <w:trHeight w:val="90" w:hRule="atLeast"/>
        </w:trPr>
        <w:tc>
          <w:tcPr>
            <w:tcW w:w="13300" w:type="dxa"/>
            <w:gridSpan w:val="5"/>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bottom"/>
              <w:outlineLvl w:val="9"/>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机构运行信息表</w:t>
            </w:r>
          </w:p>
        </w:tc>
      </w:tr>
      <w:tr>
        <w:tblPrEx>
          <w:tblLayout w:type="fixed"/>
          <w:tblCellMar>
            <w:top w:w="0" w:type="dxa"/>
            <w:left w:w="0" w:type="dxa"/>
            <w:bottom w:w="0" w:type="dxa"/>
            <w:right w:w="0" w:type="dxa"/>
          </w:tblCellMar>
        </w:tblPrEx>
        <w:trPr>
          <w:trHeight w:val="90" w:hRule="atLeast"/>
        </w:trPr>
        <w:tc>
          <w:tcPr>
            <w:tcW w:w="360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20"/>
                <w:szCs w:val="20"/>
                <w:highlight w:val="none"/>
              </w:rPr>
            </w:pPr>
          </w:p>
        </w:tc>
        <w:tc>
          <w:tcPr>
            <w:tcW w:w="19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color w:val="auto"/>
                <w:sz w:val="20"/>
                <w:szCs w:val="20"/>
                <w:highlight w:val="none"/>
              </w:rPr>
            </w:pPr>
          </w:p>
        </w:tc>
        <w:tc>
          <w:tcPr>
            <w:tcW w:w="188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outlineLvl w:val="9"/>
              <w:rPr>
                <w:rFonts w:hint="default" w:ascii="Times New Roman" w:hAnsi="Times New Roman" w:cs="Times New Roman"/>
                <w:color w:val="auto"/>
                <w:sz w:val="20"/>
                <w:szCs w:val="20"/>
                <w:highlight w:val="none"/>
              </w:rPr>
            </w:pPr>
          </w:p>
        </w:tc>
        <w:tc>
          <w:tcPr>
            <w:tcW w:w="403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20"/>
                <w:szCs w:val="20"/>
                <w:highlight w:val="none"/>
              </w:rPr>
            </w:pPr>
          </w:p>
        </w:tc>
        <w:tc>
          <w:tcPr>
            <w:tcW w:w="184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公开09表</w:t>
            </w:r>
          </w:p>
        </w:tc>
      </w:tr>
      <w:tr>
        <w:tblPrEx>
          <w:tblLayout w:type="fixed"/>
          <w:tblCellMar>
            <w:top w:w="0" w:type="dxa"/>
            <w:left w:w="0" w:type="dxa"/>
            <w:bottom w:w="0" w:type="dxa"/>
            <w:right w:w="0" w:type="dxa"/>
          </w:tblCellMar>
        </w:tblPrEx>
        <w:trPr>
          <w:trHeight w:val="90" w:hRule="atLeast"/>
        </w:trPr>
        <w:tc>
          <w:tcPr>
            <w:tcW w:w="3604"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公开部门： </w:t>
            </w:r>
            <w:r>
              <w:rPr>
                <w:rFonts w:hint="default" w:ascii="Times New Roman" w:hAnsi="Times New Roman" w:cs="Times New Roman"/>
                <w:color w:val="auto"/>
                <w:sz w:val="20"/>
                <w:highlight w:val="none"/>
                <w:u w:color="auto"/>
              </w:rPr>
              <w:t>重庆市秀山土家族苗族自治县石耶镇人民政府</w:t>
            </w:r>
          </w:p>
        </w:tc>
        <w:tc>
          <w:tcPr>
            <w:tcW w:w="1933"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outlineLvl w:val="9"/>
              <w:rPr>
                <w:rFonts w:hint="default" w:ascii="Times New Roman" w:hAnsi="Times New Roman" w:cs="Times New Roman"/>
                <w:color w:val="auto"/>
                <w:sz w:val="20"/>
                <w:szCs w:val="20"/>
                <w:highlight w:val="none"/>
              </w:rPr>
            </w:pPr>
          </w:p>
        </w:tc>
        <w:tc>
          <w:tcPr>
            <w:tcW w:w="1889"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outlineLvl w:val="9"/>
              <w:rPr>
                <w:rFonts w:hint="default" w:ascii="Times New Roman" w:hAnsi="Times New Roman" w:cs="Times New Roman"/>
                <w:color w:val="auto"/>
                <w:sz w:val="20"/>
                <w:szCs w:val="20"/>
                <w:highlight w:val="none"/>
              </w:rPr>
            </w:pPr>
          </w:p>
        </w:tc>
        <w:tc>
          <w:tcPr>
            <w:tcW w:w="4030"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20"/>
                <w:szCs w:val="20"/>
                <w:highlight w:val="none"/>
              </w:rPr>
            </w:pPr>
          </w:p>
        </w:tc>
        <w:tc>
          <w:tcPr>
            <w:tcW w:w="1844"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tblPrEx>
          <w:tblLayout w:type="fixed"/>
          <w:tblCellMar>
            <w:top w:w="0" w:type="dxa"/>
            <w:left w:w="0" w:type="dxa"/>
            <w:bottom w:w="0" w:type="dxa"/>
            <w:right w:w="0" w:type="dxa"/>
          </w:tblCellMar>
        </w:tblPrEx>
        <w:trPr>
          <w:trHeight w:val="90" w:hRule="atLeast"/>
        </w:trPr>
        <w:tc>
          <w:tcPr>
            <w:tcW w:w="360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  目</w:t>
            </w:r>
          </w:p>
        </w:tc>
        <w:tc>
          <w:tcPr>
            <w:tcW w:w="193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预算数</w:t>
            </w:r>
          </w:p>
        </w:tc>
        <w:tc>
          <w:tcPr>
            <w:tcW w:w="188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决算数</w:t>
            </w:r>
          </w:p>
        </w:tc>
        <w:tc>
          <w:tcPr>
            <w:tcW w:w="403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  目</w:t>
            </w:r>
          </w:p>
        </w:tc>
        <w:tc>
          <w:tcPr>
            <w:tcW w:w="184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决算数</w:t>
            </w:r>
          </w:p>
        </w:tc>
      </w:tr>
      <w:tr>
        <w:tblPrEx>
          <w:tblLayout w:type="fixed"/>
          <w:tblCellMar>
            <w:top w:w="0" w:type="dxa"/>
            <w:left w:w="0" w:type="dxa"/>
            <w:bottom w:w="0" w:type="dxa"/>
            <w:right w:w="0" w:type="dxa"/>
          </w:tblCellMar>
        </w:tblPrEx>
        <w:trPr>
          <w:trHeight w:val="90" w:hRule="atLeast"/>
        </w:trPr>
        <w:tc>
          <w:tcPr>
            <w:tcW w:w="360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一、</w:t>
            </w:r>
            <w:r>
              <w:rPr>
                <w:rFonts w:hint="eastAsia" w:ascii="Times New Roman" w:hAnsi="Times New Roman" w:cs="Times New Roman"/>
                <w:color w:val="auto"/>
                <w:sz w:val="20"/>
                <w:szCs w:val="20"/>
                <w:highlight w:val="none"/>
                <w:lang w:eastAsia="zh-CN"/>
              </w:rPr>
              <w:t>“</w:t>
            </w:r>
            <w:r>
              <w:rPr>
                <w:rFonts w:hint="default" w:ascii="Times New Roman" w:hAnsi="Times New Roman" w:cs="Times New Roman"/>
                <w:color w:val="auto"/>
                <w:sz w:val="20"/>
                <w:szCs w:val="20"/>
                <w:highlight w:val="none"/>
              </w:rPr>
              <w:t>三公</w:t>
            </w:r>
            <w:r>
              <w:rPr>
                <w:rFonts w:hint="eastAsia" w:ascii="Times New Roman" w:hAnsi="Times New Roman" w:cs="Times New Roman"/>
                <w:color w:val="auto"/>
                <w:sz w:val="20"/>
                <w:szCs w:val="20"/>
                <w:highlight w:val="none"/>
                <w:lang w:eastAsia="zh-CN"/>
              </w:rPr>
              <w:t>”</w:t>
            </w:r>
            <w:r>
              <w:rPr>
                <w:rFonts w:hint="default" w:ascii="Times New Roman" w:hAnsi="Times New Roman" w:cs="Times New Roman"/>
                <w:color w:val="auto"/>
                <w:sz w:val="20"/>
                <w:szCs w:val="20"/>
                <w:highlight w:val="none"/>
              </w:rPr>
              <w:t>经费支出</w:t>
            </w:r>
          </w:p>
        </w:tc>
        <w:tc>
          <w:tcPr>
            <w:tcW w:w="19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18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403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四、机关运行经费</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146.33</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360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（一）支出合计</w:t>
            </w:r>
          </w:p>
        </w:tc>
        <w:tc>
          <w:tcPr>
            <w:tcW w:w="19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9.89</w:t>
            </w:r>
            <w:r>
              <w:rPr>
                <w:rFonts w:hint="default" w:ascii="Times New Roman" w:hAnsi="Times New Roman" w:cs="Times New Roman"/>
                <w:color w:val="auto"/>
                <w:sz w:val="20"/>
                <w:highlight w:val="none"/>
                <w:u w:color="auto"/>
              </w:rPr>
              <w:t xml:space="preserve"> </w:t>
            </w:r>
          </w:p>
        </w:tc>
        <w:tc>
          <w:tcPr>
            <w:tcW w:w="18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9.89</w:t>
            </w:r>
            <w:r>
              <w:rPr>
                <w:rFonts w:hint="default" w:ascii="Times New Roman" w:hAnsi="Times New Roman" w:cs="Times New Roman"/>
                <w:color w:val="auto"/>
                <w:sz w:val="20"/>
                <w:highlight w:val="none"/>
                <w:u w:color="auto"/>
              </w:rPr>
              <w:t xml:space="preserve"> </w:t>
            </w:r>
          </w:p>
        </w:tc>
        <w:tc>
          <w:tcPr>
            <w:tcW w:w="403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（一）行政单位</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139.01</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360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1．因公出国（境）费</w:t>
            </w:r>
          </w:p>
        </w:tc>
        <w:tc>
          <w:tcPr>
            <w:tcW w:w="19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8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3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（二）参照公务员法管理事业单位</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7.32</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360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2．公务用车购置及运行维护费</w:t>
            </w:r>
          </w:p>
        </w:tc>
        <w:tc>
          <w:tcPr>
            <w:tcW w:w="19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9.89</w:t>
            </w:r>
            <w:r>
              <w:rPr>
                <w:rFonts w:hint="default" w:ascii="Times New Roman" w:hAnsi="Times New Roman" w:cs="Times New Roman"/>
                <w:color w:val="auto"/>
                <w:sz w:val="20"/>
                <w:highlight w:val="none"/>
                <w:u w:color="auto"/>
              </w:rPr>
              <w:t xml:space="preserve"> </w:t>
            </w:r>
          </w:p>
        </w:tc>
        <w:tc>
          <w:tcPr>
            <w:tcW w:w="18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9.89</w:t>
            </w:r>
            <w:r>
              <w:rPr>
                <w:rFonts w:hint="default" w:ascii="Times New Roman" w:hAnsi="Times New Roman" w:cs="Times New Roman"/>
                <w:color w:val="auto"/>
                <w:sz w:val="20"/>
                <w:highlight w:val="none"/>
                <w:u w:color="auto"/>
              </w:rPr>
              <w:t xml:space="preserve"> </w:t>
            </w:r>
          </w:p>
        </w:tc>
        <w:tc>
          <w:tcPr>
            <w:tcW w:w="403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五、资产信息</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r>
      <w:tr>
        <w:tblPrEx>
          <w:tblLayout w:type="fixed"/>
          <w:tblCellMar>
            <w:top w:w="0" w:type="dxa"/>
            <w:left w:w="0" w:type="dxa"/>
            <w:bottom w:w="0" w:type="dxa"/>
            <w:right w:w="0" w:type="dxa"/>
          </w:tblCellMar>
        </w:tblPrEx>
        <w:trPr>
          <w:trHeight w:val="90" w:hRule="atLeast"/>
        </w:trPr>
        <w:tc>
          <w:tcPr>
            <w:tcW w:w="360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（1）公务用车购置费</w:t>
            </w:r>
          </w:p>
        </w:tc>
        <w:tc>
          <w:tcPr>
            <w:tcW w:w="19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8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3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（一）车辆数合计（辆）</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6</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360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（2）公务用车运行维护费</w:t>
            </w:r>
          </w:p>
        </w:tc>
        <w:tc>
          <w:tcPr>
            <w:tcW w:w="19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9.89</w:t>
            </w:r>
            <w:r>
              <w:rPr>
                <w:rFonts w:hint="default" w:ascii="Times New Roman" w:hAnsi="Times New Roman" w:cs="Times New Roman"/>
                <w:color w:val="auto"/>
                <w:sz w:val="20"/>
                <w:highlight w:val="none"/>
                <w:u w:color="auto"/>
              </w:rPr>
              <w:t xml:space="preserve"> </w:t>
            </w:r>
          </w:p>
        </w:tc>
        <w:tc>
          <w:tcPr>
            <w:tcW w:w="18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9.89</w:t>
            </w:r>
            <w:r>
              <w:rPr>
                <w:rFonts w:hint="default" w:ascii="Times New Roman" w:hAnsi="Times New Roman" w:cs="Times New Roman"/>
                <w:color w:val="auto"/>
                <w:sz w:val="20"/>
                <w:highlight w:val="none"/>
                <w:u w:color="auto"/>
              </w:rPr>
              <w:t xml:space="preserve"> </w:t>
            </w:r>
          </w:p>
        </w:tc>
        <w:tc>
          <w:tcPr>
            <w:tcW w:w="403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1．副部（省）级及以上领导用车</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360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3．公务接待费</w:t>
            </w:r>
          </w:p>
        </w:tc>
        <w:tc>
          <w:tcPr>
            <w:tcW w:w="19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8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3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2．主要领导干部用车</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360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（1）国内接待费</w:t>
            </w:r>
          </w:p>
        </w:tc>
        <w:tc>
          <w:tcPr>
            <w:tcW w:w="19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18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3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3．机要通信用车</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360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其中：外事接待费</w:t>
            </w:r>
          </w:p>
        </w:tc>
        <w:tc>
          <w:tcPr>
            <w:tcW w:w="19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18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3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4．应急保障用车</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360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（2）国（境）外接待费</w:t>
            </w:r>
          </w:p>
        </w:tc>
        <w:tc>
          <w:tcPr>
            <w:tcW w:w="19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18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3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5．执法执勤用车</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360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（二）相关统计数</w:t>
            </w:r>
          </w:p>
        </w:tc>
        <w:tc>
          <w:tcPr>
            <w:tcW w:w="19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18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403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6．特种专业技术用车</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360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1．因公出国（境）团组数（个）</w:t>
            </w:r>
          </w:p>
        </w:tc>
        <w:tc>
          <w:tcPr>
            <w:tcW w:w="19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188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3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7．离退休干部用车</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360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2．因公出国（境）人次数（人）</w:t>
            </w:r>
          </w:p>
        </w:tc>
        <w:tc>
          <w:tcPr>
            <w:tcW w:w="19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188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3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8．其他用车</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360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3．公务用车购置数（辆）</w:t>
            </w:r>
          </w:p>
        </w:tc>
        <w:tc>
          <w:tcPr>
            <w:tcW w:w="19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188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3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（二）单价100万元（含）以上设备（不含车辆）</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360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4．公务用车保有量（辆）</w:t>
            </w:r>
          </w:p>
        </w:tc>
        <w:tc>
          <w:tcPr>
            <w:tcW w:w="19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188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6</w:t>
            </w:r>
            <w:r>
              <w:rPr>
                <w:rFonts w:hint="default" w:ascii="Times New Roman" w:hAnsi="Times New Roman" w:cs="Times New Roman"/>
                <w:color w:val="auto"/>
                <w:sz w:val="20"/>
                <w:highlight w:val="none"/>
                <w:u w:color="auto"/>
              </w:rPr>
              <w:t xml:space="preserve"> </w:t>
            </w:r>
          </w:p>
        </w:tc>
        <w:tc>
          <w:tcPr>
            <w:tcW w:w="403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六、政府采购支出信息</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r>
      <w:tr>
        <w:tblPrEx>
          <w:tblLayout w:type="fixed"/>
          <w:tblCellMar>
            <w:top w:w="0" w:type="dxa"/>
            <w:left w:w="0" w:type="dxa"/>
            <w:bottom w:w="0" w:type="dxa"/>
            <w:right w:w="0" w:type="dxa"/>
          </w:tblCellMar>
        </w:tblPrEx>
        <w:trPr>
          <w:trHeight w:val="90" w:hRule="atLeast"/>
        </w:trPr>
        <w:tc>
          <w:tcPr>
            <w:tcW w:w="360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5．国内公务接待批次（个）</w:t>
            </w:r>
          </w:p>
        </w:tc>
        <w:tc>
          <w:tcPr>
            <w:tcW w:w="19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188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3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（一）政府采购支出合计</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0.41</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360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其中：外事接待批次（个）</w:t>
            </w:r>
          </w:p>
        </w:tc>
        <w:tc>
          <w:tcPr>
            <w:tcW w:w="19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188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3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1．政府采购货物支出</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0.41</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360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6．国内公务接待人次（人）</w:t>
            </w:r>
          </w:p>
        </w:tc>
        <w:tc>
          <w:tcPr>
            <w:tcW w:w="19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188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3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2．政府采购工程支出</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360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其中：外事接待人次（人）</w:t>
            </w:r>
          </w:p>
        </w:tc>
        <w:tc>
          <w:tcPr>
            <w:tcW w:w="19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188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3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3．政府采购服务支出</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360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7．国（境）外公务接待批次（个）</w:t>
            </w:r>
          </w:p>
        </w:tc>
        <w:tc>
          <w:tcPr>
            <w:tcW w:w="19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188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3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（二）政府采购授予中小企业合同金额</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0.41</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360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8．国（境）外公务接待人次（人）</w:t>
            </w:r>
          </w:p>
        </w:tc>
        <w:tc>
          <w:tcPr>
            <w:tcW w:w="19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188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3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其中：授予小微企业合同金额</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0.41</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360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二、会议费</w:t>
            </w:r>
          </w:p>
        </w:tc>
        <w:tc>
          <w:tcPr>
            <w:tcW w:w="19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18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3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20"/>
                <w:szCs w:val="20"/>
                <w:highlight w:val="none"/>
              </w:rPr>
            </w:pPr>
          </w:p>
        </w:tc>
        <w:tc>
          <w:tcPr>
            <w:tcW w:w="18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outlineLvl w:val="9"/>
              <w:rPr>
                <w:rFonts w:hint="default" w:ascii="Times New Roman" w:hAnsi="Times New Roman" w:cs="Times New Roman"/>
                <w:color w:val="auto"/>
                <w:sz w:val="20"/>
                <w:szCs w:val="20"/>
                <w:highlight w:val="none"/>
              </w:rPr>
            </w:pPr>
          </w:p>
        </w:tc>
      </w:tr>
      <w:tr>
        <w:tblPrEx>
          <w:tblLayout w:type="fixed"/>
          <w:tblCellMar>
            <w:top w:w="0" w:type="dxa"/>
            <w:left w:w="0" w:type="dxa"/>
            <w:bottom w:w="0" w:type="dxa"/>
            <w:right w:w="0" w:type="dxa"/>
          </w:tblCellMar>
        </w:tblPrEx>
        <w:trPr>
          <w:trHeight w:val="90" w:hRule="atLeast"/>
        </w:trPr>
        <w:tc>
          <w:tcPr>
            <w:tcW w:w="360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三、培训费</w:t>
            </w:r>
          </w:p>
        </w:tc>
        <w:tc>
          <w:tcPr>
            <w:tcW w:w="19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18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2.96</w:t>
            </w:r>
            <w:r>
              <w:rPr>
                <w:rFonts w:hint="default" w:ascii="Times New Roman" w:hAnsi="Times New Roman" w:cs="Times New Roman"/>
                <w:color w:val="auto"/>
                <w:sz w:val="20"/>
                <w:highlight w:val="none"/>
                <w:u w:color="auto"/>
              </w:rPr>
              <w:t xml:space="preserve"> </w:t>
            </w:r>
          </w:p>
        </w:tc>
        <w:tc>
          <w:tcPr>
            <w:tcW w:w="403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outlineLvl w:val="9"/>
              <w:rPr>
                <w:rFonts w:hint="default" w:ascii="Times New Roman" w:hAnsi="Times New Roman" w:cs="Times New Roman"/>
                <w:color w:val="auto"/>
                <w:sz w:val="20"/>
                <w:szCs w:val="20"/>
                <w:highlight w:val="none"/>
              </w:rPr>
            </w:pPr>
          </w:p>
        </w:tc>
        <w:tc>
          <w:tcPr>
            <w:tcW w:w="18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right="0" w:rightChars="0" w:firstLine="0" w:firstLineChars="0"/>
              <w:jc w:val="right"/>
              <w:outlineLvl w:val="9"/>
              <w:rPr>
                <w:rFonts w:hint="default" w:ascii="Times New Roman" w:hAnsi="Times New Roman" w:cs="Times New Roman"/>
                <w:color w:val="auto"/>
                <w:sz w:val="20"/>
                <w:szCs w:val="20"/>
                <w:highlight w:val="none"/>
              </w:rPr>
            </w:pPr>
          </w:p>
        </w:tc>
      </w:tr>
    </w:tbl>
    <w:p>
      <w:pPr>
        <w:keepNext w:val="0"/>
        <w:keepLines w:val="0"/>
        <w:pageBreakBefore w:val="0"/>
        <w:widowControl/>
        <w:kinsoku/>
        <w:wordWrap/>
        <w:overflowPunct/>
        <w:topLinePunct w:val="0"/>
        <w:autoSpaceDE/>
        <w:autoSpaceDN/>
        <w:bidi w:val="0"/>
        <w:adjustRightInd/>
        <w:snapToGrid/>
        <w:spacing w:beforeAutospacing="0" w:afterAutospacing="0" w:line="200" w:lineRule="atLeast"/>
        <w:ind w:left="0" w:leftChars="0" w:right="0" w:rightChars="0" w:firstLine="0" w:firstLineChars="0"/>
        <w:jc w:val="left"/>
        <w:textAlignment w:val="auto"/>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备注：1.本表反映部门本年度财政拨款</w:t>
      </w:r>
      <w:r>
        <w:rPr>
          <w:rFonts w:hint="eastAsia" w:ascii="Times New Roman" w:hAnsi="Times New Roman" w:cs="Times New Roman"/>
          <w:color w:val="auto"/>
          <w:sz w:val="20"/>
          <w:szCs w:val="20"/>
          <w:highlight w:val="none"/>
          <w:lang w:eastAsia="zh-CN"/>
        </w:rPr>
        <w:t>“</w:t>
      </w:r>
      <w:r>
        <w:rPr>
          <w:rFonts w:hint="default" w:ascii="Times New Roman" w:hAnsi="Times New Roman" w:cs="Times New Roman"/>
          <w:color w:val="auto"/>
          <w:sz w:val="20"/>
          <w:szCs w:val="20"/>
          <w:highlight w:val="none"/>
        </w:rPr>
        <w:t>三公</w:t>
      </w:r>
      <w:r>
        <w:rPr>
          <w:rFonts w:hint="eastAsia" w:ascii="Times New Roman" w:hAnsi="Times New Roman" w:cs="Times New Roman"/>
          <w:color w:val="auto"/>
          <w:sz w:val="20"/>
          <w:szCs w:val="20"/>
          <w:highlight w:val="none"/>
          <w:lang w:eastAsia="zh-CN"/>
        </w:rPr>
        <w:t>”</w:t>
      </w:r>
      <w:r>
        <w:rPr>
          <w:rFonts w:hint="default" w:ascii="Times New Roman" w:hAnsi="Times New Roman" w:cs="Times New Roman"/>
          <w:color w:val="auto"/>
          <w:sz w:val="20"/>
          <w:szCs w:val="20"/>
          <w:highlight w:val="none"/>
        </w:rPr>
        <w:t>经费支出预决算情况。其中，预算数为</w:t>
      </w:r>
      <w:r>
        <w:rPr>
          <w:rFonts w:hint="eastAsia" w:ascii="Times New Roman" w:hAnsi="Times New Roman" w:cs="Times New Roman"/>
          <w:color w:val="auto"/>
          <w:sz w:val="20"/>
          <w:szCs w:val="20"/>
          <w:highlight w:val="none"/>
          <w:lang w:eastAsia="zh-CN"/>
        </w:rPr>
        <w:t>“</w:t>
      </w:r>
      <w:r>
        <w:rPr>
          <w:rFonts w:hint="default" w:ascii="Times New Roman" w:hAnsi="Times New Roman" w:cs="Times New Roman"/>
          <w:color w:val="auto"/>
          <w:sz w:val="20"/>
          <w:szCs w:val="20"/>
          <w:highlight w:val="none"/>
        </w:rPr>
        <w:t>三公</w:t>
      </w:r>
      <w:r>
        <w:rPr>
          <w:rFonts w:hint="eastAsia" w:ascii="Times New Roman" w:hAnsi="Times New Roman" w:cs="Times New Roman"/>
          <w:color w:val="auto"/>
          <w:sz w:val="20"/>
          <w:szCs w:val="20"/>
          <w:highlight w:val="none"/>
          <w:lang w:eastAsia="zh-CN"/>
        </w:rPr>
        <w:t>”</w:t>
      </w:r>
      <w:r>
        <w:rPr>
          <w:rFonts w:hint="default" w:ascii="Times New Roman" w:hAnsi="Times New Roman" w:cs="Times New Roman"/>
          <w:color w:val="auto"/>
          <w:sz w:val="20"/>
          <w:szCs w:val="20"/>
          <w:highlight w:val="none"/>
        </w:rPr>
        <w:t>经费全年预算数，反映按规定程序调整后的预算数；决算数为包括本年度财政拨款和以前年度结转资金安排的实际支出。</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t xml:space="preserve">      2.本套报表金额单位转换时可能存在尾数误差。</w:t>
      </w:r>
    </w:p>
    <w:sectPr>
      <w:pgSz w:w="16783" w:h="11850" w:orient="landscape"/>
      <w:pgMar w:top="1440" w:right="1800" w:bottom="1440" w:left="1800"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6"/>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6"/>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E137A9"/>
    <w:multiLevelType w:val="singleLevel"/>
    <w:tmpl w:val="66E137A9"/>
    <w:lvl w:ilvl="0" w:tentative="0">
      <w:start w:val="6"/>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D7702"/>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F5A85"/>
    <w:rsid w:val="00C96B11"/>
    <w:rsid w:val="00CC6B99"/>
    <w:rsid w:val="00DF7706"/>
    <w:rsid w:val="00E654E2"/>
    <w:rsid w:val="00E72D62"/>
    <w:rsid w:val="00E76362"/>
    <w:rsid w:val="00F137D3"/>
    <w:rsid w:val="00F13C36"/>
    <w:rsid w:val="00F32C53"/>
    <w:rsid w:val="00F73F90"/>
    <w:rsid w:val="00F7623D"/>
    <w:rsid w:val="01474EBF"/>
    <w:rsid w:val="01F3521E"/>
    <w:rsid w:val="020B6A3F"/>
    <w:rsid w:val="03B87EA0"/>
    <w:rsid w:val="03E3214F"/>
    <w:rsid w:val="044C50BA"/>
    <w:rsid w:val="049E37BF"/>
    <w:rsid w:val="04A227C8"/>
    <w:rsid w:val="05BC6D49"/>
    <w:rsid w:val="0615565D"/>
    <w:rsid w:val="06194FF1"/>
    <w:rsid w:val="06A2550B"/>
    <w:rsid w:val="06F80EE2"/>
    <w:rsid w:val="07001CCA"/>
    <w:rsid w:val="075678DB"/>
    <w:rsid w:val="079D7CC7"/>
    <w:rsid w:val="08051BCA"/>
    <w:rsid w:val="086C12F4"/>
    <w:rsid w:val="08BA052C"/>
    <w:rsid w:val="08DB07BA"/>
    <w:rsid w:val="0969353F"/>
    <w:rsid w:val="098305D0"/>
    <w:rsid w:val="098A0877"/>
    <w:rsid w:val="0A5C4B69"/>
    <w:rsid w:val="0A627CB0"/>
    <w:rsid w:val="0A86124A"/>
    <w:rsid w:val="0AB54CC0"/>
    <w:rsid w:val="0B15047F"/>
    <w:rsid w:val="0B9335CE"/>
    <w:rsid w:val="0C7927C4"/>
    <w:rsid w:val="0C9B098C"/>
    <w:rsid w:val="0D673E11"/>
    <w:rsid w:val="0DDA54E4"/>
    <w:rsid w:val="0E3A5F83"/>
    <w:rsid w:val="0E74421A"/>
    <w:rsid w:val="0F836721"/>
    <w:rsid w:val="0FA25D96"/>
    <w:rsid w:val="107B59E5"/>
    <w:rsid w:val="10EC0126"/>
    <w:rsid w:val="10F70B9A"/>
    <w:rsid w:val="111445C7"/>
    <w:rsid w:val="114278C6"/>
    <w:rsid w:val="114D0D4F"/>
    <w:rsid w:val="1158083A"/>
    <w:rsid w:val="11643A4B"/>
    <w:rsid w:val="11ED0F98"/>
    <w:rsid w:val="11F03528"/>
    <w:rsid w:val="12C921C4"/>
    <w:rsid w:val="13871C70"/>
    <w:rsid w:val="13A71CB4"/>
    <w:rsid w:val="13AF1D43"/>
    <w:rsid w:val="13CE1647"/>
    <w:rsid w:val="13FD55AB"/>
    <w:rsid w:val="14200702"/>
    <w:rsid w:val="161943F5"/>
    <w:rsid w:val="163A6CEE"/>
    <w:rsid w:val="173708E3"/>
    <w:rsid w:val="17C374FC"/>
    <w:rsid w:val="17DD1E40"/>
    <w:rsid w:val="17F2438C"/>
    <w:rsid w:val="189079DC"/>
    <w:rsid w:val="189B0D0B"/>
    <w:rsid w:val="18B43F7C"/>
    <w:rsid w:val="194A1770"/>
    <w:rsid w:val="19B906A4"/>
    <w:rsid w:val="1A37412C"/>
    <w:rsid w:val="1B6F15B6"/>
    <w:rsid w:val="1BAA2EDC"/>
    <w:rsid w:val="1BB51E82"/>
    <w:rsid w:val="1C5C0973"/>
    <w:rsid w:val="1C8E3C8D"/>
    <w:rsid w:val="1CA55E64"/>
    <w:rsid w:val="1CD078AE"/>
    <w:rsid w:val="1D014A01"/>
    <w:rsid w:val="1D022362"/>
    <w:rsid w:val="1D1B04B0"/>
    <w:rsid w:val="1DBD6767"/>
    <w:rsid w:val="1DC52125"/>
    <w:rsid w:val="1DD26311"/>
    <w:rsid w:val="1DD95C89"/>
    <w:rsid w:val="1E374ACB"/>
    <w:rsid w:val="1E5E27E3"/>
    <w:rsid w:val="1ECF0A66"/>
    <w:rsid w:val="1EF67CA4"/>
    <w:rsid w:val="1F020D3A"/>
    <w:rsid w:val="1F2C5189"/>
    <w:rsid w:val="1F4B0B02"/>
    <w:rsid w:val="1FBB35CD"/>
    <w:rsid w:val="1FBE328C"/>
    <w:rsid w:val="1FCD26AF"/>
    <w:rsid w:val="20642787"/>
    <w:rsid w:val="20996040"/>
    <w:rsid w:val="20D20172"/>
    <w:rsid w:val="21392854"/>
    <w:rsid w:val="21556F04"/>
    <w:rsid w:val="22403BD3"/>
    <w:rsid w:val="224703DA"/>
    <w:rsid w:val="23DA37D9"/>
    <w:rsid w:val="241B0586"/>
    <w:rsid w:val="24B92327"/>
    <w:rsid w:val="24C14514"/>
    <w:rsid w:val="2533755C"/>
    <w:rsid w:val="25791755"/>
    <w:rsid w:val="25817222"/>
    <w:rsid w:val="26396DF4"/>
    <w:rsid w:val="27167136"/>
    <w:rsid w:val="27B23302"/>
    <w:rsid w:val="29310A5F"/>
    <w:rsid w:val="29C37A35"/>
    <w:rsid w:val="2A076083"/>
    <w:rsid w:val="2A123D89"/>
    <w:rsid w:val="2A73162E"/>
    <w:rsid w:val="2A8F398D"/>
    <w:rsid w:val="2B167953"/>
    <w:rsid w:val="2B200583"/>
    <w:rsid w:val="2B8209DE"/>
    <w:rsid w:val="2C6762A3"/>
    <w:rsid w:val="2EBF7B3E"/>
    <w:rsid w:val="2EDE1934"/>
    <w:rsid w:val="2FC118D5"/>
    <w:rsid w:val="2FCA4B37"/>
    <w:rsid w:val="2FE029D7"/>
    <w:rsid w:val="2FF06E00"/>
    <w:rsid w:val="30562E26"/>
    <w:rsid w:val="30586FEC"/>
    <w:rsid w:val="30EC7046"/>
    <w:rsid w:val="315F0B22"/>
    <w:rsid w:val="319D022C"/>
    <w:rsid w:val="31C90022"/>
    <w:rsid w:val="31D84415"/>
    <w:rsid w:val="32285F6F"/>
    <w:rsid w:val="32484B32"/>
    <w:rsid w:val="32770556"/>
    <w:rsid w:val="329C0913"/>
    <w:rsid w:val="32AA0460"/>
    <w:rsid w:val="32CF4AB0"/>
    <w:rsid w:val="3337290D"/>
    <w:rsid w:val="33E31118"/>
    <w:rsid w:val="33EF7674"/>
    <w:rsid w:val="342D7BC6"/>
    <w:rsid w:val="352930DB"/>
    <w:rsid w:val="3556002F"/>
    <w:rsid w:val="35573069"/>
    <w:rsid w:val="355F6038"/>
    <w:rsid w:val="358C217E"/>
    <w:rsid w:val="35937598"/>
    <w:rsid w:val="36C9128A"/>
    <w:rsid w:val="372E3953"/>
    <w:rsid w:val="37841E99"/>
    <w:rsid w:val="37BF1123"/>
    <w:rsid w:val="383C3F15"/>
    <w:rsid w:val="38BE4696"/>
    <w:rsid w:val="3939115E"/>
    <w:rsid w:val="394200C9"/>
    <w:rsid w:val="39B82A39"/>
    <w:rsid w:val="39C42CA8"/>
    <w:rsid w:val="39DC4FD6"/>
    <w:rsid w:val="39F03D7A"/>
    <w:rsid w:val="39F33306"/>
    <w:rsid w:val="3A2C1C67"/>
    <w:rsid w:val="3B1705E5"/>
    <w:rsid w:val="3B18334B"/>
    <w:rsid w:val="3B36794F"/>
    <w:rsid w:val="3C566AD6"/>
    <w:rsid w:val="3C6A5B02"/>
    <w:rsid w:val="3D2757A1"/>
    <w:rsid w:val="3D3D4FC4"/>
    <w:rsid w:val="3D6579EE"/>
    <w:rsid w:val="3DDF3AB1"/>
    <w:rsid w:val="3E1D0952"/>
    <w:rsid w:val="3E42660A"/>
    <w:rsid w:val="3E7555B1"/>
    <w:rsid w:val="3E787ED9"/>
    <w:rsid w:val="3EEC37F3"/>
    <w:rsid w:val="3F032E93"/>
    <w:rsid w:val="3F0527E5"/>
    <w:rsid w:val="3F23468E"/>
    <w:rsid w:val="3F694D83"/>
    <w:rsid w:val="3F885DCC"/>
    <w:rsid w:val="3FCD675E"/>
    <w:rsid w:val="4004000C"/>
    <w:rsid w:val="411B6CE5"/>
    <w:rsid w:val="412070D7"/>
    <w:rsid w:val="41314E40"/>
    <w:rsid w:val="41E0734B"/>
    <w:rsid w:val="424A6A93"/>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7DF28B0"/>
    <w:rsid w:val="48225EF7"/>
    <w:rsid w:val="488F422B"/>
    <w:rsid w:val="48E36915"/>
    <w:rsid w:val="493778C2"/>
    <w:rsid w:val="495C4A24"/>
    <w:rsid w:val="497135DF"/>
    <w:rsid w:val="4A263DF2"/>
    <w:rsid w:val="4A6F6675"/>
    <w:rsid w:val="4B135857"/>
    <w:rsid w:val="4B7951CB"/>
    <w:rsid w:val="4B7C315C"/>
    <w:rsid w:val="4DAC4ACA"/>
    <w:rsid w:val="4DBE01D2"/>
    <w:rsid w:val="4E045F14"/>
    <w:rsid w:val="4EFC6D10"/>
    <w:rsid w:val="4F0C6BA3"/>
    <w:rsid w:val="4F10477D"/>
    <w:rsid w:val="4F186D58"/>
    <w:rsid w:val="4FEA65B7"/>
    <w:rsid w:val="4FF05608"/>
    <w:rsid w:val="50F06B6E"/>
    <w:rsid w:val="52234D33"/>
    <w:rsid w:val="522F6E0C"/>
    <w:rsid w:val="52463BA1"/>
    <w:rsid w:val="52F163D4"/>
    <w:rsid w:val="531A2DB4"/>
    <w:rsid w:val="53C0244D"/>
    <w:rsid w:val="53DD4D4E"/>
    <w:rsid w:val="53E578CE"/>
    <w:rsid w:val="541330F0"/>
    <w:rsid w:val="54272666"/>
    <w:rsid w:val="543B029D"/>
    <w:rsid w:val="54861779"/>
    <w:rsid w:val="552256E1"/>
    <w:rsid w:val="553650AB"/>
    <w:rsid w:val="55393C2A"/>
    <w:rsid w:val="554E5773"/>
    <w:rsid w:val="555A3CBC"/>
    <w:rsid w:val="5582012B"/>
    <w:rsid w:val="558E4E05"/>
    <w:rsid w:val="55BE2E85"/>
    <w:rsid w:val="56530F5D"/>
    <w:rsid w:val="567700D3"/>
    <w:rsid w:val="56FF7E9E"/>
    <w:rsid w:val="578867FC"/>
    <w:rsid w:val="5842572D"/>
    <w:rsid w:val="58705BEC"/>
    <w:rsid w:val="59C83A0E"/>
    <w:rsid w:val="5A3B59D6"/>
    <w:rsid w:val="5AD134D8"/>
    <w:rsid w:val="5B6503B1"/>
    <w:rsid w:val="5C263CE4"/>
    <w:rsid w:val="5C5D2777"/>
    <w:rsid w:val="5CF66BF3"/>
    <w:rsid w:val="5D290C69"/>
    <w:rsid w:val="5E041DBB"/>
    <w:rsid w:val="5F2D4A41"/>
    <w:rsid w:val="5FC07E53"/>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5D35CFC"/>
    <w:rsid w:val="66267C04"/>
    <w:rsid w:val="663F505A"/>
    <w:rsid w:val="66967186"/>
    <w:rsid w:val="66EE5541"/>
    <w:rsid w:val="67924660"/>
    <w:rsid w:val="68357A94"/>
    <w:rsid w:val="68407834"/>
    <w:rsid w:val="6883293E"/>
    <w:rsid w:val="688412AD"/>
    <w:rsid w:val="68EB1B71"/>
    <w:rsid w:val="68F26707"/>
    <w:rsid w:val="69475C96"/>
    <w:rsid w:val="6AAD2300"/>
    <w:rsid w:val="6B474EF5"/>
    <w:rsid w:val="6BBF53FD"/>
    <w:rsid w:val="6C327260"/>
    <w:rsid w:val="6C560CAE"/>
    <w:rsid w:val="6C576495"/>
    <w:rsid w:val="6D903FF5"/>
    <w:rsid w:val="6DA955B8"/>
    <w:rsid w:val="6DE346AB"/>
    <w:rsid w:val="6DE5391A"/>
    <w:rsid w:val="6EFD1324"/>
    <w:rsid w:val="6F5A53AC"/>
    <w:rsid w:val="6F841DC3"/>
    <w:rsid w:val="6FAC003D"/>
    <w:rsid w:val="6FE55E12"/>
    <w:rsid w:val="6FFB2E76"/>
    <w:rsid w:val="708F6F7F"/>
    <w:rsid w:val="70D94BD3"/>
    <w:rsid w:val="71C34D91"/>
    <w:rsid w:val="72DB435C"/>
    <w:rsid w:val="72E2613A"/>
    <w:rsid w:val="72F771F4"/>
    <w:rsid w:val="7338025E"/>
    <w:rsid w:val="736650B0"/>
    <w:rsid w:val="73934AD2"/>
    <w:rsid w:val="750837F0"/>
    <w:rsid w:val="754758CF"/>
    <w:rsid w:val="75EF74F9"/>
    <w:rsid w:val="764F62AB"/>
    <w:rsid w:val="765C45EC"/>
    <w:rsid w:val="768A7619"/>
    <w:rsid w:val="772E1EBA"/>
    <w:rsid w:val="77DC3D8C"/>
    <w:rsid w:val="77EB79F7"/>
    <w:rsid w:val="796D60A4"/>
    <w:rsid w:val="79A031D5"/>
    <w:rsid w:val="7A1525F7"/>
    <w:rsid w:val="7A296EFF"/>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Date"/>
    <w:basedOn w:val="1"/>
    <w:next w:val="1"/>
    <w:qFormat/>
    <w:uiPriority w:val="0"/>
    <w:pPr>
      <w:spacing w:before="0" w:beforeAutospacing="0" w:after="0" w:afterAutospacing="0"/>
      <w:ind w:left="100" w:leftChars="2500" w:right="0"/>
      <w:jc w:val="left"/>
    </w:pPr>
    <w:rPr>
      <w:rFonts w:hint="eastAsia" w:ascii="宋体" w:hAnsi="宋体" w:eastAsia="宋体" w:cs="宋体"/>
      <w:kern w:val="0"/>
      <w:sz w:val="24"/>
      <w:szCs w:val="24"/>
      <w:lang w:val="en-US" w:eastAsia="zh-CN" w:bidi="ar"/>
    </w:rPr>
  </w:style>
  <w:style w:type="paragraph" w:styleId="4">
    <w:name w:val="annotation text"/>
    <w:basedOn w:val="1"/>
    <w:qFormat/>
    <w:uiPriority w:val="0"/>
    <w:pPr>
      <w:jc w:val="left"/>
    </w:p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character" w:styleId="11">
    <w:name w:val="Strong"/>
    <w:qFormat/>
    <w:uiPriority w:val="0"/>
    <w:rPr>
      <w:b/>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0"/>
    <w:link w:val="5"/>
    <w:qFormat/>
    <w:uiPriority w:val="0"/>
    <w:rPr>
      <w:rFonts w:ascii="宋体" w:hAnsi="宋体"/>
      <w:sz w:val="18"/>
      <w:szCs w:val="18"/>
    </w:rPr>
  </w:style>
  <w:style w:type="paragraph" w:customStyle="1" w:styleId="19">
    <w:name w:val="List Paragraph"/>
    <w:basedOn w:val="1"/>
    <w:qFormat/>
    <w:uiPriority w:val="99"/>
    <w:pPr>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4098</Words>
  <Characters>23363</Characters>
  <Lines>194</Lines>
  <Paragraphs>54</Paragraphs>
  <TotalTime>3</TotalTime>
  <ScaleCrop>false</ScaleCrop>
  <LinksUpToDate>false</LinksUpToDate>
  <CharactersWithSpaces>27407</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2024-10-10T02:37:36Z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