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重庆市秀山土家族苗族自治县妙泉镇人民政府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黑体" w:cs="Times New Roman"/>
          <w:sz w:val="32"/>
          <w:szCs w:val="32"/>
        </w:rPr>
      </w:pPr>
      <w:r>
        <w:rPr>
          <w:rStyle w:val="9"/>
          <w:rFonts w:hint="default" w:ascii="Times New Roman" w:hAnsi="Times New Roman" w:eastAsia="方正黑体_GBK" w:cs="Times New Roman"/>
          <w:b w:val="0"/>
          <w:bCs/>
          <w:sz w:val="32"/>
          <w:szCs w:val="32"/>
          <w:shd w:val="clear" w:color="auto" w:fill="FFFFFF"/>
        </w:rPr>
        <w:t>一、部门基本情况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秀山土家族苗族自治县妙泉镇人民政府为政府组成部门，内设10个职能科室，分别是：党政办公室、党建工作办公室、经济发展办公室（挂统计办公室牌子）、民政和社会事务办公室（挂卫生健康办公室）、平安建设办公室、规划建设管理环保办公室、应急管理办公室、社区事务服务中心、社区文化服务中心。6个下属事业单位，包含：财政办公室、退役军人服务站、综合行政执法大队、农业服务中心（特色产业发展中心）、文化服务中心、劳动就业和社会保障服务所。机关行政编制人员21名，事业编制人员19名。</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黑体_GBK" w:cs="Times New Roman"/>
          <w:b w:val="0"/>
          <w:bCs/>
          <w:sz w:val="32"/>
          <w:szCs w:val="32"/>
          <w:shd w:val="clear" w:color="auto" w:fill="FFFFFF"/>
        </w:rPr>
        <w:t>二、部门决算情况说明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2023年度收入总计2222.16万元，支出总计</w:t>
      </w:r>
      <w:r>
        <w:rPr>
          <w:rFonts w:hint="default" w:ascii="Times New Roman" w:hAnsi="Times New Roman" w:eastAsia="方正仿宋_GBK" w:cs="Times New Roman"/>
          <w:sz w:val="32"/>
          <w:szCs w:val="32"/>
        </w:rPr>
        <w:t>2222.16</w:t>
      </w:r>
      <w:r>
        <w:rPr>
          <w:rFonts w:hint="default" w:ascii="Times New Roman" w:hAnsi="Times New Roman" w:eastAsia="方正仿宋_GBK" w:cs="Times New Roman"/>
          <w:sz w:val="32"/>
          <w:szCs w:val="32"/>
          <w:shd w:val="clear" w:color="auto" w:fill="FFFFFF"/>
        </w:rPr>
        <w:t>万元。收支较上年决算数减少547.62万元，下降19.77%，主要原因是一般公共预算财政拨款收入</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277.07万元、政府性基金预算财政拨款收入</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7.37万元、年初结转和结余</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263.19万元。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2023年度收入合计2163.48万元，较上年决算数减少284.44万元，下降11.62%，主要原因是一般公共预算财政拨款收入</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277.07万元、政府性基金预算财政拨款收入</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7.37万元。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2163.48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58.67</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2196.17</w:t>
      </w:r>
      <w:r>
        <w:rPr>
          <w:rFonts w:hint="default" w:ascii="Times New Roman" w:hAnsi="Times New Roman" w:eastAsia="方正仿宋_GBK" w:cs="Times New Roman"/>
          <w:sz w:val="32"/>
          <w:szCs w:val="32"/>
          <w:shd w:val="clear" w:color="auto" w:fill="FFFFFF"/>
        </w:rPr>
        <w:t>万元，较上年决算数减少573.61万元，下降20.71%，主要原因是</w:t>
      </w:r>
      <w:r>
        <w:rPr>
          <w:rFonts w:hint="default" w:ascii="Times New Roman" w:hAnsi="Times New Roman" w:eastAsia="方正仿宋_GBK" w:cs="Times New Roman"/>
          <w:sz w:val="32"/>
          <w:szCs w:val="32"/>
          <w:shd w:val="clear" w:color="auto" w:fill="FFFFFF"/>
          <w:lang w:eastAsia="zh-CN"/>
        </w:rPr>
        <w:t>人员经费减少</w:t>
      </w:r>
      <w:r>
        <w:rPr>
          <w:rFonts w:hint="default" w:ascii="Times New Roman" w:hAnsi="Times New Roman" w:eastAsia="方正仿宋_GBK" w:cs="Times New Roman"/>
          <w:sz w:val="32"/>
          <w:szCs w:val="32"/>
          <w:shd w:val="clear" w:color="auto" w:fill="FFFFFF"/>
          <w:lang w:val="en-US" w:eastAsia="zh-CN"/>
        </w:rPr>
        <w:t>119.49万元、项目支出减少494.08万元。其中，工资福利支出减少109.75、对个人和家庭的补助减少804.76万元、商品和服务支出增加272.28万元、公用经费增加39.95万元、资本性支出增加104.9万元等。</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973.72</w:t>
      </w:r>
      <w:r>
        <w:rPr>
          <w:rFonts w:hint="default" w:ascii="Times New Roman" w:hAnsi="Times New Roman" w:eastAsia="方正仿宋_GBK" w:cs="Times New Roman"/>
          <w:sz w:val="32"/>
          <w:szCs w:val="32"/>
          <w:shd w:val="clear" w:color="auto" w:fill="FFFFFF"/>
        </w:rPr>
        <w:t>万元，占44.34%；项目支出</w:t>
      </w:r>
      <w:r>
        <w:rPr>
          <w:rFonts w:hint="default" w:ascii="Times New Roman" w:hAnsi="Times New Roman" w:eastAsia="方正仿宋_GBK" w:cs="Times New Roman"/>
          <w:sz w:val="32"/>
          <w:szCs w:val="32"/>
        </w:rPr>
        <w:t>1222.45</w:t>
      </w:r>
      <w:r>
        <w:rPr>
          <w:rFonts w:hint="default" w:ascii="Times New Roman" w:hAnsi="Times New Roman" w:eastAsia="方正仿宋_GBK" w:cs="Times New Roman"/>
          <w:sz w:val="32"/>
          <w:szCs w:val="32"/>
          <w:shd w:val="clear" w:color="auto" w:fill="FFFFFF"/>
        </w:rPr>
        <w:t>万元，占55.66%；经营支出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25.99</w:t>
      </w:r>
      <w:r>
        <w:rPr>
          <w:rFonts w:hint="default" w:ascii="Times New Roman" w:hAnsi="Times New Roman" w:eastAsia="方正仿宋_GBK" w:cs="Times New Roman"/>
          <w:sz w:val="32"/>
          <w:szCs w:val="32"/>
          <w:shd w:val="clear" w:color="auto" w:fill="FFFFFF"/>
        </w:rPr>
        <w:t>万元，较上年决算数增加25.99万元，增长100.00%，主要原因是</w:t>
      </w:r>
      <w:r>
        <w:rPr>
          <w:rFonts w:hint="default" w:ascii="Times New Roman" w:hAnsi="Times New Roman" w:eastAsia="方正仿宋_GBK" w:cs="Times New Roman"/>
          <w:color w:val="auto"/>
          <w:sz w:val="32"/>
          <w:szCs w:val="32"/>
          <w:shd w:val="clear" w:color="auto" w:fill="FFFFFF"/>
          <w:lang w:val="en-US" w:eastAsia="zh-CN"/>
        </w:rPr>
        <w:t>2022年年末无结转结余。</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2023年度财政拨款收、支总计2222.16万元。与2022年相比，财政拨款收、支总计各减少225.76万元，下降9.22%。主要原因是</w:t>
      </w:r>
      <w:r>
        <w:rPr>
          <w:rFonts w:hint="default" w:ascii="Times New Roman" w:hAnsi="Times New Roman" w:eastAsia="方正仿宋_GBK" w:cs="Times New Roman"/>
          <w:sz w:val="32"/>
          <w:szCs w:val="32"/>
          <w:shd w:val="clear" w:color="auto" w:fill="FFFFFF"/>
          <w:lang w:eastAsia="zh-CN"/>
        </w:rPr>
        <w:t>：一是收入方面。一般公共预算财政拨款收入减少277.07万元、政府性基金预算财政拨款收入减少7.37万元、年初结转和结余增加</w:t>
      </w:r>
      <w:r>
        <w:rPr>
          <w:rFonts w:hint="default" w:ascii="Times New Roman" w:hAnsi="Times New Roman" w:eastAsia="方正仿宋_GBK" w:cs="Times New Roman"/>
          <w:sz w:val="32"/>
          <w:szCs w:val="32"/>
          <w:shd w:val="clear" w:color="auto" w:fill="FFFFFF"/>
          <w:lang w:val="en-US" w:eastAsia="zh-CN"/>
        </w:rPr>
        <w:t>58.67</w:t>
      </w:r>
      <w:r>
        <w:rPr>
          <w:rFonts w:hint="default" w:ascii="Times New Roman" w:hAnsi="Times New Roman" w:eastAsia="方正仿宋_GBK" w:cs="Times New Roman"/>
          <w:sz w:val="32"/>
          <w:szCs w:val="32"/>
          <w:shd w:val="clear" w:color="auto" w:fill="FFFFFF"/>
          <w:lang w:eastAsia="zh-CN"/>
        </w:rPr>
        <w:t>万元；二是支出方面。基本支出减少</w:t>
      </w:r>
      <w:r>
        <w:rPr>
          <w:rFonts w:hint="default" w:ascii="Times New Roman" w:hAnsi="Times New Roman" w:eastAsia="方正仿宋_GBK" w:cs="Times New Roman"/>
          <w:sz w:val="32"/>
          <w:szCs w:val="32"/>
          <w:shd w:val="clear" w:color="auto" w:fill="FFFFFF"/>
          <w:lang w:val="en-US" w:eastAsia="zh-CN"/>
        </w:rPr>
        <w:t>75.54万元、项目支出减少176.22万元，其中，工资福利支出减少109.75万元、对个人和家庭的补助减少627.96万元、资本性支出（基本建设）减少36.3万元、商品和服务支出增加302.02万元、资本性支出22.02万元。</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2151.14</w:t>
      </w:r>
      <w:r>
        <w:rPr>
          <w:rFonts w:hint="default" w:ascii="Times New Roman" w:hAnsi="Times New Roman" w:eastAsia="方正仿宋_GBK" w:cs="Times New Roman"/>
          <w:sz w:val="32"/>
          <w:szCs w:val="32"/>
          <w:shd w:val="clear" w:color="auto" w:fill="FFFFFF"/>
        </w:rPr>
        <w:t>万元，较上年决算数减少277.07万元，下降11.41%。主要原因是</w:t>
      </w:r>
      <w:r>
        <w:rPr>
          <w:rFonts w:hint="default" w:ascii="Times New Roman" w:hAnsi="Times New Roman" w:eastAsia="方正仿宋_GBK" w:cs="Times New Roman"/>
          <w:sz w:val="32"/>
          <w:szCs w:val="32"/>
          <w:shd w:val="clear" w:color="auto" w:fill="FFFFFF"/>
          <w:lang w:val="en-US" w:eastAsia="zh-CN"/>
        </w:rPr>
        <w:t>工资福利支出、对个人和家庭的补助、资本性支出（基本建设）减少等支出减少。</w:t>
      </w:r>
      <w:r>
        <w:rPr>
          <w:rFonts w:hint="default" w:ascii="Times New Roman" w:hAnsi="Times New Roman" w:eastAsia="方正仿宋_GBK" w:cs="Times New Roman"/>
          <w:sz w:val="32"/>
          <w:szCs w:val="32"/>
          <w:shd w:val="clear" w:color="auto" w:fill="FFFFFF"/>
        </w:rPr>
        <w:t>较年初预算数增加885.97万元，增长70.03%。主要原因是</w:t>
      </w:r>
      <w:r>
        <w:rPr>
          <w:rFonts w:hint="default" w:ascii="Times New Roman" w:hAnsi="Times New Roman" w:eastAsia="方正仿宋_GBK" w:cs="Times New Roman"/>
          <w:sz w:val="32"/>
          <w:szCs w:val="32"/>
          <w:shd w:val="clear" w:color="auto" w:fill="FFFFFF"/>
          <w:lang w:val="en-US" w:eastAsia="zh-CN"/>
        </w:rPr>
        <w:t>工资福利支出、对个人和家庭的补助、资本性支出（基本建设）减少等支出增加。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58.67</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2183.82</w:t>
      </w:r>
      <w:r>
        <w:rPr>
          <w:rFonts w:hint="default" w:ascii="Times New Roman" w:hAnsi="Times New Roman" w:eastAsia="方正仿宋_GBK" w:cs="Times New Roman"/>
          <w:sz w:val="32"/>
          <w:szCs w:val="32"/>
          <w:shd w:val="clear" w:color="auto" w:fill="FFFFFF"/>
        </w:rPr>
        <w:t>万元，较上年决算数减少244.39万元，下降10.06%。主要原因是</w:t>
      </w:r>
      <w:r>
        <w:rPr>
          <w:rFonts w:hint="default" w:ascii="Times New Roman" w:hAnsi="Times New Roman" w:eastAsia="方正仿宋_GBK" w:cs="Times New Roman"/>
          <w:sz w:val="32"/>
          <w:szCs w:val="32"/>
          <w:shd w:val="clear" w:color="auto" w:fill="FFFFFF"/>
          <w:lang w:eastAsia="zh-CN"/>
        </w:rPr>
        <w:t>基本支出减少</w:t>
      </w:r>
      <w:r>
        <w:rPr>
          <w:rFonts w:hint="default" w:ascii="Times New Roman" w:hAnsi="Times New Roman" w:eastAsia="方正仿宋_GBK" w:cs="Times New Roman"/>
          <w:sz w:val="32"/>
          <w:szCs w:val="32"/>
          <w:shd w:val="clear" w:color="auto" w:fill="FFFFFF"/>
          <w:lang w:val="en-US" w:eastAsia="zh-CN"/>
        </w:rPr>
        <w:t>75.54万元、项目支出减少168.85万元、工资福利支出减少109.75万元、对个人和家庭的补助减少620.3万元、资本性支出（基本建设）减少36.3万元、商品和服务支出增加301.74万元、资本性支出22.02万元。</w:t>
      </w:r>
      <w:r>
        <w:rPr>
          <w:rFonts w:hint="default" w:ascii="Times New Roman" w:hAnsi="Times New Roman" w:eastAsia="方正仿宋_GBK" w:cs="Times New Roman"/>
          <w:sz w:val="32"/>
          <w:szCs w:val="32"/>
          <w:shd w:val="clear" w:color="auto" w:fill="FFFFFF"/>
        </w:rPr>
        <w:t>较年初预算数增加0.44万元，增长0.02%。主要原因是</w:t>
      </w:r>
      <w:r>
        <w:rPr>
          <w:rFonts w:hint="default" w:ascii="Times New Roman" w:hAnsi="Times New Roman" w:eastAsia="方正仿宋_GBK" w:cs="Times New Roman"/>
          <w:sz w:val="32"/>
          <w:szCs w:val="32"/>
          <w:shd w:val="clear" w:color="auto" w:fill="FFFFFF"/>
          <w:lang w:eastAsia="zh-CN"/>
        </w:rPr>
        <w:t>基本支出减少</w:t>
      </w:r>
      <w:r>
        <w:rPr>
          <w:rFonts w:hint="default" w:ascii="Times New Roman" w:hAnsi="Times New Roman" w:eastAsia="方正仿宋_GBK" w:cs="Times New Roman"/>
          <w:sz w:val="32"/>
          <w:szCs w:val="32"/>
          <w:shd w:val="clear" w:color="auto" w:fill="FFFFFF"/>
          <w:lang w:val="en-US" w:eastAsia="zh-CN"/>
        </w:rPr>
        <w:t>85.1万元、项目支出增加85.54万元。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25.99</w:t>
      </w:r>
      <w:r>
        <w:rPr>
          <w:rFonts w:hint="default" w:ascii="Times New Roman" w:hAnsi="Times New Roman" w:eastAsia="方正仿宋_GBK" w:cs="Times New Roman"/>
          <w:sz w:val="32"/>
          <w:szCs w:val="32"/>
          <w:shd w:val="clear" w:color="auto" w:fill="FFFFFF"/>
        </w:rPr>
        <w:t>万元，较上年决算数增加25.99万元，增长100.00%，主要原因是</w:t>
      </w:r>
      <w:r>
        <w:rPr>
          <w:rFonts w:hint="default" w:ascii="Times New Roman" w:hAnsi="Times New Roman" w:eastAsia="方正仿宋_GBK" w:cs="Times New Roman"/>
          <w:sz w:val="32"/>
          <w:szCs w:val="32"/>
          <w:shd w:val="clear" w:color="auto" w:fill="FFFFFF"/>
          <w:lang w:val="en-US" w:eastAsia="zh-CN"/>
        </w:rPr>
        <w:t>2022年</w:t>
      </w:r>
      <w:r>
        <w:rPr>
          <w:rFonts w:hint="default" w:ascii="Times New Roman" w:hAnsi="Times New Roman" w:eastAsia="方正仿宋_GBK" w:cs="Times New Roman"/>
          <w:sz w:val="32"/>
          <w:szCs w:val="32"/>
          <w:shd w:val="clear" w:color="auto" w:fill="FFFFFF"/>
        </w:rPr>
        <w:t>年末</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财政拨款结转和结余</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555.47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25.44</w:t>
      </w:r>
      <w:r>
        <w:rPr>
          <w:rFonts w:hint="default" w:ascii="Times New Roman" w:hAnsi="Times New Roman" w:eastAsia="方正仿宋_GBK" w:cs="Times New Roman"/>
          <w:sz w:val="32"/>
          <w:szCs w:val="32"/>
          <w:shd w:val="clear" w:color="auto" w:fill="FFFFFF"/>
        </w:rPr>
        <w:t>%，较年初预算数增加7.05万元，增长1.29%，主要原因是</w:t>
      </w:r>
      <w:r>
        <w:rPr>
          <w:rFonts w:hint="default" w:ascii="Times New Roman" w:hAnsi="Times New Roman" w:eastAsia="方正仿宋_GBK" w:cs="Times New Roman"/>
          <w:color w:val="auto"/>
          <w:sz w:val="32"/>
          <w:szCs w:val="32"/>
          <w:shd w:val="clear" w:color="auto" w:fill="FFFFFF"/>
          <w:lang w:val="en-US" w:eastAsia="zh-CN"/>
        </w:rPr>
        <w:t>2023年机关在职职工增加，所需经费增加。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0.14</w:t>
      </w:r>
      <w:r>
        <w:rPr>
          <w:rFonts w:hint="default" w:ascii="Times New Roman" w:hAnsi="Times New Roman" w:eastAsia="方正仿宋_GBK" w:cs="Times New Roman"/>
          <w:sz w:val="32"/>
          <w:szCs w:val="32"/>
          <w:shd w:val="clear" w:color="auto" w:fill="FFFFFF"/>
        </w:rPr>
        <w:t>%，较年初预算数增加3.00万元，增长100.00%，主要原因是</w:t>
      </w:r>
      <w:r>
        <w:rPr>
          <w:rFonts w:hint="default" w:ascii="Times New Roman" w:hAnsi="Times New Roman" w:eastAsia="方正仿宋_GBK" w:cs="Times New Roman"/>
          <w:sz w:val="32"/>
          <w:szCs w:val="32"/>
          <w:shd w:val="clear" w:color="auto" w:fill="FFFFFF"/>
          <w:lang w:eastAsia="zh-CN"/>
        </w:rPr>
        <w:t>该支出总计三笔支付，均由公用经费支付通讯费以及食堂工作人员报酬，由于指标原因，所以增加</w:t>
      </w:r>
      <w:r>
        <w:rPr>
          <w:rFonts w:hint="default" w:ascii="Times New Roman" w:hAnsi="Times New Roman" w:eastAsia="方正仿宋_GBK" w:cs="Times New Roman"/>
          <w:sz w:val="32"/>
          <w:szCs w:val="32"/>
          <w:shd w:val="clear" w:color="auto" w:fill="FFFFFF"/>
          <w:lang w:val="en-US" w:eastAsia="zh-CN"/>
        </w:rPr>
        <w:t>3.00万元国防支出。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8.66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0.40</w:t>
      </w:r>
      <w:r>
        <w:rPr>
          <w:rFonts w:hint="default" w:ascii="Times New Roman" w:hAnsi="Times New Roman" w:eastAsia="方正仿宋_GBK" w:cs="Times New Roman"/>
          <w:sz w:val="32"/>
          <w:szCs w:val="32"/>
          <w:shd w:val="clear" w:color="auto" w:fill="FFFFFF"/>
        </w:rPr>
        <w:t>%，较年初预算数增加3.60万元，增长71.15%，主要原因是</w:t>
      </w:r>
      <w:r>
        <w:rPr>
          <w:rFonts w:hint="default" w:ascii="Times New Roman" w:hAnsi="Times New Roman" w:eastAsia="方正仿宋_GBK" w:cs="Times New Roman"/>
          <w:sz w:val="32"/>
          <w:szCs w:val="32"/>
          <w:shd w:val="clear" w:color="auto" w:fill="FFFFFF"/>
          <w:lang w:eastAsia="zh-CN"/>
        </w:rPr>
        <w:t>该支出总计</w:t>
      </w:r>
      <w:r>
        <w:rPr>
          <w:rFonts w:hint="default" w:ascii="Times New Roman" w:hAnsi="Times New Roman" w:eastAsia="方正仿宋_GBK" w:cs="Times New Roman"/>
          <w:sz w:val="32"/>
          <w:szCs w:val="32"/>
          <w:shd w:val="clear" w:color="auto" w:fill="FFFFFF"/>
          <w:lang w:val="en-US" w:eastAsia="zh-CN"/>
        </w:rPr>
        <w:t>6笔，分别用于支付群防群测人员补助、安全巡逻员经费、妙泉镇渝怀二线矛盾调解人员补助。</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54.76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2.51</w:t>
      </w:r>
      <w:r>
        <w:rPr>
          <w:rFonts w:hint="default" w:ascii="Times New Roman" w:hAnsi="Times New Roman" w:eastAsia="方正仿宋_GBK" w:cs="Times New Roman"/>
          <w:sz w:val="32"/>
          <w:szCs w:val="32"/>
          <w:shd w:val="clear" w:color="auto" w:fill="FFFFFF"/>
        </w:rPr>
        <w:t>%，较年初预算数减少10.47万元，下降16.05%，主要原因是</w:t>
      </w:r>
      <w:r>
        <w:rPr>
          <w:rFonts w:hint="default" w:ascii="Times New Roman" w:hAnsi="Times New Roman" w:eastAsia="方正仿宋_GBK" w:cs="Times New Roman"/>
          <w:sz w:val="32"/>
          <w:szCs w:val="32"/>
          <w:shd w:val="clear" w:color="auto" w:fill="FFFFFF"/>
          <w:lang w:eastAsia="zh-CN"/>
        </w:rPr>
        <w:t>开展相关文化活动，活动方案进一步完善，优化部分开支内容，降低相关经费开支。</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204.60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9.37</w:t>
      </w:r>
      <w:r>
        <w:rPr>
          <w:rFonts w:hint="default" w:ascii="Times New Roman" w:hAnsi="Times New Roman" w:eastAsia="方正仿宋_GBK" w:cs="Times New Roman"/>
          <w:sz w:val="32"/>
          <w:szCs w:val="32"/>
          <w:shd w:val="clear" w:color="auto" w:fill="FFFFFF"/>
        </w:rPr>
        <w:t>%，较年初预算数减少29.45万元，下降12.58%，主要原因是</w:t>
      </w:r>
      <w:r>
        <w:rPr>
          <w:rFonts w:hint="default" w:ascii="Times New Roman" w:hAnsi="Times New Roman" w:eastAsia="方正仿宋_GBK" w:cs="Times New Roman"/>
          <w:sz w:val="32"/>
          <w:szCs w:val="32"/>
          <w:shd w:val="clear" w:color="auto" w:fill="FFFFFF"/>
          <w:lang w:eastAsia="zh-CN"/>
        </w:rPr>
        <w:t>公益性岗位、三支一扶等员工减少，所需经费减少。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74.48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3.41</w:t>
      </w:r>
      <w:r>
        <w:rPr>
          <w:rFonts w:hint="default" w:ascii="Times New Roman" w:hAnsi="Times New Roman" w:eastAsia="方正仿宋_GBK" w:cs="Times New Roman"/>
          <w:sz w:val="32"/>
          <w:szCs w:val="32"/>
          <w:shd w:val="clear" w:color="auto" w:fill="FFFFFF"/>
        </w:rPr>
        <w:t>%，较年初预算数增加22.38万元，增长42.96%，主要原因是</w:t>
      </w:r>
      <w:r>
        <w:rPr>
          <w:rFonts w:hint="default" w:ascii="Times New Roman" w:hAnsi="Times New Roman" w:eastAsia="方正仿宋_GBK" w:cs="Times New Roman"/>
          <w:sz w:val="32"/>
          <w:szCs w:val="32"/>
          <w:shd w:val="clear" w:color="auto" w:fill="FFFFFF"/>
          <w:lang w:eastAsia="zh-CN"/>
        </w:rPr>
        <w:t>在职人员计提基数增大。</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94.50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4.33</w:t>
      </w:r>
      <w:r>
        <w:rPr>
          <w:rFonts w:hint="default" w:ascii="Times New Roman" w:hAnsi="Times New Roman" w:eastAsia="方正仿宋_GBK" w:cs="Times New Roman"/>
          <w:sz w:val="32"/>
          <w:szCs w:val="32"/>
          <w:shd w:val="clear" w:color="auto" w:fill="FFFFFF"/>
        </w:rPr>
        <w:t>%，较年初预算数减少436.99万元，下降82.22%，主要原因是</w:t>
      </w:r>
      <w:r>
        <w:rPr>
          <w:rFonts w:hint="default" w:ascii="Times New Roman" w:hAnsi="Times New Roman" w:eastAsia="方正仿宋_GBK" w:cs="Times New Roman"/>
          <w:sz w:val="32"/>
          <w:szCs w:val="32"/>
          <w:shd w:val="clear" w:color="auto" w:fill="FFFFFF"/>
          <w:lang w:eastAsia="zh-CN"/>
        </w:rPr>
        <w:t>节能环保工作常态化，后续投入相关经费开支减少。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55.72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2.55</w:t>
      </w:r>
      <w:r>
        <w:rPr>
          <w:rFonts w:hint="default" w:ascii="Times New Roman" w:hAnsi="Times New Roman" w:eastAsia="方正仿宋_GBK" w:cs="Times New Roman"/>
          <w:sz w:val="32"/>
          <w:szCs w:val="32"/>
          <w:shd w:val="clear" w:color="auto" w:fill="FFFFFF"/>
        </w:rPr>
        <w:t>%，较年初预算数减少4.72万元，下降7.81%，主要原因是</w:t>
      </w:r>
      <w:r>
        <w:rPr>
          <w:rFonts w:hint="default" w:ascii="Times New Roman" w:hAnsi="Times New Roman" w:eastAsia="方正仿宋_GBK" w:cs="Times New Roman"/>
          <w:sz w:val="32"/>
          <w:szCs w:val="32"/>
          <w:shd w:val="clear" w:color="auto" w:fill="FFFFFF"/>
          <w:lang w:eastAsia="zh-CN"/>
        </w:rPr>
        <w:t>在职职工减少，所需经费减少。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1048.89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48.03</w:t>
      </w:r>
      <w:r>
        <w:rPr>
          <w:rFonts w:hint="default" w:ascii="Times New Roman" w:hAnsi="Times New Roman" w:eastAsia="方正仿宋_GBK" w:cs="Times New Roman"/>
          <w:sz w:val="32"/>
          <w:szCs w:val="32"/>
          <w:shd w:val="clear" w:color="auto" w:fill="FFFFFF"/>
        </w:rPr>
        <w:t>%，较年初预算数增加464.92万元，增长79.61%，主要原因是驻村工作</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森林防火</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森林资源管护</w:t>
      </w:r>
      <w:r>
        <w:rPr>
          <w:rFonts w:hint="default" w:ascii="Times New Roman" w:hAnsi="Times New Roman" w:eastAsia="方正仿宋_GBK" w:cs="Times New Roman"/>
          <w:sz w:val="32"/>
          <w:szCs w:val="32"/>
          <w:shd w:val="clear" w:color="auto" w:fill="FFFFFF"/>
          <w:lang w:eastAsia="zh-CN"/>
        </w:rPr>
        <w:t>、森林资源管护等开支，由于</w:t>
      </w:r>
      <w:r>
        <w:rPr>
          <w:rFonts w:hint="default" w:ascii="Times New Roman" w:hAnsi="Times New Roman" w:eastAsia="方正仿宋_GBK" w:cs="Times New Roman"/>
          <w:sz w:val="32"/>
          <w:szCs w:val="32"/>
          <w:shd w:val="clear" w:color="auto" w:fill="FFFFFF"/>
          <w:lang w:val="en-US" w:eastAsia="zh-CN"/>
        </w:rPr>
        <w:t>2023年气候炎热，防旱、森林土地保护相关开支增大，导致较年初预算数增加。</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自然资源海洋气象等支出13.59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0.62</w:t>
      </w:r>
      <w:r>
        <w:rPr>
          <w:rFonts w:hint="default" w:ascii="Times New Roman" w:hAnsi="Times New Roman" w:eastAsia="方正仿宋_GBK" w:cs="Times New Roman"/>
          <w:sz w:val="32"/>
          <w:szCs w:val="32"/>
          <w:shd w:val="clear" w:color="auto" w:fill="FFFFFF"/>
        </w:rPr>
        <w:t>%，较年初预算数增加13.59万元，增长100.00%，主要原因是</w:t>
      </w:r>
      <w:r>
        <w:rPr>
          <w:rFonts w:hint="default" w:ascii="Times New Roman" w:hAnsi="Times New Roman" w:eastAsia="方正仿宋_GBK" w:cs="Times New Roman"/>
          <w:sz w:val="32"/>
          <w:szCs w:val="32"/>
          <w:shd w:val="clear" w:color="auto" w:fill="FFFFFF"/>
          <w:lang w:eastAsia="zh-CN"/>
        </w:rPr>
        <w:t>该支出主要三笔</w:t>
      </w:r>
      <w:r>
        <w:rPr>
          <w:rFonts w:hint="default" w:ascii="Times New Roman" w:hAnsi="Times New Roman" w:eastAsia="方正仿宋_GBK" w:cs="Times New Roman"/>
          <w:sz w:val="32"/>
          <w:szCs w:val="32"/>
          <w:shd w:val="clear" w:color="auto" w:fill="FFFFFF"/>
        </w:rPr>
        <w:t>新增耕地指标款安排2021年耕地流出问题恢复补足工作奖补资金</w:t>
      </w:r>
      <w:r>
        <w:rPr>
          <w:rFonts w:hint="default" w:ascii="Times New Roman" w:hAnsi="Times New Roman" w:eastAsia="方正仿宋_GBK" w:cs="Times New Roman"/>
          <w:sz w:val="32"/>
          <w:szCs w:val="32"/>
          <w:shd w:val="clear" w:color="auto" w:fill="FFFFFF"/>
          <w:lang w:eastAsia="zh-CN"/>
        </w:rPr>
        <w:t>支付，用于耕地流出问题恢复补足工作。</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住房保障支出65.85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3.02</w:t>
      </w:r>
      <w:r>
        <w:rPr>
          <w:rFonts w:hint="default" w:ascii="Times New Roman" w:hAnsi="Times New Roman" w:eastAsia="方正仿宋_GBK" w:cs="Times New Roman"/>
          <w:sz w:val="32"/>
          <w:szCs w:val="32"/>
          <w:shd w:val="clear" w:color="auto" w:fill="FFFFFF"/>
        </w:rPr>
        <w:t>%，较年初预算数减少5.43万元，下降7.62%，主要原因是</w:t>
      </w:r>
      <w:r>
        <w:rPr>
          <w:rFonts w:hint="default" w:ascii="Times New Roman" w:hAnsi="Times New Roman" w:eastAsia="方正仿宋_GBK" w:cs="Times New Roman"/>
          <w:sz w:val="32"/>
          <w:szCs w:val="32"/>
          <w:shd w:val="clear" w:color="auto" w:fill="FFFFFF"/>
          <w:lang w:eastAsia="zh-CN"/>
        </w:rPr>
        <w:t>该支出主要涉及公积金以及农村危房改造，存在住房保障条件等不符预期情况发生，所以较年初预算数减少。</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rPr>
        <w:t>灾害防治及应急管理支出4.30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%，较年初预算数减少17.04万元，下降79.85%，主要原因是</w:t>
      </w:r>
      <w:r>
        <w:rPr>
          <w:rFonts w:hint="default" w:ascii="Times New Roman" w:hAnsi="Times New Roman" w:eastAsia="方正仿宋_GBK" w:cs="Times New Roman"/>
          <w:color w:val="auto"/>
          <w:sz w:val="32"/>
          <w:szCs w:val="32"/>
          <w:shd w:val="clear" w:color="auto" w:fill="FFFFFF"/>
          <w:lang w:eastAsia="zh-CN"/>
        </w:rPr>
        <w:t>该支出主要用于防火防旱物资储备，由于</w:t>
      </w:r>
      <w:r>
        <w:rPr>
          <w:rFonts w:hint="default" w:ascii="Times New Roman" w:hAnsi="Times New Roman" w:eastAsia="方正仿宋_GBK" w:cs="Times New Roman"/>
          <w:color w:val="auto"/>
          <w:sz w:val="32"/>
          <w:szCs w:val="32"/>
          <w:shd w:val="clear" w:color="auto" w:fill="FFFFFF"/>
          <w:lang w:val="en-US" w:eastAsia="zh-CN"/>
        </w:rPr>
        <w:t>2023年灾害发生率较低，所以较年初预算数低</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方正楷体_GBK" w:hAnsi="方正楷体_GBK" w:eastAsia="方正楷体_GBK" w:cs="方正楷体_GBK"/>
          <w:b w:val="0"/>
          <w:bCs/>
          <w:sz w:val="32"/>
          <w:szCs w:val="32"/>
          <w:shd w:val="clear" w:color="auto" w:fill="FFFFFF"/>
          <w:lang w:val="en-US" w:eastAsia="zh-CN" w:bidi="ar-SA"/>
        </w:rPr>
      </w:pPr>
      <w:r>
        <w:rPr>
          <w:rStyle w:val="9"/>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973.72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834.69</w:t>
      </w:r>
      <w:r>
        <w:rPr>
          <w:rFonts w:hint="default" w:ascii="Times New Roman" w:hAnsi="Times New Roman" w:eastAsia="方正仿宋_GBK" w:cs="Times New Roman"/>
          <w:sz w:val="32"/>
          <w:szCs w:val="32"/>
          <w:shd w:val="clear" w:color="auto" w:fill="FFFFFF"/>
        </w:rPr>
        <w:t>万元，较上年决算数减少115.49万元，下降12.15%，主要原因是</w:t>
      </w:r>
      <w:r>
        <w:rPr>
          <w:rFonts w:hint="default" w:ascii="Times New Roman" w:hAnsi="Times New Roman" w:eastAsia="方正仿宋_GBK" w:cs="Times New Roman"/>
          <w:sz w:val="32"/>
          <w:szCs w:val="32"/>
          <w:shd w:val="clear" w:color="auto" w:fill="FFFFFF"/>
          <w:lang w:eastAsia="zh-CN"/>
        </w:rPr>
        <w:t>三支一扶、</w:t>
      </w:r>
      <w:r>
        <w:rPr>
          <w:rFonts w:hint="default" w:ascii="Times New Roman" w:hAnsi="Times New Roman" w:eastAsia="方正仿宋_GBK" w:cs="Times New Roman"/>
          <w:color w:val="auto"/>
          <w:sz w:val="32"/>
          <w:szCs w:val="32"/>
          <w:shd w:val="clear" w:color="auto" w:fill="FFFFFF"/>
          <w:lang w:eastAsia="zh-CN"/>
        </w:rPr>
        <w:t>公益性岗位、非公益性岗位等人员减少，部分群众相关的补贴由民政直接发放，导致</w:t>
      </w:r>
      <w:r>
        <w:rPr>
          <w:rFonts w:hint="default" w:ascii="Times New Roman" w:hAnsi="Times New Roman" w:eastAsia="方正仿宋_GBK" w:cs="Times New Roman"/>
          <w:sz w:val="32"/>
          <w:szCs w:val="32"/>
          <w:shd w:val="clear" w:color="auto" w:fill="FFFFFF"/>
        </w:rPr>
        <w:t>较上年决算数</w:t>
      </w:r>
      <w:r>
        <w:rPr>
          <w:rFonts w:hint="default" w:ascii="Times New Roman" w:hAnsi="Times New Roman" w:eastAsia="方正仿宋_GBK" w:cs="Times New Roman"/>
          <w:color w:val="auto"/>
          <w:sz w:val="32"/>
          <w:szCs w:val="32"/>
          <w:shd w:val="clear" w:color="auto" w:fill="FFFFFF"/>
          <w:lang w:eastAsia="zh-CN"/>
        </w:rPr>
        <w:t>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在职职工以及三支一扶工资绩效、社保公积金配套、遗属补贴、体检费等开支。</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139.03</w:t>
      </w:r>
      <w:r>
        <w:rPr>
          <w:rFonts w:hint="default" w:ascii="Times New Roman" w:hAnsi="Times New Roman" w:eastAsia="方正仿宋_GBK" w:cs="Times New Roman"/>
          <w:sz w:val="32"/>
          <w:szCs w:val="32"/>
          <w:shd w:val="clear" w:color="auto" w:fill="FFFFFF"/>
        </w:rPr>
        <w:t>万元，较上年决算数增加39.96万元，增长40.34%，主要原因是公务用车运行维护费增加，车辆老化，车辆耗油量及维修频次增加</w:t>
      </w:r>
      <w:r>
        <w:rPr>
          <w:rFonts w:hint="default" w:ascii="Times New Roman" w:hAnsi="Times New Roman" w:eastAsia="方正仿宋_GBK" w:cs="Times New Roman"/>
          <w:sz w:val="32"/>
          <w:szCs w:val="32"/>
          <w:shd w:val="clear" w:color="auto" w:fill="FFFFFF"/>
          <w:lang w:eastAsia="zh-CN"/>
        </w:rPr>
        <w:t>以及</w:t>
      </w:r>
      <w:r>
        <w:rPr>
          <w:rFonts w:hint="default" w:ascii="Times New Roman" w:hAnsi="Times New Roman" w:eastAsia="方正仿宋_GBK" w:cs="Times New Roman"/>
          <w:sz w:val="32"/>
          <w:szCs w:val="32"/>
          <w:shd w:val="clear" w:color="auto" w:fill="FFFFFF"/>
        </w:rPr>
        <w:t>2023年外出参加会议增加</w:t>
      </w:r>
      <w:r>
        <w:rPr>
          <w:rFonts w:hint="default" w:ascii="Times New Roman" w:hAnsi="Times New Roman" w:eastAsia="方正仿宋_GBK" w:cs="Times New Roman"/>
          <w:sz w:val="32"/>
          <w:szCs w:val="32"/>
          <w:shd w:val="clear" w:color="auto" w:fill="FFFFFF"/>
          <w:lang w:eastAsia="zh-CN"/>
        </w:rPr>
        <w:t>导致</w:t>
      </w:r>
      <w:r>
        <w:rPr>
          <w:rFonts w:hint="default" w:ascii="Times New Roman" w:hAnsi="Times New Roman" w:eastAsia="方正仿宋_GBK" w:cs="Times New Roman"/>
          <w:sz w:val="32"/>
          <w:szCs w:val="32"/>
          <w:shd w:val="clear" w:color="auto" w:fill="FFFFFF"/>
        </w:rPr>
        <w:t>差旅费增加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lang w:eastAsia="zh-CN"/>
        </w:rPr>
        <w:t>水电通讯费、差旅费、食堂开支、杂志报刊费、培训费、办公室耗材费。</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方正楷体_GBK" w:hAnsi="方正楷体_GBK" w:eastAsia="方正楷体_GBK" w:cs="方正楷体_GBK"/>
          <w:b w:val="0"/>
          <w:bCs/>
          <w:sz w:val="32"/>
          <w:szCs w:val="32"/>
          <w:shd w:val="clear" w:color="auto" w:fill="FFFFFF"/>
          <w:lang w:val="en-US" w:eastAsia="zh-CN" w:bidi="ar-SA"/>
        </w:rPr>
      </w:pPr>
      <w:r>
        <w:rPr>
          <w:rStyle w:val="9"/>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12.34</w:t>
      </w:r>
      <w:r>
        <w:rPr>
          <w:rFonts w:hint="default" w:ascii="Times New Roman" w:hAnsi="Times New Roman" w:eastAsia="方正仿宋_GBK" w:cs="Times New Roman"/>
          <w:sz w:val="32"/>
          <w:szCs w:val="32"/>
          <w:shd w:val="clear" w:color="auto" w:fill="FFFFFF"/>
        </w:rPr>
        <w:t>万元，较上年决算数减少7.37万元，下降37.39%，主要原因是农林水</w:t>
      </w:r>
      <w:r>
        <w:rPr>
          <w:rFonts w:hint="default" w:ascii="Times New Roman" w:hAnsi="Times New Roman" w:eastAsia="方正仿宋_GBK" w:cs="Times New Roman"/>
          <w:sz w:val="32"/>
          <w:szCs w:val="32"/>
          <w:shd w:val="clear" w:color="auto" w:fill="FFFFFF"/>
          <w:lang w:eastAsia="zh-CN"/>
        </w:rPr>
        <w:t>方面收入减少</w:t>
      </w:r>
      <w:r>
        <w:rPr>
          <w:rFonts w:hint="default" w:ascii="Times New Roman" w:hAnsi="Times New Roman" w:eastAsia="方正仿宋_GBK" w:cs="Times New Roman"/>
          <w:sz w:val="32"/>
          <w:szCs w:val="32"/>
          <w:shd w:val="clear" w:color="auto" w:fill="FFFFFF"/>
          <w:lang w:val="en-US" w:eastAsia="zh-CN"/>
        </w:rPr>
        <w:t>7.72万元。</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12.34</w:t>
      </w:r>
      <w:r>
        <w:rPr>
          <w:rFonts w:hint="default" w:ascii="Times New Roman" w:hAnsi="Times New Roman" w:eastAsia="方正仿宋_GBK" w:cs="Times New Roman"/>
          <w:sz w:val="32"/>
          <w:szCs w:val="32"/>
          <w:shd w:val="clear" w:color="auto" w:fill="FFFFFF"/>
        </w:rPr>
        <w:t>万元，较上年决算数减少7.37万元，下降37.39%，主要原因是城乡社区支出</w:t>
      </w:r>
      <w:r>
        <w:rPr>
          <w:rFonts w:hint="default" w:ascii="Times New Roman" w:hAnsi="Times New Roman" w:eastAsia="方正仿宋_GBK" w:cs="Times New Roman"/>
          <w:sz w:val="32"/>
          <w:szCs w:val="32"/>
          <w:shd w:val="clear" w:color="auto" w:fill="FFFFFF"/>
          <w:lang w:val="en-US" w:eastAsia="zh-CN"/>
        </w:rPr>
        <w:t>1.2万元、农林水支出1.14万元、其他支出10万元（用于体育事业的彩票公益金支出10万元）。</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b w:val="0"/>
          <w:bCs/>
          <w:sz w:val="32"/>
          <w:szCs w:val="32"/>
          <w:shd w:val="clear" w:color="auto" w:fill="auto"/>
        </w:rPr>
        <w:t>本部门2023年度无国有资本经营预算财政拨款支出。</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w:t>
      </w:r>
      <w:r>
        <w:rPr>
          <w:rStyle w:val="9"/>
          <w:rFonts w:hint="eastAsia" w:ascii="方正黑体_GBK" w:hAnsi="方正黑体_GBK" w:eastAsia="方正黑体_GBK" w:cs="方正黑体_GBK"/>
          <w:b w:val="0"/>
          <w:bCs/>
          <w:sz w:val="32"/>
          <w:szCs w:val="32"/>
          <w:shd w:val="clear" w:color="auto" w:fill="FFFFFF"/>
        </w:rPr>
        <w:t>“</w:t>
      </w:r>
      <w:r>
        <w:rPr>
          <w:rStyle w:val="9"/>
          <w:rFonts w:hint="default" w:ascii="Times New Roman" w:hAnsi="Times New Roman" w:eastAsia="方正黑体_GBK" w:cs="Times New Roman"/>
          <w:b w:val="0"/>
          <w:bCs/>
          <w:sz w:val="32"/>
          <w:szCs w:val="32"/>
          <w:shd w:val="clear" w:color="auto" w:fill="FFFFFF"/>
        </w:rPr>
        <w:t>三公</w:t>
      </w:r>
      <w:r>
        <w:rPr>
          <w:rStyle w:val="9"/>
          <w:rFonts w:hint="eastAsia" w:ascii="方正黑体_GBK" w:hAnsi="方正黑体_GBK" w:eastAsia="方正黑体_GBK" w:cs="方正黑体_GBK"/>
          <w:b w:val="0"/>
          <w:bCs/>
          <w:sz w:val="32"/>
          <w:szCs w:val="32"/>
          <w:shd w:val="clear" w:color="auto" w:fill="FFFFFF"/>
        </w:rPr>
        <w:t>”</w:t>
      </w:r>
      <w:r>
        <w:rPr>
          <w:rStyle w:val="9"/>
          <w:rFonts w:hint="default" w:ascii="Times New Roman" w:hAnsi="Times New Roman" w:eastAsia="方正黑体_GBK" w:cs="Times New Roman"/>
          <w:b w:val="0"/>
          <w:bCs/>
          <w:sz w:val="32"/>
          <w:szCs w:val="32"/>
          <w:shd w:val="clear" w:color="auto" w:fill="FFFFFF"/>
        </w:rPr>
        <w:t>经费情况说明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方正楷体_GBK" w:hAnsi="方正楷体_GBK" w:eastAsia="方正楷体_GBK" w:cs="方正楷体_GBK"/>
          <w:b w:val="0"/>
          <w:bCs/>
          <w:sz w:val="32"/>
          <w:szCs w:val="32"/>
          <w:shd w:val="clear" w:color="auto" w:fill="FFFFFF"/>
          <w:lang w:val="en-US" w:eastAsia="zh-CN" w:bidi="ar-SA"/>
        </w:rPr>
      </w:pPr>
      <w:r>
        <w:rPr>
          <w:rStyle w:val="9"/>
          <w:rFonts w:hint="default"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eastAsia="zh-CN"/>
        </w:rPr>
        <w:t>“三公”经费按实际整年需求设置预算，支出方面严格按照预算要求执行，所以不存在增减。</w:t>
      </w:r>
      <w:r>
        <w:rPr>
          <w:rFonts w:hint="default" w:ascii="Times New Roman" w:hAnsi="Times New Roman" w:eastAsia="方正仿宋_GBK" w:cs="Times New Roman"/>
          <w:sz w:val="32"/>
          <w:szCs w:val="32"/>
          <w:shd w:val="clear" w:color="auto" w:fill="FFFFFF"/>
        </w:rPr>
        <w:t>较上年支出数增加6.60万元，增长194.12%，主要原因是</w:t>
      </w:r>
      <w:r>
        <w:rPr>
          <w:rFonts w:hint="default" w:ascii="Times New Roman" w:hAnsi="Times New Roman" w:eastAsia="方正仿宋_GBK" w:cs="Times New Roman"/>
          <w:sz w:val="32"/>
          <w:szCs w:val="32"/>
          <w:shd w:val="clear" w:color="auto" w:fill="FFFFFF"/>
          <w:lang w:eastAsia="zh-CN"/>
        </w:rPr>
        <w:t>公务车运行维护费增加，</w:t>
      </w:r>
      <w:r>
        <w:rPr>
          <w:rFonts w:hint="default" w:ascii="Times New Roman" w:hAnsi="Times New Roman" w:eastAsia="方正仿宋_GBK" w:cs="Times New Roman"/>
          <w:sz w:val="32"/>
          <w:szCs w:val="32"/>
          <w:shd w:val="clear" w:color="auto" w:fill="FFFFFF"/>
          <w:lang w:val="en-US" w:eastAsia="zh-CN"/>
        </w:rPr>
        <w:t>2023年公务车出勤次数增加，导致油耗增加，所以支出数较上年增加。</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eastAsia" w:ascii="方正楷体_GBK" w:hAnsi="方正楷体_GBK" w:eastAsia="方正楷体_GBK" w:cs="方正楷体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2023年度本部门</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lang w:eastAsia="zh-CN"/>
        </w:rPr>
        <w:t>用</w:t>
      </w:r>
      <w:r>
        <w:rPr>
          <w:rFonts w:hint="eastAsia" w:ascii="Times New Roman" w:hAnsi="Times New Roman" w:eastAsia="方正仿宋_GBK" w:cs="Times New Roman"/>
          <w:sz w:val="32"/>
          <w:szCs w:val="32"/>
          <w:shd w:val="clear" w:color="auto" w:fill="FFFFFF"/>
          <w:lang w:eastAsia="zh-CN"/>
        </w:rPr>
        <w:t>，费用支出较年初预算数、上年支出数无增减。</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万元，主要用于</w:t>
      </w:r>
      <w:r>
        <w:rPr>
          <w:rFonts w:hint="eastAsia" w:ascii="方正仿宋_GBK" w:hAnsi="方正仿宋_GBK" w:eastAsia="方正仿宋_GBK" w:cs="方正仿宋_GBK"/>
          <w:sz w:val="32"/>
          <w:szCs w:val="32"/>
          <w:lang w:eastAsia="zh-CN"/>
        </w:rPr>
        <w:t>部门</w:t>
      </w:r>
      <w:r>
        <w:rPr>
          <w:rFonts w:hint="default" w:ascii="Times New Roman" w:hAnsi="Times New Roman" w:eastAsia="方正仿宋_GBK" w:cs="Times New Roman"/>
          <w:color w:val="auto"/>
          <w:sz w:val="32"/>
          <w:szCs w:val="32"/>
          <w:shd w:val="clear" w:color="auto" w:fill="FFFFFF"/>
          <w:lang w:eastAsia="zh-CN"/>
        </w:rPr>
        <w:t>公务车保险、加油、维护。</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公务车运行维护费按实际整年需求设置预算，支出方面严格按照预算要求执行，所以不存在增减。</w:t>
      </w:r>
      <w:r>
        <w:rPr>
          <w:rFonts w:hint="default" w:ascii="Times New Roman" w:hAnsi="Times New Roman" w:eastAsia="方正仿宋_GBK" w:cs="Times New Roman"/>
          <w:sz w:val="32"/>
          <w:szCs w:val="32"/>
          <w:shd w:val="clear" w:color="auto" w:fill="FFFFFF"/>
        </w:rPr>
        <w:t>较上年支出数增加6.60万元，增长194.12%，主要原因是</w:t>
      </w:r>
      <w:r>
        <w:rPr>
          <w:rFonts w:hint="default" w:ascii="Times New Roman" w:hAnsi="Times New Roman" w:eastAsia="方正仿宋_GBK" w:cs="Times New Roman"/>
          <w:sz w:val="32"/>
          <w:szCs w:val="32"/>
          <w:shd w:val="clear" w:color="auto" w:fill="FFFFFF"/>
          <w:lang w:val="en-US" w:eastAsia="zh-CN"/>
        </w:rPr>
        <w:t>2023年公务车出勤次数增加，导致油耗增加，所以支出数较上年增加。</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eastAsia" w:ascii="方正楷体_GBK" w:hAnsi="方正楷体_GBK" w:eastAsia="方正楷体_GBK" w:cs="方正楷体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sz w:val="32"/>
          <w:szCs w:val="32"/>
          <w:shd w:val="clear" w:color="auto" w:fill="FFFFFF"/>
          <w:lang w:eastAsia="zh-CN"/>
        </w:rPr>
        <w:t>本年度未产生会议活动</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2.83</w:t>
      </w:r>
      <w:r>
        <w:rPr>
          <w:rFonts w:hint="default" w:ascii="Times New Roman" w:hAnsi="Times New Roman" w:eastAsia="方正仿宋_GBK" w:cs="Times New Roman"/>
          <w:sz w:val="32"/>
          <w:szCs w:val="32"/>
          <w:shd w:val="clear" w:color="auto" w:fill="FFFFFF"/>
        </w:rPr>
        <w:t>万元，较上年决算数增加0.35万元，增长14.11%，主要原因是</w:t>
      </w:r>
      <w:r>
        <w:rPr>
          <w:rFonts w:hint="default" w:ascii="Times New Roman" w:hAnsi="Times New Roman" w:eastAsia="方正仿宋_GBK" w:cs="Times New Roman"/>
          <w:sz w:val="32"/>
          <w:szCs w:val="32"/>
          <w:shd w:val="clear" w:color="auto" w:fill="FFFFFF"/>
          <w:lang w:eastAsia="zh-CN"/>
        </w:rPr>
        <w:t>本年度外出培训增加，导致培训费相关开支增加</w:t>
      </w:r>
      <w:r>
        <w:rPr>
          <w:rFonts w:hint="default" w:ascii="Times New Roman" w:hAnsi="Times New Roman" w:eastAsia="方正仿宋_GBK" w:cs="Times New Roman"/>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115.87</w:t>
      </w:r>
      <w:r>
        <w:rPr>
          <w:rFonts w:hint="default" w:ascii="Times New Roman" w:hAnsi="Times New Roman" w:eastAsia="方正仿宋_GBK" w:cs="Times New Roman"/>
          <w:sz w:val="32"/>
          <w:szCs w:val="32"/>
          <w:shd w:val="clear" w:color="auto" w:fill="FFFFFF"/>
        </w:rPr>
        <w:t>万元，机关运行经费主要用于开支行政</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lang w:eastAsia="zh-CN"/>
        </w:rPr>
        <w:t>相关开支</w:t>
      </w:r>
      <w:r>
        <w:rPr>
          <w:rFonts w:hint="default" w:ascii="Times New Roman" w:hAnsi="Times New Roman" w:eastAsia="方正仿宋_GBK" w:cs="Times New Roman"/>
          <w:sz w:val="32"/>
          <w:szCs w:val="32"/>
          <w:shd w:val="clear" w:color="auto" w:fill="FFFFFF"/>
          <w:lang w:val="en-US" w:eastAsia="zh-CN"/>
        </w:rPr>
        <w:t>108.81万元、参照公务员法管理事业</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开支7.06万元。</w:t>
      </w:r>
      <w:r>
        <w:rPr>
          <w:rFonts w:hint="default" w:ascii="Times New Roman" w:hAnsi="Times New Roman" w:eastAsia="方正仿宋_GBK" w:cs="Times New Roman"/>
          <w:sz w:val="32"/>
          <w:szCs w:val="32"/>
          <w:shd w:val="clear" w:color="auto" w:fill="FFFFFF"/>
        </w:rPr>
        <w:t>机关运行经费较上年支出数增加35.87万元，增长44.84%，主要原因是</w:t>
      </w:r>
      <w:r>
        <w:rPr>
          <w:rFonts w:hint="default" w:ascii="Times New Roman" w:hAnsi="Times New Roman" w:eastAsia="方正仿宋_GBK" w:cs="Times New Roman"/>
          <w:sz w:val="32"/>
          <w:szCs w:val="32"/>
          <w:lang w:val="en-US"/>
        </w:rPr>
        <w:t>公务用车运行维护费增加，车辆老化，车辆耗油量及维修频次增加；差旅费增加，2023年外出参加会议或事项汇报工作</w:t>
      </w:r>
      <w:r>
        <w:rPr>
          <w:rFonts w:hint="default"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sz w:val="32"/>
          <w:szCs w:val="32"/>
          <w:shd w:val="clear" w:color="auto" w:fill="FFFFFF"/>
        </w:rPr>
        <w:t>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w:t>
      </w:r>
      <w:r>
        <w:rPr>
          <w:rFonts w:hint="eastAsia"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未发生政府采购事项，无经费支出。</w:t>
      </w:r>
    </w:p>
    <w:p>
      <w:pPr>
        <w:pStyle w:val="7"/>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（一）部门自评情况</w:t>
      </w:r>
    </w:p>
    <w:p>
      <w:pPr>
        <w:pStyle w:val="13"/>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根据预算绩效管理要求，我部门对部门整体</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lang w:val="en-US" w:eastAsia="zh-CN"/>
        </w:rPr>
        <w:t>117</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1222.45</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bookmarkStart w:id="0" w:name="_GoBack"/>
      <w:bookmarkEnd w:id="0"/>
    </w:p>
    <w:p>
      <w:pPr>
        <w:pStyle w:val="13"/>
        <w:keepNext w:val="0"/>
        <w:keepLines w:val="0"/>
        <w:pageBreakBefore w:val="0"/>
        <w:kinsoku/>
        <w:wordWrap/>
        <w:overflowPunct/>
        <w:topLinePunct w:val="0"/>
        <w:autoSpaceDN/>
        <w:bidi w:val="0"/>
        <w:adjustRightInd/>
        <w:spacing w:before="0" w:beforeAutospacing="0" w:after="0" w:afterAutospacing="0" w:line="560"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rPr>
        <w:drawing>
          <wp:anchor distT="0" distB="0" distL="114300" distR="114300" simplePos="0" relativeHeight="251658240" behindDoc="0" locked="0" layoutInCell="1" allowOverlap="1">
            <wp:simplePos x="0" y="0"/>
            <wp:positionH relativeFrom="column">
              <wp:posOffset>449580</wp:posOffset>
            </wp:positionH>
            <wp:positionV relativeFrom="paragraph">
              <wp:posOffset>33020</wp:posOffset>
            </wp:positionV>
            <wp:extent cx="4415155" cy="4959350"/>
            <wp:effectExtent l="0" t="0" r="4445" b="1270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415155" cy="4959350"/>
                    </a:xfrm>
                    <a:prstGeom prst="rect">
                      <a:avLst/>
                    </a:prstGeom>
                    <a:noFill/>
                    <a:ln>
                      <a:noFill/>
                    </a:ln>
                  </pic:spPr>
                </pic:pic>
              </a:graphicData>
            </a:graphic>
          </wp:anchor>
        </w:drawing>
      </w:r>
    </w:p>
    <w:p>
      <w:pPr>
        <w:pStyle w:val="13"/>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3"/>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left="0" w:leftChars="0" w:firstLine="0" w:firstLineChars="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（二）部门绩效评价情况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我部门未组织开展绩效评价。</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方正楷体_GBK" w:hAnsi="方正楷体_GBK" w:eastAsia="方正楷体_GBK" w:cs="方正楷体_GBK"/>
          <w:b w:val="0"/>
          <w:bCs/>
          <w:sz w:val="32"/>
          <w:szCs w:val="32"/>
          <w:shd w:val="clear" w:color="auto" w:fill="FFFFFF"/>
          <w:lang w:val="en-US" w:eastAsia="zh-CN" w:bidi="ar-SA"/>
        </w:rPr>
      </w:pPr>
      <w:r>
        <w:rPr>
          <w:rStyle w:val="9"/>
          <w:rFonts w:hint="default" w:ascii="方正楷体_GBK" w:hAnsi="方正楷体_GBK" w:eastAsia="方正楷体_GBK" w:cs="方正楷体_GBK"/>
          <w:b w:val="0"/>
          <w:bCs/>
          <w:sz w:val="32"/>
          <w:szCs w:val="32"/>
          <w:shd w:val="clear" w:color="auto" w:fill="FFFFFF"/>
          <w:lang w:val="en-US" w:eastAsia="zh-CN" w:bidi="ar-SA"/>
        </w:rPr>
        <w:t>（三）财政绩效评价情况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jc w:val="both"/>
        <w:textAlignment w:val="auto"/>
        <w:rPr>
          <w:rFonts w:hint="default" w:ascii="Times New Roman" w:hAnsi="Times New Roman" w:eastAsia="方正仿宋_GBK" w:cs="Times New Roman"/>
          <w:b w:val="0"/>
          <w:bCs w:val="0"/>
          <w:sz w:val="32"/>
          <w:szCs w:val="32"/>
          <w:highlight w:val="none"/>
          <w:shd w:val="clear" w:color="auto" w:fill="FFFFFF"/>
        </w:rPr>
      </w:pPr>
      <w:r>
        <w:rPr>
          <w:rFonts w:hint="eastAsia" w:ascii="Times New Roman" w:hAnsi="Times New Roman" w:eastAsia="方正仿宋_GBK" w:cs="Times New Roman"/>
          <w:b w:val="0"/>
          <w:bCs w:val="0"/>
          <w:sz w:val="32"/>
          <w:szCs w:val="32"/>
          <w:highlight w:val="none"/>
          <w:shd w:val="clear" w:color="auto" w:fill="FFFFFF"/>
          <w:lang w:eastAsia="zh-CN"/>
        </w:rPr>
        <w:t>县</w:t>
      </w:r>
      <w:r>
        <w:rPr>
          <w:rFonts w:hint="default" w:ascii="Times New Roman" w:hAnsi="Times New Roman" w:eastAsia="方正仿宋_GBK" w:cs="Times New Roman"/>
          <w:b w:val="0"/>
          <w:bCs w:val="0"/>
          <w:sz w:val="32"/>
          <w:szCs w:val="32"/>
          <w:highlight w:val="none"/>
          <w:shd w:val="clear" w:color="auto" w:fill="FFFFFF"/>
        </w:rPr>
        <w:t>财政局未委托第三方对我部门开展绩效评价。</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eastAsia"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w:t>
      </w:r>
      <w:r>
        <w:rPr>
          <w:rFonts w:hint="default" w:ascii="方正仿宋_GBK" w:hAnsi="方正仿宋_GBK" w:eastAsia="方正仿宋_GBK" w:cs="方正仿宋_GBK"/>
          <w:b w:val="0"/>
          <w:bCs w:val="0"/>
          <w:sz w:val="32"/>
          <w:szCs w:val="32"/>
          <w:shd w:val="clear" w:color="auto" w:fill="FFFFFF"/>
        </w:rPr>
        <w:t>“财政拨款收入</w:t>
      </w:r>
      <w:r>
        <w:rPr>
          <w:rFonts w:hint="eastAsia"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sz w:val="32"/>
          <w:szCs w:val="32"/>
          <w:shd w:val="clear" w:color="auto" w:fill="FFFFFF"/>
        </w:rPr>
        <w:t>、</w:t>
      </w:r>
      <w:r>
        <w:rPr>
          <w:rFonts w:hint="default"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sz w:val="32"/>
          <w:szCs w:val="32"/>
          <w:shd w:val="clear" w:color="auto" w:fill="FFFFFF"/>
        </w:rPr>
        <w:t>事业收入</w:t>
      </w:r>
      <w:r>
        <w:rPr>
          <w:rFonts w:hint="default"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eastAsia"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w:t>
      </w:r>
      <w:r>
        <w:rPr>
          <w:rFonts w:hint="default" w:ascii="方正仿宋_GBK" w:hAnsi="方正仿宋_GBK" w:eastAsia="方正仿宋_GBK" w:cs="方正仿宋_GBK"/>
          <w:b w:val="0"/>
          <w:bCs w:val="0"/>
          <w:sz w:val="32"/>
          <w:szCs w:val="32"/>
          <w:shd w:val="clear" w:color="auto" w:fill="FFFFFF"/>
        </w:rPr>
        <w:t>“财政拨款收入”、“事业收入”、“经营收入”、“其他收入”等</w:t>
      </w:r>
      <w:r>
        <w:rPr>
          <w:rFonts w:hint="default" w:ascii="Times New Roman" w:hAnsi="Times New Roman" w:eastAsia="方正仿宋_GBK" w:cs="Times New Roman"/>
          <w:sz w:val="32"/>
          <w:szCs w:val="32"/>
          <w:shd w:val="clear" w:color="auto" w:fill="FFFFFF"/>
        </w:rPr>
        <w:t>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eastAsia"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default" w:ascii="方正仿宋_GBK" w:hAnsi="方正仿宋_GBK" w:eastAsia="方正仿宋_GBK" w:cs="方正仿宋_GBK"/>
          <w:b w:val="0"/>
          <w:bCs w:val="0"/>
          <w:sz w:val="32"/>
          <w:szCs w:val="32"/>
          <w:shd w:val="clear" w:color="auto" w:fill="FFFFFF"/>
        </w:rPr>
        <w:t>“工资福利支出”和“对个人和家庭的补助”</w:t>
      </w:r>
      <w:r>
        <w:rPr>
          <w:rFonts w:hint="default" w:ascii="Times New Roman" w:hAnsi="Times New Roman" w:eastAsia="方正仿宋_GBK" w:cs="Times New Roman"/>
          <w:sz w:val="32"/>
          <w:szCs w:val="32"/>
          <w:shd w:val="clear" w:color="auto" w:fill="FFFFFF"/>
        </w:rPr>
        <w:t>；公用经费指政府收支分类经济科目中除</w:t>
      </w:r>
      <w:r>
        <w:rPr>
          <w:rFonts w:hint="default" w:ascii="方正仿宋_GBK" w:hAnsi="方正仿宋_GBK" w:eastAsia="方正仿宋_GBK" w:cs="方正仿宋_GBK"/>
          <w:b w:val="0"/>
          <w:bCs w:val="0"/>
          <w:sz w:val="32"/>
          <w:szCs w:val="32"/>
          <w:shd w:val="clear" w:color="auto" w:fill="FFFFFF"/>
        </w:rPr>
        <w:t>“工资福利支出”和“对个人和家庭的补助”外的</w:t>
      </w:r>
      <w:r>
        <w:rPr>
          <w:rFonts w:hint="default" w:ascii="Times New Roman" w:hAnsi="Times New Roman" w:eastAsia="方正仿宋_GBK" w:cs="Times New Roman"/>
          <w:sz w:val="32"/>
          <w:szCs w:val="32"/>
          <w:shd w:val="clear" w:color="auto" w:fill="FFFFFF"/>
        </w:rPr>
        <w:t>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（十四）工资福利支出（支出经济分类科目类级）</w:t>
      </w:r>
      <w:r>
        <w:rPr>
          <w:rStyle w:val="9"/>
          <w:rFonts w:hint="default" w:ascii="方正仿宋_GBK" w:hAnsi="方正仿宋_GBK" w:eastAsia="方正仿宋_GBK" w:cs="方正仿宋_GBK"/>
          <w:b/>
          <w:bCs w:val="0"/>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七、决算公开联系方式及信息反馈渠道</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Style w:val="9"/>
          <w:rFonts w:hint="default" w:ascii="Times New Roman" w:hAnsi="Times New Roman" w:eastAsia="方正仿宋_GBK" w:cs="Times New Roman"/>
          <w:sz w:val="32"/>
          <w:szCs w:val="32"/>
          <w:shd w:val="clear" w:color="auto" w:fill="FFFF00"/>
          <w:lang w:val="en-US" w:eastAsia="zh-CN"/>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lang w:eastAsia="zh-CN"/>
        </w:rPr>
        <w:t>杨光昱</w:t>
      </w:r>
      <w:r>
        <w:rPr>
          <w:rFonts w:hint="default" w:ascii="Times New Roman" w:hAnsi="Times New Roman" w:eastAsia="方正仿宋_GBK" w:cs="Times New Roman"/>
          <w:sz w:val="32"/>
          <w:szCs w:val="32"/>
          <w:shd w:val="clear" w:color="auto" w:fill="FFFFFF"/>
          <w:lang w:val="en-US" w:eastAsia="zh-CN"/>
        </w:rPr>
        <w:t>13594921778</w:t>
      </w:r>
    </w:p>
    <w:p>
      <w:pPr>
        <w:pStyle w:val="12"/>
        <w:autoSpaceDE w:val="0"/>
        <w:ind w:firstLine="0" w:firstLineChars="0"/>
        <w:rPr>
          <w:rStyle w:val="9"/>
          <w:rFonts w:hint="default" w:ascii="Times New Roman" w:hAnsi="Times New Roman" w:eastAsia="方正仿宋_GBK" w:cs="Times New Roman"/>
          <w:sz w:val="32"/>
          <w:szCs w:val="32"/>
          <w:shd w:val="clear" w:color="auto" w:fill="FFFF00"/>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10"/>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公开部门：重庆市秀山土家族苗族自治县妙泉镇人民政府</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2,151.14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54.76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56.92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1,050.03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2,163.48</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2,196.17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58.67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2,222.16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2,222.16</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公开部门：重庆市秀山土家族苗族自治县妙泉镇人民政府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2,163.48</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2,163.48</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42.26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42.26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人大代表履职能力提升</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473.33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473.33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471.33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471.33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53.93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53.93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52.03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52.03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109.94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109.94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59.56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59.56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74.48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74.48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93.90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93.90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1,022.38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1,022.38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557.09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557.09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182.86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182.86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65.85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65.85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重庆市秀山土家族苗族自治县妙泉镇人民政府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2,196.17</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973.72</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1,222.45</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555.47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539.83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42.26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人大代表履职能力提升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473.33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471.33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471.33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471.33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宣传事务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其他宣传事务支出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52.03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36.53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36.53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204.60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109.94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109.94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59.56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59.56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74.48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94.50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35.28</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1,050.03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986.41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109.47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601.64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601.64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253.71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253.71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187.55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187.55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186.66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186.66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65.85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2,151.14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555.47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555.47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54.76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54.76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204.60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204.60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74.48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74.48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56.92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1,050.03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1,048.89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65.85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65.85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2,163.48</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2,196.17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2,183.82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12.34</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2,222.16</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2,222.16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2,209.81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12.34</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2,183.82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973.72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1,210.11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555.47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539.83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42.26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人大代表履职能力提升</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473.33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471.33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471.33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471.33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宣传事务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其他宣传事务支出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54.76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52.03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36.53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36.53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36.53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204.60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178.34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109.94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109.94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59.56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59.56</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74.48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23.18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23.18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12.85</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94.50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1,048.89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63.62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985.27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173.09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63.62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109.47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601.64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601.64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253.71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253.71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187.55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187.55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186.66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186.66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65.85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63.64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63.64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63.64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789.89</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139.03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182.21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131.53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153.44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101.15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59.56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63.64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44.80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834.69</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139.03</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重庆市秀山土家族苗族自治县妙泉镇人民政府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12.34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12.34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12.34</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115.87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25AD1"/>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823613"/>
    <w:rsid w:val="01F3521E"/>
    <w:rsid w:val="02675EF6"/>
    <w:rsid w:val="03B87EA0"/>
    <w:rsid w:val="03D43688"/>
    <w:rsid w:val="03E3214F"/>
    <w:rsid w:val="041F2B98"/>
    <w:rsid w:val="044C50BA"/>
    <w:rsid w:val="04912CD8"/>
    <w:rsid w:val="05BC6D49"/>
    <w:rsid w:val="06194FF1"/>
    <w:rsid w:val="06A2550B"/>
    <w:rsid w:val="06F80EE2"/>
    <w:rsid w:val="07001CCA"/>
    <w:rsid w:val="075678DB"/>
    <w:rsid w:val="076C1A06"/>
    <w:rsid w:val="079D7CC7"/>
    <w:rsid w:val="08051BCA"/>
    <w:rsid w:val="086C12F4"/>
    <w:rsid w:val="08BA052C"/>
    <w:rsid w:val="08DB07BA"/>
    <w:rsid w:val="0969353F"/>
    <w:rsid w:val="098305D0"/>
    <w:rsid w:val="098A0877"/>
    <w:rsid w:val="0A5C4B69"/>
    <w:rsid w:val="0A701879"/>
    <w:rsid w:val="0A86124A"/>
    <w:rsid w:val="0AB54CC0"/>
    <w:rsid w:val="0B9335CE"/>
    <w:rsid w:val="0C7927C4"/>
    <w:rsid w:val="0C9B098C"/>
    <w:rsid w:val="0D673E11"/>
    <w:rsid w:val="0DDA54E4"/>
    <w:rsid w:val="0E3A5F83"/>
    <w:rsid w:val="0E74421A"/>
    <w:rsid w:val="0EA040BF"/>
    <w:rsid w:val="0F6C73A2"/>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B3EE7"/>
    <w:rsid w:val="13FD55AB"/>
    <w:rsid w:val="14200702"/>
    <w:rsid w:val="163A6CEE"/>
    <w:rsid w:val="168B0A20"/>
    <w:rsid w:val="173708E3"/>
    <w:rsid w:val="17C374FC"/>
    <w:rsid w:val="189079DC"/>
    <w:rsid w:val="189B0D0B"/>
    <w:rsid w:val="18B43F7C"/>
    <w:rsid w:val="1948732C"/>
    <w:rsid w:val="194A1770"/>
    <w:rsid w:val="198A4E35"/>
    <w:rsid w:val="19B906A4"/>
    <w:rsid w:val="1B6F15B6"/>
    <w:rsid w:val="1BA714A4"/>
    <w:rsid w:val="1BAA2EDC"/>
    <w:rsid w:val="1BB84537"/>
    <w:rsid w:val="1C5C0973"/>
    <w:rsid w:val="1CA55E64"/>
    <w:rsid w:val="1CF76477"/>
    <w:rsid w:val="1D014A01"/>
    <w:rsid w:val="1D022362"/>
    <w:rsid w:val="1D1B04B0"/>
    <w:rsid w:val="1D446AC8"/>
    <w:rsid w:val="1DBD6767"/>
    <w:rsid w:val="1DC52125"/>
    <w:rsid w:val="1DD26311"/>
    <w:rsid w:val="1E374ACB"/>
    <w:rsid w:val="1E5E27E3"/>
    <w:rsid w:val="1ECF0A66"/>
    <w:rsid w:val="1EF67CA4"/>
    <w:rsid w:val="1F020D3A"/>
    <w:rsid w:val="1F2C5189"/>
    <w:rsid w:val="1F4B0B02"/>
    <w:rsid w:val="1FBB35CD"/>
    <w:rsid w:val="1FCD26AF"/>
    <w:rsid w:val="20642787"/>
    <w:rsid w:val="21556F04"/>
    <w:rsid w:val="21632B0E"/>
    <w:rsid w:val="220E7B78"/>
    <w:rsid w:val="22403BD3"/>
    <w:rsid w:val="22D61221"/>
    <w:rsid w:val="22E725C9"/>
    <w:rsid w:val="23DA37D9"/>
    <w:rsid w:val="247E723E"/>
    <w:rsid w:val="24B92327"/>
    <w:rsid w:val="24C14514"/>
    <w:rsid w:val="2533755C"/>
    <w:rsid w:val="253B6AE9"/>
    <w:rsid w:val="256E4219"/>
    <w:rsid w:val="25791755"/>
    <w:rsid w:val="26396DF4"/>
    <w:rsid w:val="27167136"/>
    <w:rsid w:val="27B23302"/>
    <w:rsid w:val="29310A5F"/>
    <w:rsid w:val="29C37A35"/>
    <w:rsid w:val="2A076083"/>
    <w:rsid w:val="2A5E4553"/>
    <w:rsid w:val="2A73162E"/>
    <w:rsid w:val="2B167953"/>
    <w:rsid w:val="2B200583"/>
    <w:rsid w:val="2B8209DE"/>
    <w:rsid w:val="2C6762A3"/>
    <w:rsid w:val="2CB03351"/>
    <w:rsid w:val="2EBD54D9"/>
    <w:rsid w:val="2EBF7B3E"/>
    <w:rsid w:val="2EDE1934"/>
    <w:rsid w:val="2F01134A"/>
    <w:rsid w:val="2F9F2B0C"/>
    <w:rsid w:val="2FCA4B37"/>
    <w:rsid w:val="2FE029D7"/>
    <w:rsid w:val="2FF06E00"/>
    <w:rsid w:val="30562E26"/>
    <w:rsid w:val="30586FEC"/>
    <w:rsid w:val="30EC7046"/>
    <w:rsid w:val="31336F92"/>
    <w:rsid w:val="315F0B22"/>
    <w:rsid w:val="319D022C"/>
    <w:rsid w:val="31C90022"/>
    <w:rsid w:val="31D84415"/>
    <w:rsid w:val="32285F6F"/>
    <w:rsid w:val="32770556"/>
    <w:rsid w:val="32850921"/>
    <w:rsid w:val="329C0913"/>
    <w:rsid w:val="32AA0460"/>
    <w:rsid w:val="3337290D"/>
    <w:rsid w:val="33E31118"/>
    <w:rsid w:val="33EF7674"/>
    <w:rsid w:val="342D7BC6"/>
    <w:rsid w:val="352930DB"/>
    <w:rsid w:val="35573069"/>
    <w:rsid w:val="355F6038"/>
    <w:rsid w:val="358C217E"/>
    <w:rsid w:val="35937598"/>
    <w:rsid w:val="36160C5A"/>
    <w:rsid w:val="363D1F9E"/>
    <w:rsid w:val="368F49CF"/>
    <w:rsid w:val="36C9128A"/>
    <w:rsid w:val="372E3953"/>
    <w:rsid w:val="37337A48"/>
    <w:rsid w:val="37841E99"/>
    <w:rsid w:val="37BF1123"/>
    <w:rsid w:val="383C3F15"/>
    <w:rsid w:val="38BE4696"/>
    <w:rsid w:val="391040D2"/>
    <w:rsid w:val="3939115E"/>
    <w:rsid w:val="39B82A39"/>
    <w:rsid w:val="39BD6741"/>
    <w:rsid w:val="39C42CA8"/>
    <w:rsid w:val="39DC4FD6"/>
    <w:rsid w:val="39F03D7A"/>
    <w:rsid w:val="39F33306"/>
    <w:rsid w:val="3A2C1C67"/>
    <w:rsid w:val="3B1705E5"/>
    <w:rsid w:val="3B18334B"/>
    <w:rsid w:val="3B36794F"/>
    <w:rsid w:val="3C3A5C0F"/>
    <w:rsid w:val="3C566AD6"/>
    <w:rsid w:val="3C6A5B02"/>
    <w:rsid w:val="3D2757A1"/>
    <w:rsid w:val="3D3D4FC4"/>
    <w:rsid w:val="3DDF3AB1"/>
    <w:rsid w:val="3DF6606E"/>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DF49C1"/>
    <w:rsid w:val="42E86A87"/>
    <w:rsid w:val="43307B09"/>
    <w:rsid w:val="438D0E97"/>
    <w:rsid w:val="43BB152F"/>
    <w:rsid w:val="44121080"/>
    <w:rsid w:val="44C37687"/>
    <w:rsid w:val="45CB699A"/>
    <w:rsid w:val="465B470D"/>
    <w:rsid w:val="469D6AD4"/>
    <w:rsid w:val="46FE5673"/>
    <w:rsid w:val="471E6C84"/>
    <w:rsid w:val="4748792B"/>
    <w:rsid w:val="475D719D"/>
    <w:rsid w:val="47674801"/>
    <w:rsid w:val="48225EF7"/>
    <w:rsid w:val="488F422B"/>
    <w:rsid w:val="48E36915"/>
    <w:rsid w:val="49476BD8"/>
    <w:rsid w:val="495C4A24"/>
    <w:rsid w:val="497135DF"/>
    <w:rsid w:val="4A263DF2"/>
    <w:rsid w:val="4A42272C"/>
    <w:rsid w:val="4A6F6675"/>
    <w:rsid w:val="4A8732D1"/>
    <w:rsid w:val="4B135857"/>
    <w:rsid w:val="4B7951CB"/>
    <w:rsid w:val="4B7C315C"/>
    <w:rsid w:val="4CDF5170"/>
    <w:rsid w:val="4CF54C61"/>
    <w:rsid w:val="4DAC4ACA"/>
    <w:rsid w:val="4DBE01D2"/>
    <w:rsid w:val="4EFC6D10"/>
    <w:rsid w:val="4EFD540C"/>
    <w:rsid w:val="4F0C6BA3"/>
    <w:rsid w:val="4F10477D"/>
    <w:rsid w:val="4F186D58"/>
    <w:rsid w:val="4F3D1947"/>
    <w:rsid w:val="4FEA65B7"/>
    <w:rsid w:val="50F06B6E"/>
    <w:rsid w:val="519D4BFE"/>
    <w:rsid w:val="52234D33"/>
    <w:rsid w:val="522F6E0C"/>
    <w:rsid w:val="52463BA1"/>
    <w:rsid w:val="52F163D4"/>
    <w:rsid w:val="531A2DB4"/>
    <w:rsid w:val="533E5305"/>
    <w:rsid w:val="53BB0B90"/>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CB3D02"/>
    <w:rsid w:val="5CF66BF3"/>
    <w:rsid w:val="5D290C69"/>
    <w:rsid w:val="5DFE6F82"/>
    <w:rsid w:val="5F2D4A41"/>
    <w:rsid w:val="603241C3"/>
    <w:rsid w:val="60C74F6C"/>
    <w:rsid w:val="61025A59"/>
    <w:rsid w:val="611B2728"/>
    <w:rsid w:val="613D5BBC"/>
    <w:rsid w:val="61536C39"/>
    <w:rsid w:val="62944DD7"/>
    <w:rsid w:val="6319381F"/>
    <w:rsid w:val="63236436"/>
    <w:rsid w:val="63C25DC5"/>
    <w:rsid w:val="63C62057"/>
    <w:rsid w:val="641E3260"/>
    <w:rsid w:val="64571EF5"/>
    <w:rsid w:val="64FB113D"/>
    <w:rsid w:val="656152C6"/>
    <w:rsid w:val="6587477F"/>
    <w:rsid w:val="658C3A08"/>
    <w:rsid w:val="65C031CA"/>
    <w:rsid w:val="65CE6852"/>
    <w:rsid w:val="66267C04"/>
    <w:rsid w:val="663F505A"/>
    <w:rsid w:val="66760DCE"/>
    <w:rsid w:val="66867994"/>
    <w:rsid w:val="66967186"/>
    <w:rsid w:val="66EE5541"/>
    <w:rsid w:val="678A2C2E"/>
    <w:rsid w:val="67924660"/>
    <w:rsid w:val="67AF05C7"/>
    <w:rsid w:val="68407834"/>
    <w:rsid w:val="6883293E"/>
    <w:rsid w:val="688412AD"/>
    <w:rsid w:val="68EB1B71"/>
    <w:rsid w:val="69475C96"/>
    <w:rsid w:val="69731485"/>
    <w:rsid w:val="6A2D7071"/>
    <w:rsid w:val="6AAD2300"/>
    <w:rsid w:val="6B474EF5"/>
    <w:rsid w:val="6BBF53FD"/>
    <w:rsid w:val="6C32095C"/>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E8535E"/>
    <w:rsid w:val="72F771F4"/>
    <w:rsid w:val="730F62B0"/>
    <w:rsid w:val="736650B0"/>
    <w:rsid w:val="73934AD2"/>
    <w:rsid w:val="750837F0"/>
    <w:rsid w:val="754758CF"/>
    <w:rsid w:val="764F62AB"/>
    <w:rsid w:val="765C45EC"/>
    <w:rsid w:val="768A7619"/>
    <w:rsid w:val="76AF4B3C"/>
    <w:rsid w:val="772E1EBA"/>
    <w:rsid w:val="77EB79F7"/>
    <w:rsid w:val="79107FF7"/>
    <w:rsid w:val="796D60A4"/>
    <w:rsid w:val="79A031D5"/>
    <w:rsid w:val="7A1525F7"/>
    <w:rsid w:val="7B420052"/>
    <w:rsid w:val="7B861484"/>
    <w:rsid w:val="7BC15AB2"/>
    <w:rsid w:val="7BD06A28"/>
    <w:rsid w:val="7C3A7C0B"/>
    <w:rsid w:val="7C5248E4"/>
    <w:rsid w:val="7C566698"/>
    <w:rsid w:val="7C5866A3"/>
    <w:rsid w:val="7D7406BB"/>
    <w:rsid w:val="7DA5134D"/>
    <w:rsid w:val="7DE94331"/>
    <w:rsid w:val="7E657A2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299</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2024-10-12T13:19:34Z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