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0"/>
          <w:sz w:val="44"/>
          <w:szCs w:val="44"/>
          <w:lang w:eastAsia="zh-CN"/>
        </w:rPr>
      </w:pPr>
      <w:r>
        <w:rPr>
          <w:rFonts w:hint="eastAsia" w:ascii="Times New Roman" w:hAnsi="Times New Roman" w:eastAsia="方正小标宋_GBK" w:cs="Times New Roman"/>
          <w:w w:val="80"/>
          <w:sz w:val="44"/>
          <w:szCs w:val="44"/>
          <w:lang w:eastAsia="zh-CN"/>
        </w:rPr>
        <w:t>重庆市</w:t>
      </w:r>
      <w:r>
        <w:rPr>
          <w:rFonts w:hint="default" w:ascii="Times New Roman" w:hAnsi="Times New Roman" w:eastAsia="方正小标宋_GBK" w:cs="Times New Roman"/>
          <w:w w:val="80"/>
          <w:sz w:val="44"/>
          <w:szCs w:val="44"/>
          <w:lang w:eastAsia="zh-CN"/>
        </w:rPr>
        <w:t>秀山土家族苗族自治县中平乡综合行政执法大队2023年度决算公开说明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0"/>
          <w:sz w:val="44"/>
          <w:szCs w:val="44"/>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一、单位基本情况</w:t>
      </w:r>
      <w:bookmarkStart w:id="0" w:name="_GoBack"/>
      <w:bookmarkEnd w:id="0"/>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 w:hAnsi="方正楷体" w:eastAsia="方正楷体" w:cs="方正楷体"/>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caps w:val="0"/>
          <w:color w:val="333333"/>
          <w:spacing w:val="0"/>
          <w:sz w:val="32"/>
          <w:szCs w:val="32"/>
          <w:shd w:val="clear" w:fill="FFFFFF"/>
          <w:lang w:val="en-US" w:eastAsia="zh-CN"/>
        </w:rPr>
      </w:pPr>
      <w:r>
        <w:rPr>
          <w:rFonts w:hint="eastAsia" w:ascii="方正楷体_GBK" w:hAnsi="方正楷体_GBK" w:eastAsia="方正楷体_GBK" w:cs="方正楷体_GBK"/>
          <w:i w:val="0"/>
          <w:caps w:val="0"/>
          <w:color w:val="333333"/>
          <w:spacing w:val="0"/>
          <w:sz w:val="32"/>
          <w:szCs w:val="32"/>
          <w:shd w:val="clear"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1.综合行政执法办公室。集中行使依法授权或委托乡镇政府承担的各项行政执法权；协调、配合县级有关单位及派驻机构开展其他领域的联合执法。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2.综合行政执法大队。主要职责：集中行使乡镇依法承担和单位授权或委托的各项行政执法权，制止、打击各类行政违法行为，协助、配合县级有关单位及其派驻机构开展联合执法。</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32.58万元，支出总计32.58万元。收支较上年决算数增加32.58万元，增长100.00%，主要原因是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2.收入情况。2023年度收入合计32.58万元，较上年决算数增加32.58万元，增长100.00%，主要原因是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。其中：财政拨款收入32.58万元，占100.00%；事业收入0.00万元，占0.00%；经营收入0.00万元，占0.00%；其他收入0.00万元，占0.00%。此外，使用非财政拨款结余和专用结余0.00万元，年初结转和结余0.00万元。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3.支出情况。2023年度支出合计32.58万元，较上年决算数增加32.58万元，增长100.00%，主要原因是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其中：基本支出32.58万元，占100.00%；项目支出0.00万元，占0.00%；经营支出0.00万元，占0.00%。此外，结余分配0.00万元。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本年度无结转结余。</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2023年度财政拨款收、支总计32.58万元。与2022年相比，财政拨款收、支总计各增加32.58万元，增长100.00%。主要原因是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1.收入情况。2023年度一般公共预算财政拨款收入32.58万元，较上年决算数增加32.58万元，增长100.00%。主要原因是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较年初预算数减少7.03万元，下降17.75%。主要原因是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2.支出情况。2023年度一般公共预算财政拨款支出32.58万元，较上年决算数增加32.58万元，增长100.00%。主要原因是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较年初预算数减少7.76万元，下降19.24%。主要原因是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本年度无结转结余资金</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）社会保障与就业支出4.30万元，占13.19%，较年初预算数减少0.82万元，下降16.02%，主要原因是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）卫生健康支出1.53万元，占4.69%，较年初预算数无增减，主要原因是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）城乡社区支出24.80万元，占76.12%，较年初预算数减少5.93万元，下降19.30%，主要原因是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）住房保障支出1.95万元，占6.00%，较年初预算数减少1.01万元，下降34.12%，主要原因是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2023年度一般公共财政拨款基本支出32.58万元。其中：人员经费28.75万元，较上年决算数增加28.75万元，增长100.00%，主要原因是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工资福利支出</w:t>
      </w:r>
      <w:r>
        <w:rPr>
          <w:rFonts w:hint="default" w:ascii="Times New Roman" w:hAnsi="Times New Roman" w:eastAsia="方正仿宋_GBK" w:cs="Times New Roman"/>
          <w:i w:val="0"/>
          <w:caps w:val="0"/>
          <w:color w:val="333333"/>
          <w:spacing w:val="0"/>
          <w:sz w:val="32"/>
          <w:szCs w:val="32"/>
          <w:shd w:val="clear" w:fill="FFFFFF"/>
          <w:lang w:val="en-US" w:eastAsia="zh-CN"/>
        </w:rPr>
        <w:t>。公用经费3.83万元，较上年决算数增加3.83万元，增长100.00%，主要原因是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办公费、水电费、通信费等</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本单位为二级单位，未列支会议费</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。本年度培训费支出0.62万元，较上年决算数增加0.62万元，增长100.00%，主要原因是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2023年度本单位机关运行经费支出0.00万元。按照部门决算列报口径，我单位不在机关运行经费统计范围之内。</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eastAsia"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我单位无项目支出，未开展绩效评价。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重庆市秀山土家族苗族自治县中平乡综合行政执法大队</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32.58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重庆市秀山土家族苗族自治县中平乡综合行政执法大队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32.58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28.75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重庆市秀山土家族苗族自治县中平乡综合行政执法大队</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5E4071D"/>
    <w:rsid w:val="06194FF1"/>
    <w:rsid w:val="06A2550B"/>
    <w:rsid w:val="06F80EE2"/>
    <w:rsid w:val="07001CCA"/>
    <w:rsid w:val="075678DB"/>
    <w:rsid w:val="079D7CC7"/>
    <w:rsid w:val="07CB7EEE"/>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9F1E5F"/>
    <w:rsid w:val="19B906A4"/>
    <w:rsid w:val="1B465CC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B7069B"/>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C32D1F"/>
    <w:rsid w:val="3337290D"/>
    <w:rsid w:val="33E31118"/>
    <w:rsid w:val="33EF7674"/>
    <w:rsid w:val="342D7BC6"/>
    <w:rsid w:val="352930DB"/>
    <w:rsid w:val="35573069"/>
    <w:rsid w:val="355F6038"/>
    <w:rsid w:val="358C217E"/>
    <w:rsid w:val="36151392"/>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C00BA5"/>
    <w:rsid w:val="4DAC4ACA"/>
    <w:rsid w:val="4DBE01D2"/>
    <w:rsid w:val="4F0C6BA3"/>
    <w:rsid w:val="4F186D58"/>
    <w:rsid w:val="4FD55567"/>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2D21190"/>
    <w:rsid w:val="6319381F"/>
    <w:rsid w:val="63C25DC5"/>
    <w:rsid w:val="63C62057"/>
    <w:rsid w:val="64571EF5"/>
    <w:rsid w:val="64FB113D"/>
    <w:rsid w:val="656152C6"/>
    <w:rsid w:val="6587477F"/>
    <w:rsid w:val="658C3A08"/>
    <w:rsid w:val="65C031CA"/>
    <w:rsid w:val="65CE6852"/>
    <w:rsid w:val="65EC68B5"/>
    <w:rsid w:val="66267C04"/>
    <w:rsid w:val="663F505A"/>
    <w:rsid w:val="66EE5541"/>
    <w:rsid w:val="67924660"/>
    <w:rsid w:val="68407834"/>
    <w:rsid w:val="6883293E"/>
    <w:rsid w:val="688412AD"/>
    <w:rsid w:val="68EB1B71"/>
    <w:rsid w:val="6A6C7940"/>
    <w:rsid w:val="6AAD2300"/>
    <w:rsid w:val="6B474EF5"/>
    <w:rsid w:val="6C0A5AC5"/>
    <w:rsid w:val="6C445160"/>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FF2B31"/>
    <w:rsid w:val="764F62AB"/>
    <w:rsid w:val="765C45EC"/>
    <w:rsid w:val="768A7619"/>
    <w:rsid w:val="772E1EBA"/>
    <w:rsid w:val="781926BC"/>
    <w:rsid w:val="796D60A4"/>
    <w:rsid w:val="79A031D5"/>
    <w:rsid w:val="7A1525F7"/>
    <w:rsid w:val="7B420052"/>
    <w:rsid w:val="7BD06A28"/>
    <w:rsid w:val="7C3A7C0B"/>
    <w:rsid w:val="7C5248E4"/>
    <w:rsid w:val="7C566698"/>
    <w:rsid w:val="7C5866A3"/>
    <w:rsid w:val="7C70056A"/>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2024-10-08T11:07:15Z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