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重庆市秀山土家族苗族自治县</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中平乡劳动就业和社会保障服务所</w:t>
      </w:r>
    </w:p>
    <w:p>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outlineLvl w:val="9"/>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rPr>
      </w:pPr>
      <w:r>
        <w:rPr>
          <w:rStyle w:val="8"/>
          <w:rFonts w:hint="eastAsia" w:ascii="方正黑体_GBK" w:hAnsi="方正黑体_GBK" w:eastAsia="方正黑体_GBK" w:cs="方正黑体_GBK"/>
          <w:b w:val="0"/>
          <w:bCs/>
          <w:sz w:val="32"/>
          <w:szCs w:val="32"/>
          <w:shd w:val="clear" w:color="auto" w:fill="FFFFFF"/>
        </w:rPr>
        <w:t>一、单位基本情况</w:t>
      </w:r>
      <w:bookmarkStart w:id="0" w:name="_GoBack"/>
      <w:bookmarkEnd w:id="0"/>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Fonts w:hint="eastAsia" w:ascii="方正楷体_GBK" w:hAnsi="方正楷体_GBK" w:eastAsia="方正楷体_GBK" w:cs="方正楷体_GBK"/>
          <w:b w:val="0"/>
          <w:bCs/>
          <w:sz w:val="32"/>
          <w:szCs w:val="32"/>
        </w:rPr>
      </w:pPr>
      <w:r>
        <w:rPr>
          <w:rStyle w:val="8"/>
          <w:rFonts w:hint="eastAsia" w:ascii="方正楷体_GBK" w:hAnsi="方正楷体_GBK" w:eastAsia="方正楷体_GBK" w:cs="方正楷体_GBK"/>
          <w:b w:val="0"/>
          <w:bCs/>
          <w:sz w:val="32"/>
          <w:szCs w:val="32"/>
          <w:shd w:val="clear" w:color="auto" w:fill="FFFFFF"/>
        </w:rPr>
        <w:t>（一）职能职责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方正仿宋_GBK" w:hAnsi="方正仿宋_GBK" w:eastAsia="方正仿宋_GBK" w:cs="方正仿宋_GBK"/>
          <w:i w:val="0"/>
          <w:caps w:val="0"/>
          <w:color w:val="333333"/>
          <w:spacing w:val="0"/>
          <w:sz w:val="32"/>
          <w:szCs w:val="32"/>
          <w:shd w:val="clear" w:fill="FFFFFF"/>
          <w:lang w:val="en-US" w:eastAsia="zh-CN"/>
        </w:rPr>
      </w:pPr>
      <w:r>
        <w:rPr>
          <w:rFonts w:hint="eastAsia" w:ascii="方正仿宋_GBK" w:hAnsi="方正仿宋_GBK" w:eastAsia="方正仿宋_GBK" w:cs="方正仿宋_GBK"/>
          <w:i w:val="0"/>
          <w:caps w:val="0"/>
          <w:color w:val="333333"/>
          <w:spacing w:val="0"/>
          <w:sz w:val="32"/>
          <w:szCs w:val="32"/>
          <w:shd w:val="clear" w:fill="FFFFFF"/>
          <w:lang w:val="en-US" w:eastAsia="zh-CN"/>
        </w:rPr>
        <w:t>劳动就业和社会保障服务所。主要职责：承担就业、再就业、农村富余劳动力转移，劳动和社会保障、城镇居民最低生活保障、社保救济、医疗保障服务等社会保障相关具体工作。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default"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总体情况。2023年度收入总计58.86万元，支出总计58.86万元。收支较上年决算数增加58.86万元，增长100.00%，主要原因是2022年度本单位与部门合并编报决算，按照市财政局要求，2023年度独立编报决算，故与上年对比增长100.00%。</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2.收入情况。2023年度收入合计58.86万元，较上年决算数增加58.86万元，增长100.00%，主要原因是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其中：财政拨款收入58.86万元，占100.00%；事业收入0.00万元，占0.00%；经营收入0.00万元，占0.00%；其他收入0.00万元，占0.00%。此外，使用非财政拨款结余和专用结余0.00万元，年初结转和结余0.00万元。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3.支出情况。2023年度支出合计58.86万元，较上年决算数增加58.86万元，增长100.00%，主要原因是是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其中：基本支出38.15万元，占64.83%；项目支出20.70万元，占35.17%；经营支出0.00万元，占0.00%。此外，结余分配0.00万元。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4.结转结余情况。2023年度年末结转和结余0.00万元，较上年决算数无增减，主要原因是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2022年度本单位与部门合并编报决算，按照市财政局要求，2023年度独立编报决算，故与上年对比无增减。</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2023年度财政拨款收、支总计58.86万元。与2022年相比，财政拨款收、支总计各增加58.86万元，增长100.00%。主要原因是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1.收入情况。2023年度一般公共预算财政拨款收入58.86万元，较上年决算数增加58.86万元，增长100.00%。主要原因是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。较年初预算数增加15.00万元，增长34.20%。主要原因是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人员增减变化，年中增加预算。</w:t>
      </w:r>
      <w:r>
        <w:rPr>
          <w:rFonts w:hint="default" w:ascii="Times New Roman" w:hAnsi="Times New Roman" w:eastAsia="方正仿宋_GBK" w:cs="Times New Roman"/>
          <w:i w:val="0"/>
          <w:caps w:val="0"/>
          <w:color w:val="333333"/>
          <w:spacing w:val="0"/>
          <w:sz w:val="32"/>
          <w:szCs w:val="32"/>
          <w:shd w:val="clear" w:fill="FFFFFF"/>
          <w:lang w:val="en-US" w:eastAsia="zh-CN"/>
        </w:rPr>
        <w:t>此外，年初财政拨款结转和结余0.00万元。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2.支出情况。2023年度一般公共预算财政拨款支出58.86万元，较上年决算数增加58.86万元，增长100.00%。主要原因是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较年初预算数增加12.58万元，增长27.18%。主要原因是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人员增减变化，年中增加预算。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3.结转结余情况。2023年度年末一般公共预算财政拨款结转和结余0.00万元，较上年决算数无增减，主要原因是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2022年度本单位与部门合并编报决算，按照市财政局要求，2023年度独立编报决算，故与上年对比无增减。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4.比较情况。本单位2023年度一般公共预算财政拨款支出主要用于以下几个方面：</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1</w:t>
      </w:r>
      <w:r>
        <w:rPr>
          <w:rFonts w:hint="default" w:ascii="Times New Roman" w:hAnsi="Times New Roman" w:eastAsia="方正仿宋_GBK" w:cs="Times New Roman"/>
          <w:i w:val="0"/>
          <w:caps w:val="0"/>
          <w:color w:val="333333"/>
          <w:spacing w:val="0"/>
          <w:sz w:val="32"/>
          <w:szCs w:val="32"/>
          <w:shd w:val="clear" w:fill="FFFFFF"/>
          <w:lang w:val="en-US" w:eastAsia="zh-CN"/>
        </w:rPr>
        <w:t>）社会保障与就业支出49.60万元，占84.27%，较年初预算数增加8.45万元，增长20.53%，主要原因是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2</w:t>
      </w:r>
      <w:r>
        <w:rPr>
          <w:rFonts w:hint="default" w:ascii="Times New Roman" w:hAnsi="Times New Roman" w:eastAsia="方正仿宋_GBK" w:cs="Times New Roman"/>
          <w:i w:val="0"/>
          <w:caps w:val="0"/>
          <w:color w:val="333333"/>
          <w:spacing w:val="0"/>
          <w:sz w:val="32"/>
          <w:szCs w:val="32"/>
          <w:shd w:val="clear" w:fill="FFFFFF"/>
          <w:lang w:val="en-US" w:eastAsia="zh-CN"/>
        </w:rPr>
        <w:t>）卫生健康支出6.97万元，占11.85%，较年初预算数增加5.19万元，增长291.57%，主要原因是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w:t>
      </w:r>
      <w:r>
        <w:rPr>
          <w:rFonts w:hint="eastAsia" w:ascii="Times New Roman" w:hAnsi="Times New Roman" w:eastAsia="方正仿宋_GBK" w:cs="Times New Roman"/>
          <w:i w:val="0"/>
          <w:caps w:val="0"/>
          <w:color w:val="333333"/>
          <w:spacing w:val="0"/>
          <w:sz w:val="32"/>
          <w:szCs w:val="32"/>
          <w:shd w:val="clear" w:fill="FFFFFF"/>
          <w:lang w:val="en-US" w:eastAsia="zh-CN"/>
        </w:rPr>
        <w:t>3</w:t>
      </w:r>
      <w:r>
        <w:rPr>
          <w:rFonts w:hint="default" w:ascii="Times New Roman" w:hAnsi="Times New Roman" w:eastAsia="方正仿宋_GBK" w:cs="Times New Roman"/>
          <w:i w:val="0"/>
          <w:caps w:val="0"/>
          <w:color w:val="333333"/>
          <w:spacing w:val="0"/>
          <w:sz w:val="32"/>
          <w:szCs w:val="32"/>
          <w:shd w:val="clear" w:fill="FFFFFF"/>
          <w:lang w:val="en-US" w:eastAsia="zh-CN"/>
        </w:rPr>
        <w:t>）住房保障支出2.28万元，占3.88%，较年初预算数减少1.07万元，下降31.94%，主要原因是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人员增减变化。</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2023年度一般公共财政拨款基本支出38.15万元。其中：人员经费34.51万元，较上年决算数增加34.51万元，增长100.00%，主要原因是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人员经费用途主要包括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工资福利支出等。</w:t>
      </w:r>
      <w:r>
        <w:rPr>
          <w:rFonts w:hint="default" w:ascii="Times New Roman" w:hAnsi="Times New Roman" w:eastAsia="方正仿宋_GBK" w:cs="Times New Roman"/>
          <w:i w:val="0"/>
          <w:caps w:val="0"/>
          <w:color w:val="333333"/>
          <w:spacing w:val="0"/>
          <w:sz w:val="32"/>
          <w:szCs w:val="32"/>
          <w:shd w:val="clear" w:fill="FFFFFF"/>
          <w:lang w:val="en-US" w:eastAsia="zh-CN"/>
        </w:rPr>
        <w:t>公用经费3.64万元，较上年决算数增加3.64万元，增长100.00%，主要原因是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r>
        <w:rPr>
          <w:rFonts w:hint="default" w:ascii="Times New Roman" w:hAnsi="Times New Roman" w:eastAsia="方正仿宋_GBK" w:cs="Times New Roman"/>
          <w:i w:val="0"/>
          <w:caps w:val="0"/>
          <w:color w:val="333333"/>
          <w:spacing w:val="0"/>
          <w:sz w:val="32"/>
          <w:szCs w:val="32"/>
          <w:shd w:val="clear" w:fill="FFFFFF"/>
          <w:lang w:val="en-US" w:eastAsia="zh-CN"/>
        </w:rPr>
        <w:t>公用经费用途主要包括</w:t>
      </w:r>
      <w:r>
        <w:rPr>
          <w:rFonts w:hint="eastAsia" w:ascii="Times New Roman" w:hAnsi="Times New Roman" w:eastAsia="方正仿宋_GBK" w:cs="Times New Roman"/>
          <w:i w:val="0"/>
          <w:caps w:val="0"/>
          <w:color w:val="333333"/>
          <w:spacing w:val="0"/>
          <w:sz w:val="32"/>
          <w:szCs w:val="32"/>
          <w:shd w:val="clear" w:fill="FFFFFF"/>
          <w:lang w:val="en-US" w:eastAsia="zh-CN"/>
        </w:rPr>
        <w:t>办公费、水电费等。</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本单位2023年度无政府性基金预算财政拨款收支。</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outlineLvl w:val="9"/>
        <w:rPr>
          <w:rStyle w:val="8"/>
          <w:rFonts w:hint="eastAsia" w:ascii="方正楷体_GBK" w:hAnsi="方正楷体_GBK" w:eastAsia="方正楷体_GBK" w:cs="方正楷体_GBK"/>
          <w:b w:val="0"/>
          <w:bCs/>
          <w:sz w:val="32"/>
          <w:szCs w:val="32"/>
          <w:shd w:val="clear" w:color="auto" w:fill="FFFFFF"/>
        </w:rPr>
      </w:pPr>
      <w:r>
        <w:rPr>
          <w:rStyle w:val="8"/>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三、</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三公</w:t>
      </w:r>
      <w:r>
        <w:rPr>
          <w:rStyle w:val="8"/>
          <w:rFonts w:hint="eastAsia" w:ascii="Times New Roman" w:hAnsi="Times New Roman" w:eastAsia="方正黑体_GBK" w:cs="Times New Roman"/>
          <w:b w:val="0"/>
          <w:bCs/>
          <w:sz w:val="32"/>
          <w:szCs w:val="32"/>
          <w:shd w:val="clear" w:color="auto" w:fill="FFFFFF"/>
          <w:lang w:eastAsia="zh-CN"/>
        </w:rPr>
        <w:t>”</w:t>
      </w:r>
      <w:r>
        <w:rPr>
          <w:rStyle w:val="8"/>
          <w:rFonts w:hint="eastAsia" w:ascii="Times New Roman" w:hAnsi="Times New Roman" w:eastAsia="方正黑体_GBK" w:cs="Times New Roman"/>
          <w:b w:val="0"/>
          <w:bCs/>
          <w:sz w:val="32"/>
          <w:szCs w:val="32"/>
          <w:shd w:val="clear" w:color="auto" w:fill="FFFFFF"/>
        </w:rPr>
        <w:t>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（一）“三公”经费支出总体情况说明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caps w:val="0"/>
          <w:color w:val="333333"/>
          <w:spacing w:val="0"/>
          <w:sz w:val="32"/>
          <w:szCs w:val="32"/>
          <w:shd w:val="clear" w:fill="FFFFFF"/>
          <w:lang w:val="en-US" w:eastAsia="zh-CN"/>
        </w:rPr>
        <w:t>”</w:t>
      </w:r>
      <w:r>
        <w:rPr>
          <w:rFonts w:hint="default" w:ascii="Times New Roman" w:hAnsi="Times New Roman" w:eastAsia="方正仿宋_GBK" w:cs="Times New Roman"/>
          <w:i w:val="0"/>
          <w:caps w:val="0"/>
          <w:color w:val="333333"/>
          <w:spacing w:val="0"/>
          <w:sz w:val="32"/>
          <w:szCs w:val="32"/>
          <w:shd w:val="clear" w:fill="FFFFFF"/>
          <w:lang w:val="en-US" w:eastAsia="zh-CN"/>
        </w:rPr>
        <w:t>经费支出共计0.00万元，较年初预算数无增减，主要原因是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本单位为中平乡人民政府下属二级单位，未单列“三公”经费支出。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（二）“三公”经费分项支出情况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2023年度本单位因公出国（境）费用0.00万元。费用支出较年初预算数无增减，主要原因是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本单位无因公出国（境）情况</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公务车购置费0.00万元。费用支出较年初预算数无增减，主要原因是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本单位未购置公务车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公务车运行维护费0.00万元。费用支出较年初预算数无增减，主要原因是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本单位无公务车</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公务接待费0.00万元。费用支出较年初预算数无增减，主要原因是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。较上年支出数无增减，主要原因是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本单位无公务接待</w:t>
      </w:r>
      <w:r>
        <w:rPr>
          <w:rFonts w:hint="default" w:ascii="Times New Roman" w:hAnsi="Times New Roman" w:eastAsia="方正仿宋_GBK" w:cs="Times New Roman"/>
          <w:i w:val="0"/>
          <w:caps w:val="0"/>
          <w:color w:val="333333"/>
          <w:spacing w:val="0"/>
          <w:sz w:val="32"/>
          <w:szCs w:val="32"/>
          <w:shd w:val="clear" w:fill="FFFFFF"/>
          <w:lang w:val="en-US"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（三）“三公”经费实物量情况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（一）财政拨款会议费和培训费情况说明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本年度会议费支出0.00万元，较上年决算数无增减，主要原因是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本单位为二级单位，未列支会议费</w:t>
      </w:r>
      <w:r>
        <w:rPr>
          <w:rFonts w:hint="default" w:ascii="Times New Roman" w:hAnsi="Times New Roman" w:eastAsia="方正仿宋_GBK" w:cs="Times New Roman"/>
          <w:i w:val="0"/>
          <w:caps w:val="0"/>
          <w:color w:val="333333"/>
          <w:spacing w:val="0"/>
          <w:sz w:val="32"/>
          <w:szCs w:val="32"/>
          <w:shd w:val="clear" w:fill="FFFFFF"/>
          <w:lang w:val="en-US" w:eastAsia="zh-CN"/>
        </w:rPr>
        <w:t>。本年度培训费支出0.50万元，较上年决算数增加0.50万元，增长100.00%，主要原因是</w:t>
      </w:r>
      <w:r>
        <w:rPr>
          <w:rFonts w:hint="eastAsia" w:ascii="Times New Roman" w:hAnsi="Times New Roman" w:eastAsia="方正仿宋_GBK" w:cs="Times New Roman"/>
          <w:i w:val="0"/>
          <w:caps w:val="0"/>
          <w:color w:val="333333"/>
          <w:spacing w:val="0"/>
          <w:sz w:val="32"/>
          <w:szCs w:val="32"/>
          <w:shd w:val="clear" w:fill="FFFFFF"/>
          <w:lang w:val="en-US" w:eastAsia="zh-CN"/>
        </w:rPr>
        <w:t>2022年度本单位与部门合并编报决算，按照市财政局要求，2023年度独立编报决算，故与上年对比增长100.00%。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（二）机关运行经费情况说明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2023年度本单位机关运行经费支出0.00万元。按照部门决算列报口径，我单位不在机关运行经费统计范围之内。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（三）国有资产占用情况说明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（四）政府采购支出情况说明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default" w:ascii="Times New Roman" w:hAnsi="Times New Roman" w:eastAsia="方正仿宋_GBK" w:cs="Times New Roman"/>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2023年度本单位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rPr>
      </w:pPr>
      <w:r>
        <w:rPr>
          <w:rStyle w:val="8"/>
          <w:rFonts w:hint="eastAsia" w:ascii="Times New Roman" w:hAnsi="Times New Roman" w:eastAsia="方正黑体_GBK" w:cs="Times New Roman"/>
          <w:b w:val="0"/>
          <w:bCs/>
          <w:sz w:val="32"/>
          <w:szCs w:val="32"/>
          <w:shd w:val="clear" w:color="auto" w:fill="FFFFFF"/>
          <w:lang w:eastAsia="zh-CN"/>
        </w:rPr>
        <w:t>五、</w:t>
      </w:r>
      <w:r>
        <w:rPr>
          <w:rStyle w:val="8"/>
          <w:rFonts w:hint="eastAsia" w:ascii="Times New Roman" w:hAnsi="Times New Roman" w:eastAsia="方正黑体_GBK" w:cs="Times New Roman"/>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（一）单位自评情况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Times New Roman" w:hAnsi="Times New Roman" w:eastAsia="方正仿宋_GBK" w:cs="Times New Roman"/>
          <w:i w:val="0"/>
          <w:caps w:val="0"/>
          <w:color w:val="333333"/>
          <w:spacing w:val="0"/>
          <w:sz w:val="32"/>
          <w:szCs w:val="32"/>
          <w:shd w:val="clear" w:fill="FFFFFF"/>
          <w:lang w:val="en-US" w:eastAsia="zh-CN"/>
        </w:rPr>
        <w:t>根据预算绩效管理要求，我单位对8个二级项目开展了绩效自评，涉及财政拨款项目支出资金20.70万元。</w:t>
      </w: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中平乡人民政府2023年度项目支出绩效自评表（二级项目）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1</w:t>
            </w:r>
          </w:p>
        </w:tc>
        <w:tc>
          <w:tcPr>
            <w:tcW w:w="11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中平乡2023年信访维稳资金</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信访人数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人</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信访维稳成本</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信访维稳率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定性</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好</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全部完成</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sectPr>
          <w:pgSz w:w="16840" w:h="11915" w:orient="landscape"/>
          <w:pgMar w:top="1800" w:right="1440" w:bottom="1800" w:left="1440" w:header="851" w:footer="992" w:gutter="0"/>
          <w:pgNumType w:fmt="numberInDash"/>
          <w:cols w:space="720" w:num="1"/>
          <w:docGrid w:type="lines" w:linePitch="312" w:charSpace="0"/>
        </w:sect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Times New Roman"/>
          <w:i w:val="0"/>
          <w:caps w:val="0"/>
          <w:color w:val="333333"/>
          <w:spacing w:val="0"/>
          <w:sz w:val="32"/>
          <w:szCs w:val="32"/>
          <w:shd w:val="clear" w:fill="FFFFFF"/>
          <w:lang w:val="en-US" w:eastAsia="zh-CN"/>
        </w:rPr>
      </w:pP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（二）单位绩效评价情况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8"/>
        <w:jc w:val="both"/>
        <w:textAlignment w:val="auto"/>
        <w:rPr>
          <w:rFonts w:hint="eastAsia" w:ascii="Times New Roman" w:hAnsi="Times New Roman" w:eastAsia="方正仿宋_GBK" w:cs="方正仿宋"/>
          <w:i w:val="0"/>
          <w:caps w:val="0"/>
          <w:color w:val="333333"/>
          <w:spacing w:val="0"/>
          <w:sz w:val="32"/>
          <w:szCs w:val="32"/>
          <w:shd w:val="clear" w:fill="FFFFFF"/>
          <w:lang w:val="en-US" w:eastAsia="zh-CN"/>
        </w:rPr>
      </w:pPr>
      <w:r>
        <w:rPr>
          <w:rFonts w:hint="eastAsia" w:ascii="Times New Roman" w:hAnsi="Times New Roman" w:eastAsia="方正仿宋_GBK" w:cs="Times New Roman"/>
          <w:i w:val="0"/>
          <w:caps w:val="0"/>
          <w:color w:val="333333"/>
          <w:spacing w:val="0"/>
          <w:sz w:val="32"/>
          <w:szCs w:val="32"/>
          <w:shd w:val="clear" w:fill="FFFFFF"/>
          <w:lang w:val="zh-CN" w:eastAsia="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val="en-US" w:eastAsia="zh-CN" w:bidi="ar"/>
        </w:rPr>
        <w:t>中平乡2023年信访维稳资金</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3.00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90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outlineLvl w:val="9"/>
        <w:rPr>
          <w:rStyle w:val="8"/>
          <w:rFonts w:hint="eastAsia" w:ascii="Times New Roman" w:hAnsi="Times New Roman" w:eastAsia="方正楷体_GBK" w:cs="Times New Roman"/>
          <w:b w:val="0"/>
          <w:bCs/>
          <w:sz w:val="32"/>
          <w:szCs w:val="32"/>
          <w:shd w:val="clear" w:color="auto" w:fill="FFFFFF"/>
          <w:lang w:val="en-US" w:eastAsia="zh-CN" w:bidi="ar-SA"/>
        </w:rPr>
      </w:pPr>
      <w:r>
        <w:rPr>
          <w:rStyle w:val="8"/>
          <w:rFonts w:hint="eastAsia" w:ascii="Times New Roman" w:hAnsi="Times New Roman" w:eastAsia="方正楷体_GBK" w:cs="Times New Roman"/>
          <w:b w:val="0"/>
          <w:bCs/>
          <w:sz w:val="32"/>
          <w:szCs w:val="32"/>
          <w:shd w:val="clear" w:color="auto" w:fill="FFFFFF"/>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Times New Roman" w:hAnsi="Times New Roman" w:eastAsia="方正仿宋" w:cs="方正仿宋"/>
          <w:i w:val="0"/>
          <w:caps w:val="0"/>
          <w:color w:val="333333"/>
          <w:spacing w:val="0"/>
          <w:sz w:val="32"/>
          <w:szCs w:val="32"/>
          <w:shd w:val="clear" w:fill="FFFFFF"/>
          <w:lang w:val="en-US" w:eastAsia="zh-CN"/>
        </w:rPr>
      </w:pPr>
      <w:r>
        <w:rPr>
          <w:rFonts w:hint="eastAsia" w:ascii="Times New Roman" w:hAnsi="Times New Roman" w:eastAsia="方正仿宋" w:cs="方正仿宋"/>
          <w:i w:val="0"/>
          <w:caps w:val="0"/>
          <w:color w:val="333333"/>
          <w:spacing w:val="0"/>
          <w:sz w:val="32"/>
          <w:szCs w:val="32"/>
          <w:shd w:val="clear" w:fill="FFFFFF"/>
          <w:lang w:val="en-US" w:eastAsia="zh-CN"/>
        </w:rPr>
        <w:t>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_GBK" w:cs="Times New Roman"/>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（一）财政拨款收入：</w:t>
      </w:r>
      <w:r>
        <w:rPr>
          <w:rFonts w:hint="eastAsia" w:ascii="Times New Roman" w:hAnsi="Times New Roman" w:eastAsia="方正仿宋_GBK" w:cs="Times New Roman"/>
          <w:i w:val="0"/>
          <w:caps w:val="0"/>
          <w:color w:val="333333"/>
          <w:spacing w:val="0"/>
          <w:sz w:val="32"/>
          <w:szCs w:val="32"/>
          <w:shd w:val="clear" w:fill="FFFFFF"/>
          <w:lang w:val="en-US" w:eastAsia="zh-CN"/>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（二）事业收入：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（三）经营收入：</w:t>
      </w:r>
      <w:r>
        <w:rPr>
          <w:rFonts w:hint="eastAsia" w:ascii="方正仿宋_GBK" w:hAnsi="方正仿宋_GBK" w:eastAsia="方正仿宋_GBK" w:cs="方正仿宋_GBK"/>
          <w:i w:val="0"/>
          <w:caps w:val="0"/>
          <w:color w:val="333333"/>
          <w:spacing w:val="0"/>
          <w:sz w:val="32"/>
          <w:szCs w:val="32"/>
          <w:shd w:val="clear" w:fill="FFFFFF"/>
          <w:lang w:val="en-US" w:eastAsia="zh-CN"/>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eastAsia" w:ascii="方正仿宋_GBK" w:hAnsi="方正仿宋_GBK" w:eastAsia="方正仿宋_GBK" w:cs="方正仿宋_GBK"/>
          <w:i w:val="0"/>
          <w:caps w:val="0"/>
          <w:color w:val="333333"/>
          <w:spacing w:val="0"/>
          <w:sz w:val="32"/>
          <w:szCs w:val="32"/>
          <w:shd w:val="clear" w:fill="FFFFFF"/>
          <w:lang w:val="en-US" w:eastAsia="zh-CN"/>
        </w:rPr>
      </w:pPr>
      <w:r>
        <w:rPr>
          <w:rStyle w:val="8"/>
          <w:rFonts w:hint="eastAsia" w:ascii="Times New Roman" w:hAnsi="Times New Roman" w:eastAsia="方正楷体_GBK" w:cs="Times New Roman"/>
          <w:b w:val="0"/>
          <w:bCs/>
          <w:sz w:val="32"/>
          <w:szCs w:val="32"/>
          <w:shd w:val="clear" w:color="auto" w:fill="FFFFFF"/>
          <w:lang w:val="en-US" w:eastAsia="zh-CN" w:bidi="ar-SA"/>
        </w:rPr>
        <w:t>（四）其他收入：</w:t>
      </w:r>
      <w:r>
        <w:rPr>
          <w:rFonts w:hint="eastAsia" w:ascii="方正仿宋_GBK" w:hAnsi="方正仿宋_GBK" w:eastAsia="方正仿宋_GBK" w:cs="方正仿宋_GBK"/>
          <w:i w:val="0"/>
          <w:caps w:val="0"/>
          <w:color w:val="333333"/>
          <w:spacing w:val="0"/>
          <w:sz w:val="32"/>
          <w:szCs w:val="32"/>
          <w:shd w:val="clear" w:fill="FFFFFF"/>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；公用经费指政府收支分类经济科目中除</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工资福利支出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和</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对个人和家庭的补助</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rPr>
      </w:pPr>
      <w:r>
        <w:rPr>
          <w:rStyle w:val="8"/>
          <w:rFonts w:hint="eastAsia" w:ascii="Times New Roman" w:hAnsi="Times New Roman" w:eastAsia="方正楷体_GBK" w:cs="Times New Roman"/>
          <w:b w:val="0"/>
          <w:bCs/>
          <w:sz w:val="32"/>
          <w:szCs w:val="32"/>
          <w:shd w:val="clear" w:color="auto" w:fill="FFFFFF"/>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方正仿宋_GBK" w:hAnsi="方正仿宋_GBK" w:eastAsia="方正仿宋_GBK" w:cs="方正仿宋_GBK"/>
          <w:sz w:val="32"/>
          <w:szCs w:val="32"/>
          <w:shd w:val="clear" w:color="auto" w:fill="FFFFFF"/>
        </w:rPr>
      </w:pPr>
      <w:r>
        <w:rPr>
          <w:rStyle w:val="8"/>
          <w:rFonts w:hint="eastAsia" w:ascii="Times New Roman" w:hAnsi="Times New Roman" w:eastAsia="方正楷体_GBK" w:cs="Times New Roman"/>
          <w:b w:val="0"/>
          <w:bCs/>
          <w:sz w:val="32"/>
          <w:szCs w:val="32"/>
          <w:shd w:val="clear" w:color="auto" w:fill="FFFFFF"/>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outlineLvl w:val="9"/>
        <w:rPr>
          <w:rStyle w:val="8"/>
          <w:rFonts w:hint="default" w:ascii="Times New Roman" w:hAnsi="Times New Roman" w:eastAsia="方正黑体_GBK" w:cs="Times New Roman"/>
          <w:b w:val="0"/>
          <w:bCs/>
          <w:sz w:val="32"/>
          <w:szCs w:val="32"/>
          <w:shd w:val="clear" w:color="auto" w:fill="FFFFFF"/>
          <w:lang w:eastAsia="zh-CN"/>
        </w:rPr>
      </w:pPr>
      <w:r>
        <w:rPr>
          <w:rStyle w:val="8"/>
          <w:rFonts w:hint="eastAsia" w:ascii="Times New Roman" w:hAnsi="Times New Roman" w:eastAsia="方正黑体_GBK" w:cs="Times New Roman"/>
          <w:b w:val="0"/>
          <w:bCs/>
          <w:sz w:val="32"/>
          <w:szCs w:val="32"/>
          <w:shd w:val="clear" w:color="auto" w:fill="FFFFFF"/>
          <w:lang w:eastAsia="zh-CN"/>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outlineLvl w:val="9"/>
        <w:rPr>
          <w:rFonts w:hint="default" w:ascii="Times New Roman" w:hAnsi="Times New Roman" w:eastAsia="方正仿宋" w:cs="方正仿宋"/>
          <w:i w:val="0"/>
          <w:caps w:val="0"/>
          <w:color w:val="333333"/>
          <w:spacing w:val="0"/>
          <w:sz w:val="32"/>
          <w:szCs w:val="32"/>
          <w:shd w:val="clear" w:fill="FFFFFF"/>
          <w:lang w:val="en-US" w:eastAsia="zh-CN"/>
        </w:rPr>
      </w:pPr>
      <w:r>
        <w:rPr>
          <w:rFonts w:hint="default" w:ascii="Times New Roman" w:hAnsi="Times New Roman" w:eastAsia="方正仿宋_GBK" w:cs="Times New Roman"/>
          <w:i w:val="0"/>
          <w:caps w:val="0"/>
          <w:color w:val="333333"/>
          <w:spacing w:val="0"/>
          <w:sz w:val="32"/>
          <w:szCs w:val="32"/>
          <w:shd w:val="clear" w:fill="FFFFFF"/>
          <w:lang w:val="en-US" w:eastAsia="zh-CN"/>
        </w:rPr>
        <w:t>本单位决算公开信息反馈和联系方式：</w:t>
      </w:r>
      <w:r>
        <w:rPr>
          <w:rFonts w:hint="eastAsia" w:ascii="Times New Roman" w:hAnsi="Times New Roman" w:eastAsia="方正仿宋_GBK" w:cs="Times New Roman"/>
          <w:i w:val="0"/>
          <w:caps w:val="0"/>
          <w:color w:val="333333"/>
          <w:spacing w:val="0"/>
          <w:sz w:val="32"/>
          <w:szCs w:val="32"/>
          <w:shd w:val="clear" w:fill="FFFFFF"/>
          <w:lang w:val="en-US" w:eastAsia="zh-CN"/>
        </w:rPr>
        <w:t>联系人：王运杰；</w:t>
      </w:r>
      <w:r>
        <w:rPr>
          <w:rFonts w:hint="default" w:ascii="Times New Roman" w:hAnsi="Times New Roman" w:eastAsia="方正仿宋_GBK" w:cs="Times New Roman"/>
          <w:i w:val="0"/>
          <w:caps w:val="0"/>
          <w:color w:val="333333"/>
          <w:spacing w:val="0"/>
          <w:sz w:val="32"/>
          <w:szCs w:val="32"/>
          <w:shd w:val="clear" w:fill="FFFFFF"/>
          <w:lang w:val="en-US" w:eastAsia="zh-CN"/>
        </w:rPr>
        <w:t>办公电话023-76624210。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jc w:val="both"/>
        <w:outlineLvl w:val="9"/>
        <w:rPr>
          <w:rStyle w:val="8"/>
          <w:rFonts w:ascii="方正仿宋_GBK" w:hAnsi="方正仿宋_GBK" w:eastAsia="方正仿宋_GBK" w:cs="方正仿宋_GBK"/>
          <w:sz w:val="32"/>
          <w:szCs w:val="32"/>
          <w:shd w:val="clear" w:color="auto" w:fill="FFFF00"/>
        </w:rPr>
        <w:sectPr>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重庆市秀山土家族苗族自治县中平乡劳动就业和社会保障服务所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49.60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58.86</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重庆市秀山土家族苗族自治县中平乡劳动就业和社会保障服务所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58.86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58.86</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重庆市秀山土家族苗族自治县中平乡劳动就业和社会保障服务所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58.86</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38.15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20.70</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15.46</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6.49</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6.49</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0.37</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0.37</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2.28</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49.60</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58.86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38.15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20.70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15.46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0.37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0.37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1.73</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34.51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34.51</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3.64</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重庆市秀山土家族苗族自治县中平乡劳动就业和社会保障服务所</w:t>
            </w:r>
          </w:p>
        </w:tc>
        <w:tc>
          <w:tcPr>
            <w:tcW w:w="223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0.74</w:t>
            </w:r>
            <w:r>
              <w:rPr>
                <w:color w:val="000000"/>
                <w:sz w:val="20"/>
                <w:u w:color="auto"/>
              </w:rPr>
              <w:t xml:space="preserve"> </w:t>
            </w:r>
          </w:p>
        </w:tc>
        <w:tc>
          <w:tcPr>
            <w:tcW w:w="466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24B2BE4"/>
    <w:rsid w:val="03B87EA0"/>
    <w:rsid w:val="03E3214F"/>
    <w:rsid w:val="04361B08"/>
    <w:rsid w:val="044C50BA"/>
    <w:rsid w:val="05BC6D49"/>
    <w:rsid w:val="06194FF1"/>
    <w:rsid w:val="06A2550B"/>
    <w:rsid w:val="06F80EE2"/>
    <w:rsid w:val="07001CCA"/>
    <w:rsid w:val="075678DB"/>
    <w:rsid w:val="079D7CC7"/>
    <w:rsid w:val="08051BCA"/>
    <w:rsid w:val="08487F55"/>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07BE"/>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8C93C69"/>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917D5A"/>
    <w:rsid w:val="1FBB35CD"/>
    <w:rsid w:val="1FCD26AF"/>
    <w:rsid w:val="20642787"/>
    <w:rsid w:val="21556F04"/>
    <w:rsid w:val="22403BD3"/>
    <w:rsid w:val="24B92327"/>
    <w:rsid w:val="24C14514"/>
    <w:rsid w:val="24E90550"/>
    <w:rsid w:val="2533755C"/>
    <w:rsid w:val="25791755"/>
    <w:rsid w:val="25E379C4"/>
    <w:rsid w:val="26396DF4"/>
    <w:rsid w:val="27167136"/>
    <w:rsid w:val="271B442C"/>
    <w:rsid w:val="27B23302"/>
    <w:rsid w:val="29310A5F"/>
    <w:rsid w:val="29C37A35"/>
    <w:rsid w:val="2A076083"/>
    <w:rsid w:val="2A73162E"/>
    <w:rsid w:val="2B167953"/>
    <w:rsid w:val="2B200583"/>
    <w:rsid w:val="2B8209DE"/>
    <w:rsid w:val="2B88079A"/>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1E428F"/>
    <w:rsid w:val="36603CF0"/>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771469"/>
    <w:rsid w:val="3DDF3AB1"/>
    <w:rsid w:val="3E1D0952"/>
    <w:rsid w:val="3E42660A"/>
    <w:rsid w:val="3E7555B1"/>
    <w:rsid w:val="3E787ED9"/>
    <w:rsid w:val="3F032E93"/>
    <w:rsid w:val="3F0527E5"/>
    <w:rsid w:val="3F694D83"/>
    <w:rsid w:val="3F885DCC"/>
    <w:rsid w:val="3FCD675E"/>
    <w:rsid w:val="4004000C"/>
    <w:rsid w:val="4081150F"/>
    <w:rsid w:val="40B21508"/>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A64D8F"/>
    <w:rsid w:val="55BE2E85"/>
    <w:rsid w:val="56530F5D"/>
    <w:rsid w:val="567700D3"/>
    <w:rsid w:val="56FF7E9E"/>
    <w:rsid w:val="578867FC"/>
    <w:rsid w:val="5842572D"/>
    <w:rsid w:val="59A04FC1"/>
    <w:rsid w:val="5A3B59D6"/>
    <w:rsid w:val="5AD134D8"/>
    <w:rsid w:val="5C263CE4"/>
    <w:rsid w:val="5C5D2777"/>
    <w:rsid w:val="5CF66BF3"/>
    <w:rsid w:val="5D290C69"/>
    <w:rsid w:val="5F2D4A41"/>
    <w:rsid w:val="604714CA"/>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3A150C"/>
    <w:rsid w:val="6D903FF5"/>
    <w:rsid w:val="6DA955B8"/>
    <w:rsid w:val="6DE346AB"/>
    <w:rsid w:val="6DE5391A"/>
    <w:rsid w:val="6EFD1324"/>
    <w:rsid w:val="6F5A53AC"/>
    <w:rsid w:val="6FAC003D"/>
    <w:rsid w:val="6FE55E12"/>
    <w:rsid w:val="6FFB2E76"/>
    <w:rsid w:val="708F6F7F"/>
    <w:rsid w:val="70D94BD3"/>
    <w:rsid w:val="71C34D91"/>
    <w:rsid w:val="72456E2D"/>
    <w:rsid w:val="72DB435C"/>
    <w:rsid w:val="72E2613A"/>
    <w:rsid w:val="72F771F4"/>
    <w:rsid w:val="73934AD2"/>
    <w:rsid w:val="749B5687"/>
    <w:rsid w:val="750837F0"/>
    <w:rsid w:val="754758CF"/>
    <w:rsid w:val="764F62AB"/>
    <w:rsid w:val="765C45EC"/>
    <w:rsid w:val="768A7619"/>
    <w:rsid w:val="772E1EBA"/>
    <w:rsid w:val="781926BC"/>
    <w:rsid w:val="796D60A4"/>
    <w:rsid w:val="79920445"/>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2024-10-08T10:53:19Z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