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w w:val="80"/>
          <w:sz w:val="44"/>
          <w:szCs w:val="44"/>
          <w:shd w:val="clear" w:color="auto" w:fill="FFFFFF"/>
        </w:rPr>
      </w:pPr>
      <w:r>
        <w:rPr>
          <w:rFonts w:hint="eastAsia" w:ascii="Times New Roman" w:hAnsi="Times New Roman" w:eastAsia="方正小标宋_GBK" w:cs="Times New Roman"/>
          <w:w w:val="80"/>
          <w:sz w:val="44"/>
          <w:szCs w:val="44"/>
          <w:lang w:eastAsia="zh-CN"/>
        </w:rPr>
        <w:t>重庆市</w:t>
      </w:r>
      <w:r>
        <w:rPr>
          <w:rFonts w:hint="default" w:ascii="Times New Roman" w:hAnsi="Times New Roman" w:eastAsia="方正小标宋_GBK" w:cs="Times New Roman"/>
          <w:w w:val="80"/>
          <w:sz w:val="44"/>
          <w:szCs w:val="44"/>
        </w:rPr>
        <w:t>秀山土家族苗族自治县大溪乡综合行政执法大队</w:t>
      </w:r>
      <w:r>
        <w:rPr>
          <w:rFonts w:hint="default" w:ascii="Times New Roman" w:hAnsi="Times New Roman" w:eastAsia="方正小标宋_GBK" w:cs="Times New Roman"/>
          <w:w w:val="80"/>
          <w:sz w:val="44"/>
          <w:szCs w:val="44"/>
          <w:shd w:val="clear" w:color="auto" w:fill="FFFFFF"/>
        </w:rPr>
        <w:t>2023年度决算公开说明</w:t>
      </w:r>
      <w:bookmarkStart w:id="0" w:name="_GoBack"/>
      <w:bookmarkEnd w:id="0"/>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w w:val="80"/>
          <w:sz w:val="44"/>
          <w:szCs w:val="44"/>
          <w:shd w:val="clear" w:color="auto" w:fill="FFFFFF"/>
        </w:rPr>
      </w:pP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rPr>
        <w:t>一、单位基本情况</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color w:val="333333"/>
          <w:sz w:val="32"/>
          <w:szCs w:val="32"/>
          <w:shd w:val="clear" w:color="auto" w:fill="FFFFFF"/>
        </w:rPr>
      </w:pPr>
      <w:r>
        <w:rPr>
          <w:rFonts w:hint="eastAsia" w:ascii="方正楷体_GBK" w:hAnsi="方正楷体_GBK" w:eastAsia="方正楷体_GBK" w:cs="方正楷体_GBK"/>
          <w:b w:val="0"/>
          <w:bCs/>
          <w:color w:val="333333"/>
          <w:sz w:val="32"/>
          <w:szCs w:val="32"/>
          <w:shd w:val="clear" w:color="auto" w:fill="FFFFFF"/>
        </w:rPr>
        <w:t>（一）职能职责</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color w:val="333333"/>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楷体" w:cs="Times New Roman"/>
          <w:b w:val="0"/>
          <w:bCs/>
          <w:color w:val="333333"/>
          <w:sz w:val="32"/>
          <w:szCs w:val="32"/>
          <w:shd w:val="clear" w:color="auto" w:fill="FFFFFF"/>
        </w:rPr>
      </w:pPr>
      <w:r>
        <w:rPr>
          <w:rFonts w:hint="eastAsia" w:ascii="方正楷体_GBK" w:hAnsi="方正楷体_GBK" w:eastAsia="方正楷体_GBK" w:cs="方正楷体_GBK"/>
          <w:b w:val="0"/>
          <w:bCs/>
          <w:color w:val="333333"/>
          <w:sz w:val="32"/>
          <w:szCs w:val="32"/>
          <w:shd w:val="clear" w:color="auto" w:fill="FFFFFF"/>
        </w:rPr>
        <w:t>（二）机构设置</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b/>
          <w:bCs/>
          <w:color w:val="333333"/>
          <w:sz w:val="32"/>
          <w:szCs w:val="32"/>
          <w:shd w:val="clear" w:color="auto" w:fill="FFFFFF"/>
        </w:rPr>
        <w:t>1.综合行政执法办公室。</w:t>
      </w:r>
      <w:r>
        <w:rPr>
          <w:rFonts w:hint="default" w:ascii="Times New Roman" w:hAnsi="Times New Roman" w:eastAsia="方正仿宋_GBK" w:cs="Times New Roman"/>
          <w:color w:val="333333"/>
          <w:sz w:val="32"/>
          <w:szCs w:val="32"/>
          <w:shd w:val="clear" w:color="auto" w:fill="FFFFFF"/>
        </w:rPr>
        <w:t>集中行使依法授权或委托乡镇政府承担的各项行政执法权；协调、配合县级有关单位及派驻机构开展其他领域的联合执法。</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333333"/>
          <w:sz w:val="32"/>
          <w:szCs w:val="32"/>
          <w:shd w:val="clear" w:color="auto" w:fill="FFFFFF"/>
        </w:rPr>
        <w:t>2.综合行政执法大队。</w:t>
      </w:r>
      <w:r>
        <w:rPr>
          <w:rFonts w:hint="default" w:ascii="Times New Roman" w:hAnsi="Times New Roman" w:eastAsia="方正仿宋_GBK" w:cs="Times New Roman"/>
          <w:color w:val="333333"/>
          <w:sz w:val="32"/>
          <w:szCs w:val="32"/>
          <w:shd w:val="clear" w:color="auto" w:fill="FFFFFF"/>
        </w:rPr>
        <w:t>主要职责：集中行使乡镇依法承担和单位授权或委托的各项行政执法权，制止、打击各类行政违法行为，协助、配合县级有关单位及其派驻机构开展联合执法。</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2023年度收入总计20.58万元，支出总计</w:t>
      </w:r>
      <w:r>
        <w:rPr>
          <w:rFonts w:hint="default" w:ascii="Times New Roman" w:hAnsi="Times New Roman" w:eastAsia="方正仿宋_GBK" w:cs="Times New Roman"/>
          <w:sz w:val="32"/>
          <w:szCs w:val="32"/>
        </w:rPr>
        <w:t>20.58</w:t>
      </w:r>
      <w:r>
        <w:rPr>
          <w:rFonts w:hint="default" w:ascii="Times New Roman" w:hAnsi="Times New Roman" w:eastAsia="方正仿宋_GBK" w:cs="Times New Roman"/>
          <w:sz w:val="32"/>
          <w:szCs w:val="32"/>
          <w:shd w:val="clear" w:color="auto" w:fill="FFFFFF"/>
        </w:rPr>
        <w:t>万元。收支较上年决算数增加20.58万元，增长100.00%，主要原因是2022年度本单位与部门合并编报决算，按照市财政局要求，2023年度独立编报决算，故与上年对比增长100.00%。</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2023年度收入合计20.58万元，较上年决算数增加20.58万元，增长100.00%，主要原因是2022年度本单位与部门合并编报决算，按照市财政局要求，2023年度独立编报决算，故与上年对比增长100.00%。其中：财政拨款收入</w:t>
      </w:r>
      <w:r>
        <w:rPr>
          <w:rFonts w:hint="default" w:ascii="Times New Roman" w:hAnsi="Times New Roman" w:eastAsia="方正仿宋_GBK" w:cs="Times New Roman"/>
          <w:sz w:val="32"/>
          <w:szCs w:val="32"/>
        </w:rPr>
        <w:t>20.58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20.58</w:t>
      </w:r>
      <w:r>
        <w:rPr>
          <w:rFonts w:hint="default" w:ascii="Times New Roman" w:hAnsi="Times New Roman" w:eastAsia="方正仿宋_GBK" w:cs="Times New Roman"/>
          <w:sz w:val="32"/>
          <w:szCs w:val="32"/>
          <w:shd w:val="clear" w:color="auto" w:fill="FFFFFF"/>
        </w:rPr>
        <w:t>万元，较上年决算数增加20.58万元，增长100.00%，主要原因是2022年度本单位与部门合并编报决算，按照市财政局要求，2023年度独立编报决算，故与上年对比增长100.00%。其中：基本支出</w:t>
      </w:r>
      <w:r>
        <w:rPr>
          <w:rFonts w:hint="default" w:ascii="Times New Roman" w:hAnsi="Times New Roman" w:eastAsia="方正仿宋_GBK" w:cs="Times New Roman"/>
          <w:sz w:val="32"/>
          <w:szCs w:val="32"/>
        </w:rPr>
        <w:t>20.58</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万元，较上年决算数无增减，主要原因是本年度资金已用完，无结转结余。</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20.58万元。与2022年相比，财政拨款收、支总计各增加20.58万元，增长100.00%。主要原因是2022年度本单位与部门合并编报决算，按照市财政局要求，2023年度独立编报决算，故与上年对比增长100.00%。</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20.58</w:t>
      </w:r>
      <w:r>
        <w:rPr>
          <w:rFonts w:hint="default" w:ascii="Times New Roman" w:hAnsi="Times New Roman" w:eastAsia="方正仿宋_GBK" w:cs="Times New Roman"/>
          <w:sz w:val="32"/>
          <w:szCs w:val="32"/>
          <w:shd w:val="clear" w:color="auto" w:fill="FFFFFF"/>
        </w:rPr>
        <w:t>万元，较上年决算数增加20.58万元，增长100.00%。主要原因是2022年度本单位与部门合并编报决算，按照市财政局要求，2023年度独立编报决算，故与上年对比增长100.00%。较年初预算数减少2.06万元，下降9.10%。主要原因是人员增减变动，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20.58</w:t>
      </w:r>
      <w:r>
        <w:rPr>
          <w:rFonts w:hint="default" w:ascii="Times New Roman" w:hAnsi="Times New Roman" w:eastAsia="方正仿宋_GBK" w:cs="Times New Roman"/>
          <w:sz w:val="32"/>
          <w:szCs w:val="32"/>
          <w:shd w:val="clear" w:color="auto" w:fill="FFFFFF"/>
        </w:rPr>
        <w:t>万元，较上年决算数增加20.58万元，增长100.00%。主要原因是2022年度本单位与部门合并编报决算，按照市财政局要求，2023年度独立编报决算，故与上年对比增长100.00%。较年初预算数减少2.55万元，下降11.02%。主要原因是人员增减变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万元，较上年决算数无增减，主要原因是资金已用完，无结转结余。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rPr>
        <w:t>11.60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56.35</w:t>
      </w:r>
      <w:r>
        <w:rPr>
          <w:rFonts w:hint="default" w:ascii="Times New Roman" w:hAnsi="Times New Roman" w:eastAsia="方正仿宋_GBK" w:cs="Times New Roman"/>
          <w:sz w:val="32"/>
          <w:szCs w:val="32"/>
          <w:shd w:val="clear" w:color="auto" w:fill="FFFFFF"/>
        </w:rPr>
        <w:t>%，较年初预算数减少4.14万元，下降26.30%，主要原因是人员增减变动，社会保障支出减少。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（2）卫生健康支出</w:t>
      </w:r>
      <w:r>
        <w:rPr>
          <w:rFonts w:hint="default" w:ascii="Times New Roman" w:hAnsi="Times New Roman" w:eastAsia="方正仿宋_GBK" w:cs="Times New Roman"/>
          <w:sz w:val="32"/>
          <w:szCs w:val="32"/>
        </w:rPr>
        <w:t>0.67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3.27</w:t>
      </w:r>
      <w:r>
        <w:rPr>
          <w:rFonts w:hint="default" w:ascii="Times New Roman" w:hAnsi="Times New Roman" w:eastAsia="方正仿宋_GBK" w:cs="Times New Roman"/>
          <w:sz w:val="32"/>
          <w:szCs w:val="32"/>
          <w:shd w:val="clear" w:color="auto" w:fill="FFFFFF"/>
        </w:rPr>
        <w:t>%，较年初预算数无增减，主要原因是人员增减变动。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（3）城乡社区支出</w:t>
      </w:r>
      <w:r>
        <w:rPr>
          <w:rFonts w:hint="default" w:ascii="Times New Roman" w:hAnsi="Times New Roman" w:eastAsia="方正仿宋_GBK" w:cs="Times New Roman"/>
          <w:sz w:val="32"/>
          <w:szCs w:val="32"/>
        </w:rPr>
        <w:t>5.31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25.80</w:t>
      </w:r>
      <w:r>
        <w:rPr>
          <w:rFonts w:hint="default" w:ascii="Times New Roman" w:hAnsi="Times New Roman" w:eastAsia="方正仿宋_GBK" w:cs="Times New Roman"/>
          <w:sz w:val="32"/>
          <w:szCs w:val="32"/>
          <w:shd w:val="clear" w:color="auto" w:fill="FFFFFF"/>
        </w:rPr>
        <w:t>%，较年初预算数增加1.59万元，增长42.74%，主要原因是年中追加预算。</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（4）农林水支出</w:t>
      </w:r>
      <w:r>
        <w:rPr>
          <w:rFonts w:hint="default" w:ascii="Times New Roman" w:hAnsi="Times New Roman" w:eastAsia="方正仿宋_GBK" w:cs="Times New Roman"/>
          <w:sz w:val="32"/>
          <w:szCs w:val="32"/>
        </w:rPr>
        <w:t>1.50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7.27</w:t>
      </w:r>
      <w:r>
        <w:rPr>
          <w:rFonts w:hint="default" w:ascii="Times New Roman" w:hAnsi="Times New Roman" w:eastAsia="方正仿宋_GBK" w:cs="Times New Roman"/>
          <w:sz w:val="32"/>
          <w:szCs w:val="32"/>
          <w:shd w:val="clear" w:color="auto" w:fill="FFFFFF"/>
        </w:rPr>
        <w:t>%，较年初预算数无增减，主要原因是人员增减变动。</w:t>
      </w:r>
    </w:p>
    <w:p>
      <w:pPr>
        <w:keepNext w:val="0"/>
        <w:keepLines w:val="0"/>
        <w:pageBreakBefore w:val="0"/>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住房保障支出1.51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7.32</w:t>
      </w:r>
      <w:r>
        <w:rPr>
          <w:rFonts w:hint="default" w:ascii="Times New Roman" w:hAnsi="Times New Roman" w:eastAsia="方正仿宋_GBK" w:cs="Times New Roman"/>
          <w:sz w:val="32"/>
          <w:szCs w:val="32"/>
          <w:shd w:val="clear" w:color="auto" w:fill="FFFFFF"/>
        </w:rPr>
        <w:t>%，较年初预算数无增减，主要原因是人员增减变动。</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20.58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18.76</w:t>
      </w:r>
      <w:r>
        <w:rPr>
          <w:rFonts w:hint="default" w:ascii="Times New Roman" w:hAnsi="Times New Roman" w:eastAsia="方正仿宋_GBK" w:cs="Times New Roman"/>
          <w:sz w:val="32"/>
          <w:szCs w:val="32"/>
          <w:shd w:val="clear" w:color="auto" w:fill="FFFFFF"/>
        </w:rPr>
        <w:t>万元，较上年决算数增加18.76万元，增长100.00%，主要原因是2022年度本单位与部门合并编报决算，按照市财政局要求，2023年度独立编报决算，故与上年对比增长100.00%。人员经费用途主要包括在职职工基本工资、绩效、社会保障配套等。公用经费</w:t>
      </w:r>
      <w:r>
        <w:rPr>
          <w:rFonts w:hint="default" w:ascii="Times New Roman" w:hAnsi="Times New Roman" w:eastAsia="方正仿宋_GBK" w:cs="Times New Roman"/>
          <w:sz w:val="32"/>
          <w:szCs w:val="32"/>
        </w:rPr>
        <w:t>1.83</w:t>
      </w:r>
      <w:r>
        <w:rPr>
          <w:rFonts w:hint="default" w:ascii="Times New Roman" w:hAnsi="Times New Roman" w:eastAsia="方正仿宋_GBK" w:cs="Times New Roman"/>
          <w:sz w:val="32"/>
          <w:szCs w:val="32"/>
          <w:shd w:val="clear" w:color="auto" w:fill="FFFFFF"/>
        </w:rPr>
        <w:t>万元，较上年决算数增加1.83万元，增长100.00%，主要原因是2022年度本单位与部门合并编报决算，按照市财政局要求，2023年度独立编报决算，故与上年对比增长100.00%。公用经费用途主要包括食堂生活开支、水费、电费等。</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本单位2023年无政府性基金财政拨款预算收支。</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本单位2023年无国有资本经营预算财政拨款支出。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default" w:ascii="Times New Roman" w:hAnsi="Times New Roman" w:eastAsia="楷体" w:cs="Times New Roman"/>
          <w:b w:val="0"/>
          <w:bCs w:val="0"/>
          <w:sz w:val="32"/>
          <w:szCs w:val="32"/>
          <w:shd w:val="clear" w:color="auto" w:fill="FFFFFF"/>
        </w:rPr>
        <w:t xml:space="preserve"> </w:t>
      </w: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16"/>
        <w:keepNext w:val="0"/>
        <w:keepLines w:val="0"/>
        <w:pageBreakBefore w:val="0"/>
        <w:kinsoku/>
        <w:overflowPunct/>
        <w:topLinePunct w:val="0"/>
        <w:autoSpaceDN/>
        <w:bidi w:val="0"/>
        <w:adjustRightInd/>
        <w:snapToGrid w:val="0"/>
        <w:spacing w:before="0" w:beforeLines="0" w:beforeAutospacing="0" w:after="0" w:afterLines="0" w:afterAutospacing="0" w:line="560" w:lineRule="exact"/>
        <w:ind w:firstLine="640" w:firstLineChars="200"/>
        <w:jc w:val="both"/>
        <w:outlineLvl w:val="9"/>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2023年度“三公”经费支出共计0.00万元，较年初预算数</w:t>
      </w:r>
      <w:r>
        <w:rPr>
          <w:rFonts w:hint="eastAsia" w:ascii="Times New Roman" w:hAnsi="Times New Roman" w:eastAsia="方正仿宋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上年支出数无增减，主要原因是</w:t>
      </w:r>
      <w:r>
        <w:rPr>
          <w:rFonts w:hint="default" w:ascii="Times New Roman" w:hAnsi="Times New Roman" w:eastAsia="方正仿宋_GBK" w:cs="Times New Roman"/>
          <w:b w:val="0"/>
          <w:bCs w:val="0"/>
          <w:sz w:val="32"/>
          <w:szCs w:val="32"/>
          <w:shd w:val="clear" w:color="auto" w:fill="FFFFFF"/>
          <w:lang w:val="en-US" w:eastAsia="zh-CN"/>
        </w:rPr>
        <w:t>本单位为</w:t>
      </w:r>
      <w:r>
        <w:rPr>
          <w:rFonts w:hint="eastAsia" w:ascii="Times New Roman" w:hAnsi="Times New Roman" w:eastAsia="方正仿宋_GBK" w:cs="Times New Roman"/>
          <w:b w:val="0"/>
          <w:bCs w:val="0"/>
          <w:sz w:val="32"/>
          <w:szCs w:val="32"/>
          <w:shd w:val="clear" w:color="auto" w:fill="FFFFFF"/>
          <w:lang w:val="en-US" w:eastAsia="zh-CN"/>
        </w:rPr>
        <w:t>大溪乡</w:t>
      </w:r>
      <w:r>
        <w:rPr>
          <w:rFonts w:hint="default" w:ascii="Times New Roman" w:hAnsi="Times New Roman" w:eastAsia="方正仿宋_GBK" w:cs="Times New Roman"/>
          <w:b w:val="0"/>
          <w:bCs w:val="0"/>
          <w:sz w:val="32"/>
          <w:szCs w:val="32"/>
          <w:shd w:val="clear" w:color="auto" w:fill="FFFFFF"/>
          <w:lang w:val="en-US" w:eastAsia="zh-CN"/>
        </w:rPr>
        <w:t>人民政府下属二级单位，</w:t>
      </w:r>
      <w:r>
        <w:rPr>
          <w:rFonts w:hint="eastAsia" w:ascii="Times New Roman" w:hAnsi="Times New Roman" w:eastAsia="方正仿宋_GBK" w:cs="Times New Roman"/>
          <w:b w:val="0"/>
          <w:bCs w:val="0"/>
          <w:sz w:val="32"/>
          <w:szCs w:val="32"/>
          <w:shd w:val="clear" w:color="auto" w:fill="FFFFFF"/>
          <w:lang w:val="en-US" w:eastAsia="zh-CN"/>
        </w:rPr>
        <w:t>三公经费预算及支出由本级统一核算，我单位无相关支出。</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万元，费用支出较年初预算数无增减，主要原因是本单位无因公出国（境），较上年支出数无增减，主要原因是本单位无因公出国（境）。</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万元，年初预算数无增减，主要原因是本单位无公务车。较上年支出数无增减，主要原因是本单位无公务车。</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万元，费用支出较年初预算数无增减，主要原因是本单位无公务车。较上年支出数无增减，主要原因是本单位无公务车。</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万元，费用支出较年初预算数无增减，主要原因是本单位无公务接待，较上年支出数无增减，主要原因是本单位无公务接待。</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（一）财政拨款会议费和培训费情况说明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万元，较上年决算数无增减，主要原因是本单位是二级单位，未列支会议费。本年度培训费支出</w:t>
      </w:r>
      <w:r>
        <w:rPr>
          <w:rFonts w:hint="default" w:ascii="Times New Roman" w:hAnsi="Times New Roman" w:eastAsia="方正仿宋_GBK" w:cs="Times New Roman"/>
          <w:sz w:val="32"/>
          <w:szCs w:val="32"/>
        </w:rPr>
        <w:t>0.06</w:t>
      </w:r>
      <w:r>
        <w:rPr>
          <w:rFonts w:hint="default" w:ascii="Times New Roman" w:hAnsi="Times New Roman" w:eastAsia="方正仿宋_GBK" w:cs="Times New Roman"/>
          <w:sz w:val="32"/>
          <w:szCs w:val="32"/>
          <w:shd w:val="clear" w:color="auto" w:fill="FFFFFF"/>
        </w:rPr>
        <w:t>万元，较上年决算数增加0.06万元，增长100.00%，主要原因是2022年度本单位与部门合并编报决算，按照市财政局要求，2023年度独立编报决算，故与上年对比增长100.00%。</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万元，机关运行经费较上年支出数无增减，主要原因是按照部门决算列报口径，我单位不在机关运行经费统计范围之内。</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2023年度我单位未发生政府采购事项，无相关经费支出。</w:t>
      </w:r>
    </w:p>
    <w:p>
      <w:pPr>
        <w:pStyle w:val="6"/>
        <w:keepNext w:val="0"/>
        <w:keepLines w:val="0"/>
        <w:pageBreakBefore w:val="0"/>
        <w:numPr>
          <w:ilvl w:val="0"/>
          <w:numId w:val="1"/>
        </w:numPr>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黑体" w:cs="Times New Roman"/>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（一）单位自评情况</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eastAsia="zh-CN"/>
        </w:rPr>
      </w:pPr>
      <w:r>
        <w:rPr>
          <w:rFonts w:hint="eastAsia" w:ascii="Times New Roman" w:hAnsi="Times New Roman" w:eastAsia="方正仿宋_GBK" w:cs="Times New Roman"/>
          <w:sz w:val="32"/>
          <w:szCs w:val="32"/>
          <w:shd w:val="clear" w:color="auto" w:fill="FFFFFF"/>
          <w:lang w:eastAsia="zh-CN"/>
        </w:rPr>
        <w:t>我单位无项目支出，故未开展绩效评价。</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1"/>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shd w:val="clear" w:color="auto" w:fill="FFFFFF"/>
        </w:rPr>
      </w:pPr>
      <w:r>
        <w:rPr>
          <w:rStyle w:val="8"/>
          <w:rFonts w:hint="default" w:ascii="Times New Roman" w:hAnsi="Times New Roman" w:eastAsia="方正仿宋_GBK" w:cs="Times New Roman"/>
          <w:b w:val="0"/>
          <w:bCs/>
          <w:sz w:val="32"/>
          <w:szCs w:val="32"/>
          <w:shd w:val="clear" w:color="auto" w:fill="FFFFFF"/>
        </w:rPr>
        <w:t> </w:t>
      </w:r>
      <w:r>
        <w:rPr>
          <w:rStyle w:val="8"/>
          <w:rFonts w:hint="eastAsia" w:ascii="方正黑体_GBK" w:hAnsi="方正黑体_GBK" w:eastAsia="方正黑体_GBK" w:cs="方正黑体_GBK"/>
          <w:b w:val="0"/>
          <w:bCs/>
          <w:sz w:val="32"/>
          <w:szCs w:val="32"/>
          <w:shd w:val="clear" w:color="auto" w:fill="FFFFFF"/>
        </w:rPr>
        <w:t xml:space="preserve"> 六、专业名词解释</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（二）事业收入</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（三）经营收入</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（四）其他收入</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sz w:val="32"/>
          <w:szCs w:val="32"/>
          <w:shd w:val="clear" w:color="auto" w:fill="FFFFFF"/>
        </w:rPr>
        <w:t>（五）使用非财政拨款结余</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（六）年初结转和结余</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（七）结余分配</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（八）年末结转和结余</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（九）基本支出</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（十）项目支出</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（十一）经营支出</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（十二）“三公”经费</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（十三）机关运行经费</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（十四）工资福利支出（支出经济分类科目类级）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sz w:val="32"/>
          <w:szCs w:val="32"/>
          <w:shd w:val="clear" w:color="auto" w:fill="FFFFFF"/>
        </w:rPr>
        <w:t> （十六）对个人和家庭的补助（支出经济分类科目类级）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仿宋_GBK" w:cs="Times New Roman"/>
          <w:b w:val="0"/>
          <w:bCs/>
          <w:sz w:val="32"/>
          <w:szCs w:val="32"/>
          <w:shd w:val="clear" w:color="auto" w:fill="FFFFFF"/>
        </w:rPr>
      </w:pPr>
      <w:r>
        <w:rPr>
          <w:rStyle w:val="8"/>
          <w:rFonts w:hint="default" w:ascii="Times New Roman" w:hAnsi="Times New Roman" w:eastAsia="方正仿宋_GBK" w:cs="Times New Roman"/>
          <w:b w:val="0"/>
          <w:bCs/>
          <w:sz w:val="32"/>
          <w:szCs w:val="32"/>
          <w:shd w:val="clear" w:color="auto" w:fill="FFFFFF"/>
        </w:rPr>
        <w:t xml:space="preserve">  </w:t>
      </w:r>
      <w:r>
        <w:rPr>
          <w:rStyle w:val="8"/>
          <w:rFonts w:hint="eastAsia" w:ascii="方正黑体_GBK" w:hAnsi="方正黑体_GBK" w:eastAsia="方正黑体_GBK" w:cs="方正黑体_GBK"/>
          <w:b w:val="0"/>
          <w:bCs/>
          <w:sz w:val="32"/>
          <w:szCs w:val="32"/>
          <w:shd w:val="clear" w:color="auto" w:fill="FFFFFF"/>
        </w:rPr>
        <w:t>七、决算公开联系方式及信息反馈渠道</w:t>
      </w:r>
    </w:p>
    <w:p>
      <w:pPr>
        <w:pStyle w:val="6"/>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8"/>
          <w:rFonts w:hint="default" w:ascii="Times New Roman" w:hAnsi="Times New Roman" w:eastAsia="方正仿宋_GBK" w:cs="Times New Roman"/>
          <w:b w:val="0"/>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本单位决算公开信息反馈和联系方式：陈亚乔；联系电话：023-76618323。</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重庆市秀山土家族苗族自治县大溪乡综合行政执法大队</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20.58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0.67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20.58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20.58</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20.58</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20.58</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5600" w:type="dxa"/>
        <w:tblInd w:w="0" w:type="dxa"/>
        <w:tblLayout w:type="fixed"/>
        <w:tblCellMar>
          <w:top w:w="0" w:type="dxa"/>
          <w:left w:w="0" w:type="dxa"/>
          <w:bottom w:w="0" w:type="dxa"/>
          <w:right w:w="0" w:type="dxa"/>
        </w:tblCellMar>
      </w:tblPr>
      <w:tblGrid>
        <w:gridCol w:w="1727"/>
        <w:gridCol w:w="3216"/>
        <w:gridCol w:w="1251"/>
        <w:gridCol w:w="1251"/>
        <w:gridCol w:w="1250"/>
        <w:gridCol w:w="1250"/>
        <w:gridCol w:w="2"/>
        <w:gridCol w:w="1386"/>
        <w:gridCol w:w="1325"/>
        <w:gridCol w:w="1460"/>
        <w:gridCol w:w="1482"/>
      </w:tblGrid>
      <w:tr>
        <w:tblPrEx>
          <w:tblLayout w:type="fixed"/>
          <w:tblCellMar>
            <w:top w:w="0" w:type="dxa"/>
            <w:left w:w="0" w:type="dxa"/>
            <w:bottom w:w="0" w:type="dxa"/>
            <w:right w:w="0" w:type="dxa"/>
          </w:tblCellMar>
        </w:tblPrEx>
        <w:trPr>
          <w:trHeight w:val="90" w:hRule="atLeast"/>
        </w:trPr>
        <w:tc>
          <w:tcPr>
            <w:tcW w:w="15600" w:type="dxa"/>
            <w:gridSpan w:val="11"/>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90" w:hRule="atLeast"/>
        </w:trPr>
        <w:tc>
          <w:tcPr>
            <w:tcW w:w="61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重庆市秀山土家族苗族自治县大溪乡综合行政执法大队</w:t>
            </w:r>
          </w:p>
        </w:tc>
        <w:tc>
          <w:tcPr>
            <w:tcW w:w="12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2"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8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90" w:hRule="atLeast"/>
        </w:trPr>
        <w:tc>
          <w:tcPr>
            <w:tcW w:w="61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2" w:type="dxa"/>
            <w:gridSpan w:val="2"/>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8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8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94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63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2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12" w:hRule="atLeast"/>
        </w:trPr>
        <w:tc>
          <w:tcPr>
            <w:tcW w:w="172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16"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88" w:type="dxa"/>
            <w:gridSpan w:val="2"/>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2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16"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88"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2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16"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88"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2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16"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88" w:type="dxa"/>
            <w:gridSpan w:val="2"/>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2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90" w:hRule="atLeast"/>
        </w:trPr>
        <w:tc>
          <w:tcPr>
            <w:tcW w:w="494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20.58</w:t>
            </w:r>
            <w:r>
              <w:rPr>
                <w:b/>
                <w:color w:val="000000"/>
                <w:sz w:val="20"/>
              </w:rPr>
              <w:t xml:space="preserve"> </w:t>
            </w:r>
          </w:p>
        </w:tc>
        <w:tc>
          <w:tcPr>
            <w:tcW w:w="12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20.58</w:t>
            </w:r>
            <w:r>
              <w:rPr>
                <w:b/>
                <w:color w:val="000000"/>
                <w:sz w:val="20"/>
              </w:rPr>
              <w:t xml:space="preserve"> </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11.60</w:t>
            </w:r>
            <w:r>
              <w:rPr>
                <w:b/>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11.60</w:t>
            </w:r>
            <w:r>
              <w:rPr>
                <w:b/>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w:t>
            </w:r>
            <w:r>
              <w:rPr>
                <w:b/>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w:t>
            </w:r>
            <w:r>
              <w:rPr>
                <w:b/>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0.35</w:t>
            </w:r>
            <w:r>
              <w:rPr>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0.35</w:t>
            </w: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0.17</w:t>
            </w:r>
            <w:r>
              <w:rPr>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0.17</w:t>
            </w: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9.46</w:t>
            </w:r>
            <w:r>
              <w:rPr>
                <w:b/>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9.46</w:t>
            </w:r>
            <w:r>
              <w:rPr>
                <w:b/>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9.46</w:t>
            </w:r>
            <w:r>
              <w:rPr>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9.46</w:t>
            </w: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w:t>
            </w:r>
            <w:r>
              <w:rPr>
                <w:b/>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w:t>
            </w:r>
            <w:r>
              <w:rPr>
                <w:b/>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w:t>
            </w:r>
            <w:r>
              <w:rPr>
                <w:b/>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w:t>
            </w:r>
            <w:r>
              <w:rPr>
                <w:b/>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5.31</w:t>
            </w:r>
            <w:r>
              <w:rPr>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5.31</w:t>
            </w: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w:t>
            </w:r>
            <w:r>
              <w:rPr>
                <w:b/>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w:t>
            </w:r>
            <w:r>
              <w:rPr>
                <w:b/>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w:t>
            </w:r>
            <w:r>
              <w:rPr>
                <w:b/>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w:t>
            </w:r>
            <w:r>
              <w:rPr>
                <w:b/>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w:t>
            </w:r>
            <w:r>
              <w:rPr>
                <w:color w:val="000000"/>
                <w:sz w:val="20"/>
              </w:rPr>
              <w:t xml:space="preserve"> </w:t>
            </w: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w:t>
            </w: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备注：1.本表反映单位本年度取得的各项收入情况。2.本套报表金额单位转换时可能存在尾数误差。</w:t>
      </w:r>
      <w:r>
        <w:rPr>
          <w:rFonts w:cs="宋体"/>
          <w:sz w:val="20"/>
          <w:szCs w:val="20"/>
        </w:rPr>
        <w:br w:type="textWrapping"/>
      </w:r>
      <w:r>
        <w:rPr>
          <w:rFonts w:cs="宋体"/>
          <w:sz w:val="20"/>
          <w:szCs w:val="20"/>
        </w:rPr>
        <w:br w:type="page"/>
      </w:r>
    </w:p>
    <w:tbl>
      <w:tblPr>
        <w:tblStyle w:val="9"/>
        <w:tblW w:w="15220" w:type="dxa"/>
        <w:tblInd w:w="0" w:type="dxa"/>
        <w:tblLayout w:type="fixed"/>
        <w:tblCellMar>
          <w:top w:w="0" w:type="dxa"/>
          <w:left w:w="0" w:type="dxa"/>
          <w:bottom w:w="0" w:type="dxa"/>
          <w:right w:w="0" w:type="dxa"/>
        </w:tblCellMar>
      </w:tblPr>
      <w:tblGrid>
        <w:gridCol w:w="1783"/>
        <w:gridCol w:w="3321"/>
        <w:gridCol w:w="1684"/>
        <w:gridCol w:w="1683"/>
        <w:gridCol w:w="1684"/>
        <w:gridCol w:w="1667"/>
        <w:gridCol w:w="1668"/>
        <w:gridCol w:w="1730"/>
      </w:tblGrid>
      <w:tr>
        <w:tblPrEx>
          <w:tblLayout w:type="fixed"/>
          <w:tblCellMar>
            <w:top w:w="0" w:type="dxa"/>
            <w:left w:w="0" w:type="dxa"/>
            <w:bottom w:w="0" w:type="dxa"/>
            <w:right w:w="0" w:type="dxa"/>
          </w:tblCellMar>
        </w:tblPrEx>
        <w:trPr>
          <w:trHeight w:val="90" w:hRule="atLeast"/>
        </w:trPr>
        <w:tc>
          <w:tcPr>
            <w:tcW w:w="1522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90" w:hRule="atLeast"/>
        </w:trPr>
        <w:tc>
          <w:tcPr>
            <w:tcW w:w="67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重庆市秀山土家族苗族自治县大溪乡综合行政执法大队 </w:t>
            </w:r>
          </w:p>
        </w:tc>
        <w:tc>
          <w:tcPr>
            <w:tcW w:w="16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3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90" w:hRule="atLeast"/>
        </w:trPr>
        <w:tc>
          <w:tcPr>
            <w:tcW w:w="67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3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0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8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12" w:hRule="atLeast"/>
        </w:trPr>
        <w:tc>
          <w:tcPr>
            <w:tcW w:w="178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2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8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8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78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90" w:hRule="atLeast"/>
        </w:trPr>
        <w:tc>
          <w:tcPr>
            <w:tcW w:w="510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20.58</w:t>
            </w:r>
            <w:r>
              <w:rPr>
                <w:b/>
                <w:color w:val="000000"/>
                <w:sz w:val="20"/>
              </w:rPr>
              <w:t xml:space="preserve"> </w:t>
            </w:r>
          </w:p>
        </w:tc>
        <w:tc>
          <w:tcPr>
            <w:tcW w:w="1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20.58</w:t>
            </w:r>
            <w:r>
              <w:rPr>
                <w:b/>
                <w:color w:val="000000"/>
                <w:sz w:val="20"/>
              </w:rPr>
              <w:t xml:space="preserve"> </w:t>
            </w:r>
          </w:p>
        </w:tc>
        <w:tc>
          <w:tcPr>
            <w:tcW w:w="16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11.60</w:t>
            </w:r>
            <w:r>
              <w:rPr>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11.60</w:t>
            </w:r>
            <w:r>
              <w:rPr>
                <w:b/>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w:t>
            </w:r>
            <w:r>
              <w:rPr>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w:t>
            </w:r>
            <w:r>
              <w:rPr>
                <w:b/>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0.35</w:t>
            </w:r>
            <w:r>
              <w:rPr>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0.35</w:t>
            </w:r>
            <w:r>
              <w:rPr>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0.17</w:t>
            </w:r>
            <w:r>
              <w:rPr>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0.17</w:t>
            </w:r>
            <w:r>
              <w:rPr>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9.46</w:t>
            </w:r>
            <w:r>
              <w:rPr>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9.46</w:t>
            </w:r>
            <w:r>
              <w:rPr>
                <w:b/>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9.46</w:t>
            </w:r>
            <w:r>
              <w:rPr>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9.46</w:t>
            </w:r>
            <w:r>
              <w:rPr>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0.67</w:t>
            </w:r>
            <w:r>
              <w:rPr>
                <w:b/>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0.67</w:t>
            </w:r>
            <w:r>
              <w:rPr>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w:t>
            </w:r>
            <w:r>
              <w:rPr>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w:t>
            </w:r>
            <w:r>
              <w:rPr>
                <w:b/>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w:t>
            </w:r>
            <w:r>
              <w:rPr>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w:t>
            </w:r>
            <w:r>
              <w:rPr>
                <w:b/>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5.31</w:t>
            </w:r>
            <w:r>
              <w:rPr>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5.31</w:t>
            </w:r>
            <w:r>
              <w:rPr>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w:t>
            </w:r>
            <w:r>
              <w:rPr>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w:t>
            </w:r>
            <w:r>
              <w:rPr>
                <w:b/>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w:t>
            </w:r>
            <w:r>
              <w:rPr>
                <w:b/>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w:t>
            </w:r>
            <w:r>
              <w:rPr>
                <w:b/>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78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w:t>
            </w:r>
            <w:r>
              <w:rPr>
                <w:color w:val="000000"/>
                <w:sz w:val="20"/>
              </w:rPr>
              <w:t xml:space="preserve"> </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w:t>
            </w:r>
            <w:r>
              <w:rPr>
                <w:color w:val="000000"/>
                <w:sz w:val="20"/>
              </w:rPr>
              <w:t xml:space="preserve"> </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重庆市秀山土家族苗族自治县大溪乡综合行政执法大队</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20.58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20.58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20.58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9.46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重庆市秀山土家族苗族自治县大溪乡综合行政执法大队</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18.76</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1.83</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重庆市秀山土家族苗族自治县大溪乡综合行政执法大队</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重庆市秀山土家族苗族自治县大溪乡综合行政执法大队</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YEDdIAAAADAQAADwAAAAAAAAABACAAAAAiAAAAZHJzL2Rvd25yZXYueG1sUEsBAhQAFAAA&#10;AAgAh07iQFN+JvC8AQAAUgMAAA4AAAAAAAAAAQAgAAAAIQEAAGRycy9lMm9Eb2MueG1sUEsFBgAA&#10;AAAGAAYAWQEAAE8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q3ztIAAAADAQAADwAAAAAAAAABACAAAAAiAAAAZHJzL2Rvd25yZXYueG1sUEsBAhQAFAAA&#10;AAgAh07iQJlmCCe8AQAAUgMAAA4AAAAAAAAAAQAgAAAAIQEAAGRycy9lMm9Eb2MueG1sUEsFBgAA&#10;AAAGAAYAWQEAAE8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572135"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krs3&#10;2AAAAAkBAAAPAAAAAAAAAAEAIAAAACIAAABkcnMvZG93bnJldi54bWxQSwECFAAUAAAACACHTuJA&#10;BMUqHa8BAAA4AwAADgAAAAAAAAABACAAAAAnAQAAZHJzL2Uyb0RvYy54bWxQSwUGAAAAAAYABgBZ&#10;AQAASA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MTk3MWJmZjgxMDEyZTY4NmE5OWNiN2NmM2RkYjUifQ=="/>
  </w:docVars>
  <w:rsids>
    <w:rsidRoot w:val="00B03CCD"/>
    <w:rsid w:val="000D77FE"/>
    <w:rsid w:val="001A0AD9"/>
    <w:rsid w:val="001D3BB7"/>
    <w:rsid w:val="002B254B"/>
    <w:rsid w:val="00322ECA"/>
    <w:rsid w:val="00420F95"/>
    <w:rsid w:val="00453B85"/>
    <w:rsid w:val="00466C9B"/>
    <w:rsid w:val="00550ABE"/>
    <w:rsid w:val="00557BD4"/>
    <w:rsid w:val="00770383"/>
    <w:rsid w:val="007750D9"/>
    <w:rsid w:val="007819D4"/>
    <w:rsid w:val="007B419D"/>
    <w:rsid w:val="007B7C4B"/>
    <w:rsid w:val="007D3D39"/>
    <w:rsid w:val="00994AF7"/>
    <w:rsid w:val="009B60D5"/>
    <w:rsid w:val="009B67B8"/>
    <w:rsid w:val="009D2B67"/>
    <w:rsid w:val="00A566F9"/>
    <w:rsid w:val="00AF2239"/>
    <w:rsid w:val="00AF2751"/>
    <w:rsid w:val="00B03CCD"/>
    <w:rsid w:val="00B65F7F"/>
    <w:rsid w:val="00BC0AAD"/>
    <w:rsid w:val="00BE2B89"/>
    <w:rsid w:val="00C10E9E"/>
    <w:rsid w:val="00C20C3E"/>
    <w:rsid w:val="00C27644"/>
    <w:rsid w:val="00E42605"/>
    <w:rsid w:val="00F66445"/>
    <w:rsid w:val="00F73F90"/>
    <w:rsid w:val="00FE27A8"/>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0673E"/>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810638"/>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764EB7"/>
    <w:rsid w:val="1B4731A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5E4E16"/>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11182D"/>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paragraph" w:customStyle="1" w:styleId="16">
    <w:name w:val="Normal (Web)"/>
    <w:basedOn w:val="1"/>
    <w:qFormat/>
    <w:uiPriority w:val="0"/>
    <w:pPr>
      <w:spacing w:before="100" w:beforeLines="0" w:beforeAutospacing="1" w:after="100" w:afterLines="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8305</Words>
  <Characters>9943</Characters>
  <Lines>91</Lines>
  <Paragraphs>25</Paragraphs>
  <TotalTime>2</TotalTime>
  <ScaleCrop>false</ScaleCrop>
  <LinksUpToDate>false</LinksUpToDate>
  <CharactersWithSpaces>11036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2024-09-11T05:52:00Z</dcterms:created>
  <dc:creator>Administrator</dc:creator>
  <cp:lastModifiedBy>Administrator</cp:lastModifiedBy>
  <dcterms:modified xsi:type="dcterms:W3CDTF">2024-10-08T12:47:52Z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F0071842A17C42C2B16418A0AA785A39_13</vt:lpwstr>
  </property>
</Properties>
</file>