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Times New Roman" w:hAnsi="Times New Roman" w:eastAsia="方正小标宋_GBK"/>
          <w:sz w:val="40"/>
          <w:szCs w:val="40"/>
          <w:shd w:val="clear" w:color="auto" w:fill="FFFFFF"/>
        </w:rPr>
      </w:pPr>
      <w:r>
        <w:rPr>
          <w:rFonts w:hint="default" w:ascii="Times New Roman" w:hAnsi="Times New Roman" w:eastAsia="方正小标宋_GBK"/>
          <w:sz w:val="40"/>
          <w:szCs w:val="40"/>
        </w:rPr>
        <w:t>重庆市秀山土家族苗族自治县海洋乡退役军人服务站</w:t>
      </w:r>
      <w:r>
        <w:rPr>
          <w:rFonts w:hint="default" w:ascii="Times New Roman" w:hAnsi="Times New Roman" w:eastAsia="方正小标宋_GBK"/>
          <w:sz w:val="40"/>
          <w:szCs w:val="40"/>
          <w:shd w:val="clear" w:color="auto" w:fill="FFFFFF"/>
        </w:rPr>
        <w:t>2023年度决算公开说明</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黑体_GBK"/>
          <w:b/>
          <w:sz w:val="32"/>
          <w:szCs w:val="32"/>
          <w:shd w:val="clear" w:color="auto" w:fill="FFFFFF"/>
        </w:rPr>
      </w:pPr>
      <w:r>
        <w:rPr>
          <w:rStyle w:val="8"/>
          <w:rFonts w:hint="default" w:ascii="Times New Roman" w:hAnsi="Times New Roman" w:eastAsia="方正黑体_GBK"/>
          <w:b w:val="0"/>
          <w:bCs/>
          <w:sz w:val="32"/>
          <w:szCs w:val="32"/>
          <w:shd w:val="clear" w:color="auto" w:fill="FFFFFF"/>
        </w:rPr>
        <w:t>一、</w:t>
      </w:r>
      <w:r>
        <w:rPr>
          <w:rStyle w:val="8"/>
          <w:rFonts w:hint="eastAsia" w:ascii="Times New Roman" w:hAnsi="Times New Roman" w:eastAsia="方正黑体_GBK"/>
          <w:b w:val="0"/>
          <w:bCs/>
          <w:sz w:val="32"/>
          <w:szCs w:val="32"/>
          <w:shd w:val="clear" w:color="auto" w:fill="FFFFFF"/>
          <w:lang w:eastAsia="zh-CN"/>
        </w:rPr>
        <w:t>单位</w:t>
      </w:r>
      <w:r>
        <w:rPr>
          <w:rStyle w:val="8"/>
          <w:rFonts w:ascii="方正黑体_GBK" w:hAnsi="Times New Roman" w:eastAsia="方正黑体_GBK"/>
          <w:b w:val="0"/>
          <w:bCs/>
          <w:sz w:val="32"/>
          <w:szCs w:val="32"/>
          <w:shd w:val="clear" w:color="auto" w:fill="FFFFFF"/>
        </w:rPr>
        <w:t>基本情况</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rPr>
        <w:t>（一）职能职责</w:t>
      </w:r>
    </w:p>
    <w:p>
      <w:pPr>
        <w:pStyle w:val="6"/>
        <w:snapToGrid w:val="0"/>
        <w:spacing w:before="0" w:beforeAutospacing="0" w:after="0" w:afterAutospacing="0" w:line="560" w:lineRule="exact"/>
        <w:ind w:firstLine="640" w:firstLineChars="200"/>
        <w:jc w:val="both"/>
        <w:rPr>
          <w:rFonts w:hint="default" w:ascii="方正仿宋_GBK" w:hAnsi="Times New Roman" w:eastAsia="方正仿宋_GBK"/>
          <w:color w:val="333333"/>
          <w:sz w:val="32"/>
          <w:szCs w:val="32"/>
          <w:shd w:val="clear" w:color="auto" w:fill="FFFFFF"/>
        </w:rPr>
      </w:pPr>
      <w:r>
        <w:rPr>
          <w:rFonts w:ascii="方正仿宋_GBK" w:hAnsi="Times New Roman" w:eastAsia="方正仿宋_GBK"/>
          <w:color w:val="333333"/>
          <w:sz w:val="32"/>
          <w:szCs w:val="32"/>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rPr>
        <w:t>（二）机构设置</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1.</w:t>
      </w:r>
      <w:r>
        <w:rPr>
          <w:rFonts w:hint="default" w:ascii="Times New Roman" w:hAnsi="Times New Roman" w:eastAsia="方正仿宋_GBK"/>
          <w:b/>
          <w:color w:val="333333"/>
          <w:sz w:val="32"/>
          <w:szCs w:val="32"/>
          <w:shd w:val="clear" w:color="auto" w:fill="FFFFFF"/>
        </w:rPr>
        <w:t>退役军人服务站</w:t>
      </w:r>
      <w:r>
        <w:rPr>
          <w:rFonts w:hint="default" w:ascii="Times New Roman" w:hAnsi="Times New Roman" w:eastAsia="方正仿宋_GBK"/>
          <w:color w:val="333333"/>
          <w:sz w:val="32"/>
          <w:szCs w:val="32"/>
          <w:shd w:val="clear" w:color="auto" w:fill="FFFFFF"/>
        </w:rPr>
        <w:t>。主要职责：负责做好面对面、个性化、一对一服务退役军人工作，做好关系转接、联络接待、困难帮扶、信息采集、情况反映、立功喜报、悬挂光荣牌和“八一”、春节等节日以及重大变故走访慰问等具体事务，搭建政策咨询、帮扶援助、沟通联系、学习交流等活动场所，把党和政府的关怀温暖送到每一个退役军人身边；完成上级交办的其他任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方正黑体_GBK" w:hAnsi="Times New Roman" w:eastAsia="方正黑体_GBK"/>
          <w:b/>
          <w:sz w:val="32"/>
          <w:szCs w:val="32"/>
        </w:rPr>
      </w:pPr>
      <w:r>
        <w:rPr>
          <w:rStyle w:val="8"/>
          <w:rFonts w:ascii="方正黑体_GBK" w:hAnsi="Times New Roman" w:eastAsia="方正黑体_GBK"/>
          <w:b w:val="0"/>
          <w:sz w:val="32"/>
          <w:szCs w:val="32"/>
          <w:shd w:val="clear" w:color="auto" w:fill="FFFFFF"/>
        </w:rPr>
        <w:t>二、</w:t>
      </w:r>
      <w:r>
        <w:rPr>
          <w:rStyle w:val="8"/>
          <w:rFonts w:hint="eastAsia" w:ascii="方正黑体_GBK" w:hAnsi="Times New Roman" w:eastAsia="方正黑体_GBK"/>
          <w:b w:val="0"/>
          <w:sz w:val="32"/>
          <w:szCs w:val="32"/>
          <w:shd w:val="clear" w:color="auto" w:fill="FFFFFF"/>
          <w:lang w:eastAsia="zh-CN"/>
        </w:rPr>
        <w:t>单位</w:t>
      </w:r>
      <w:r>
        <w:rPr>
          <w:rStyle w:val="8"/>
          <w:rFonts w:ascii="方正黑体_GBK" w:hAnsi="Times New Roman" w:eastAsia="方正黑体_GBK"/>
          <w:b w:val="0"/>
          <w:sz w:val="32"/>
          <w:szCs w:val="32"/>
          <w:shd w:val="clear" w:color="auto" w:fill="FFFFFF"/>
        </w:rPr>
        <w:t>决算情况说明</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outlineLvl w:val="9"/>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（一）收入支出决算总体情况说明</w:t>
      </w:r>
    </w:p>
    <w:p>
      <w:pPr>
        <w:pStyle w:val="6"/>
        <w:shd w:val="clear" w:color="auto" w:fill="FFFFFF"/>
        <w:spacing w:before="0" w:beforeAutospacing="0" w:after="0" w:afterAutospacing="0" w:line="560" w:lineRule="exact"/>
        <w:ind w:firstLine="643" w:firstLineChars="200"/>
        <w:jc w:val="both"/>
        <w:rPr>
          <w:rFonts w:hint="default" w:ascii="Times New Roman" w:hAnsi="Times New Roman" w:eastAsia="方正仿宋_GBK"/>
          <w:color w:val="333333"/>
          <w:sz w:val="32"/>
          <w:szCs w:val="32"/>
          <w:shd w:val="clear" w:color="auto" w:fill="FFFFFF"/>
        </w:rPr>
      </w:pPr>
      <w:r>
        <w:rPr>
          <w:rStyle w:val="8"/>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2023年度收入总计43.09万元，支出总计</w:t>
      </w:r>
      <w:r>
        <w:rPr>
          <w:rFonts w:hint="default" w:ascii="Times New Roman" w:hAnsi="Times New Roman" w:eastAsia="方正仿宋_GBK"/>
          <w:sz w:val="32"/>
          <w:szCs w:val="32"/>
        </w:rPr>
        <w:t>43.09</w:t>
      </w:r>
      <w:r>
        <w:rPr>
          <w:rFonts w:hint="default" w:ascii="Times New Roman" w:hAnsi="Times New Roman" w:eastAsia="方正仿宋_GBK"/>
          <w:sz w:val="32"/>
          <w:szCs w:val="32"/>
          <w:shd w:val="clear" w:color="auto" w:fill="FFFFFF"/>
        </w:rPr>
        <w:t>万元。收支较上年决算数增加43.09万元，增长100.00%，</w:t>
      </w:r>
      <w:r>
        <w:rPr>
          <w:rFonts w:hint="default" w:ascii="Times New Roman" w:hAnsi="Times New Roman" w:eastAsia="方正仿宋_GBK"/>
          <w:color w:val="333333"/>
          <w:sz w:val="32"/>
          <w:szCs w:val="32"/>
          <w:shd w:val="clear" w:color="auto" w:fill="FFFFFF"/>
        </w:rPr>
        <w:t>主要原因是2022年度本单位与部门合并编报决算，按照市财政局要求，2023年度独立编报决算，故与上年对比增长100.00%。</w:t>
      </w:r>
    </w:p>
    <w:p>
      <w:pPr>
        <w:pStyle w:val="6"/>
        <w:shd w:val="clear" w:color="auto" w:fill="FFFFFF"/>
        <w:spacing w:before="0" w:beforeAutospacing="0" w:after="0" w:afterAutospacing="0" w:line="560" w:lineRule="exact"/>
        <w:ind w:firstLine="643" w:firstLineChars="200"/>
        <w:jc w:val="both"/>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2023年度收入合计43.09万元，较上年决算数增加43.09万元，增长100.00%，</w:t>
      </w:r>
      <w:r>
        <w:rPr>
          <w:rFonts w:hint="default" w:ascii="Times New Roman" w:hAnsi="Times New Roman" w:eastAsia="方正仿宋_GBK"/>
          <w:color w:val="333333"/>
          <w:sz w:val="32"/>
          <w:szCs w:val="32"/>
          <w:shd w:val="clear" w:color="auto" w:fill="FFFFFF"/>
        </w:rPr>
        <w:t>主要原因是2022年度本单位与部门合并编报决算，按照市财政局要求，2023年度独立编报决算，故与上年对比增长100.00%。</w:t>
      </w:r>
      <w:r>
        <w:rPr>
          <w:rFonts w:hint="default" w:ascii="Times New Roman" w:hAnsi="Times New Roman" w:eastAsia="方正仿宋_GBK"/>
          <w:sz w:val="32"/>
          <w:szCs w:val="32"/>
          <w:shd w:val="clear" w:color="auto" w:fill="FFFFFF"/>
        </w:rPr>
        <w:t>其中：财政拨款收入</w:t>
      </w:r>
      <w:r>
        <w:rPr>
          <w:rFonts w:hint="default" w:ascii="Times New Roman" w:hAnsi="Times New Roman" w:eastAsia="方正仿宋_GBK"/>
          <w:sz w:val="32"/>
          <w:szCs w:val="32"/>
        </w:rPr>
        <w:t>43.09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hd w:val="clear" w:color="auto" w:fill="FFFFFF"/>
        <w:spacing w:before="0" w:beforeAutospacing="0" w:after="0" w:afterAutospacing="0" w:line="560" w:lineRule="exact"/>
        <w:ind w:firstLine="643" w:firstLineChars="200"/>
        <w:jc w:val="both"/>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43.09</w:t>
      </w:r>
      <w:r>
        <w:rPr>
          <w:rFonts w:hint="default" w:ascii="Times New Roman" w:hAnsi="Times New Roman" w:eastAsia="方正仿宋_GBK"/>
          <w:sz w:val="32"/>
          <w:szCs w:val="32"/>
          <w:shd w:val="clear" w:color="auto" w:fill="FFFFFF"/>
        </w:rPr>
        <w:t>万元，较上年决算数增加43.09万元，增长100.00%，</w:t>
      </w:r>
      <w:r>
        <w:rPr>
          <w:rFonts w:hint="default" w:ascii="Times New Roman" w:hAnsi="Times New Roman" w:eastAsia="方正仿宋_GBK"/>
          <w:color w:val="333333"/>
          <w:sz w:val="32"/>
          <w:szCs w:val="32"/>
          <w:shd w:val="clear" w:color="auto" w:fill="FFFFFF"/>
        </w:rPr>
        <w:t>主要原因是2022年度本单位与部门合并编报决算，按照市财政局要求，2023年度独立编报决算，故与上年对比增长100.00%。</w:t>
      </w:r>
      <w:r>
        <w:rPr>
          <w:rFonts w:hint="default" w:ascii="Times New Roman" w:hAnsi="Times New Roman" w:eastAsia="方正仿宋_GBK"/>
          <w:sz w:val="32"/>
          <w:szCs w:val="32"/>
          <w:shd w:val="clear" w:color="auto" w:fill="FFFFFF"/>
        </w:rPr>
        <w:t>其中：基本支出</w:t>
      </w:r>
      <w:r>
        <w:rPr>
          <w:rFonts w:hint="default" w:ascii="Times New Roman" w:hAnsi="Times New Roman" w:eastAsia="方正仿宋_GBK"/>
          <w:sz w:val="32"/>
          <w:szCs w:val="32"/>
        </w:rPr>
        <w:t>43.09</w:t>
      </w:r>
      <w:r>
        <w:rPr>
          <w:rFonts w:hint="default" w:ascii="Times New Roman" w:hAnsi="Times New Roman" w:eastAsia="方正仿宋_GBK"/>
          <w:sz w:val="32"/>
          <w:szCs w:val="32"/>
          <w:shd w:val="clear" w:color="auto" w:fill="FFFFFF"/>
        </w:rPr>
        <w:t>万元，占100.00%；项目支出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hd w:val="clear" w:color="auto" w:fill="FFFFFF"/>
        <w:spacing w:before="0" w:beforeAutospacing="0" w:after="0" w:afterAutospacing="0" w:line="560" w:lineRule="exact"/>
        <w:ind w:firstLine="643" w:firstLineChars="200"/>
        <w:jc w:val="both"/>
        <w:rPr>
          <w:rFonts w:hint="default" w:ascii="Times New Roman" w:hAnsi="Times New Roman" w:eastAsia="方正仿宋_GBK"/>
          <w:color w:val="333333"/>
          <w:sz w:val="32"/>
          <w:szCs w:val="32"/>
          <w:shd w:val="clear" w:color="auto" w:fill="FFFFFF"/>
        </w:rPr>
      </w:pPr>
      <w:r>
        <w:rPr>
          <w:rStyle w:val="8"/>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w:t>
      </w:r>
      <w:r>
        <w:rPr>
          <w:rFonts w:hint="default" w:ascii="Times New Roman" w:hAnsi="Times New Roman" w:eastAsia="方正仿宋_GBK"/>
          <w:color w:val="333333"/>
          <w:sz w:val="32"/>
          <w:szCs w:val="32"/>
          <w:shd w:val="clear" w:color="auto" w:fill="FFFFFF"/>
        </w:rPr>
        <w:t>主要原因是2022年度本单位与部门合并编报决算，按照市财政局要求，2023年度独立编报决算，故与上年对比增长100.00%。</w:t>
      </w:r>
    </w:p>
    <w:p>
      <w:pPr>
        <w:pStyle w:val="6"/>
        <w:shd w:val="clear" w:color="auto" w:fill="FFFFFF"/>
        <w:spacing w:before="0" w:beforeAutospacing="0" w:after="0" w:afterAutospacing="0" w:line="560" w:lineRule="exact"/>
        <w:ind w:firstLine="640" w:firstLineChars="200"/>
        <w:jc w:val="both"/>
        <w:rPr>
          <w:rFonts w:hint="default" w:ascii="方正楷体_GBK" w:hAnsi="Times New Roman" w:eastAsia="方正楷体_GBK"/>
          <w:bCs/>
          <w:sz w:val="32"/>
          <w:szCs w:val="32"/>
          <w:shd w:val="clear" w:color="auto" w:fill="FFFFFF"/>
        </w:rPr>
      </w:pPr>
      <w:r>
        <w:rPr>
          <w:rFonts w:ascii="方正楷体_GBK" w:hAnsi="Times New Roman" w:eastAsia="方正楷体_GBK"/>
          <w:bCs/>
          <w:sz w:val="32"/>
          <w:szCs w:val="32"/>
          <w:shd w:val="clear" w:color="auto" w:fill="FFFFFF"/>
        </w:rPr>
        <w:t>（二）财政拨款收入支出决算总体情况说明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2023年度财政拨款收、支总计43.09万元。与2022年相比，财政拨款收、支总计各增加43.09万元，增长100.00%。</w:t>
      </w:r>
      <w:r>
        <w:rPr>
          <w:rFonts w:hint="default" w:ascii="Times New Roman" w:hAnsi="Times New Roman" w:eastAsia="方正仿宋_GBK"/>
          <w:color w:val="333333"/>
          <w:sz w:val="32"/>
          <w:szCs w:val="32"/>
          <w:shd w:val="clear" w:color="auto" w:fill="FFFFFF"/>
        </w:rPr>
        <w:t>主要原因是2022年度本单位与部门合并编报决算，按照市财政局要求，2023年度独立编报决算，故与上年对比增长100.00%。</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（三）一般公共预算财政拨款收入支出决算情况说明</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43.09</w:t>
      </w:r>
      <w:r>
        <w:rPr>
          <w:rFonts w:hint="default" w:ascii="Times New Roman" w:hAnsi="Times New Roman" w:eastAsia="方正仿宋_GBK"/>
          <w:sz w:val="32"/>
          <w:szCs w:val="32"/>
          <w:shd w:val="clear" w:color="auto" w:fill="FFFFFF"/>
        </w:rPr>
        <w:t>万元，较上年决算数增加43.09万元，增长100.00%。</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主要原因是2022年度本单位与部门合并编报决算，按照市财政局要求，2023年度独立编报决算，故与上年对比增长100.00%。</w:t>
      </w:r>
      <w:r>
        <w:rPr>
          <w:rFonts w:hint="default" w:ascii="Times New Roman" w:hAnsi="Times New Roman" w:eastAsia="方正仿宋_GBK"/>
          <w:sz w:val="32"/>
          <w:szCs w:val="32"/>
          <w:shd w:val="clear" w:color="auto" w:fill="FFFFFF"/>
        </w:rPr>
        <w:t>较年初预算数减少5.46万元，下降11.25%。</w:t>
      </w:r>
      <w:r>
        <w:rPr>
          <w:rFonts w:hint="default" w:ascii="Times New Roman" w:hAnsi="Times New Roman" w:eastAsia="方正仿宋_GBK"/>
          <w:color w:val="333333"/>
          <w:sz w:val="32"/>
          <w:szCs w:val="32"/>
          <w:shd w:val="clear" w:color="auto" w:fill="FFFFFF"/>
          <w:lang w:bidi="ar"/>
        </w:rPr>
        <w:t>主要原因是人员增减变动。</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color w:val="333333"/>
          <w:sz w:val="32"/>
          <w:szCs w:val="32"/>
          <w:shd w:val="clear" w:color="auto" w:fill="FFFFFF"/>
        </w:rPr>
      </w:pPr>
      <w:r>
        <w:rPr>
          <w:rStyle w:val="8"/>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43.09</w:t>
      </w:r>
      <w:r>
        <w:rPr>
          <w:rFonts w:hint="default" w:ascii="Times New Roman" w:hAnsi="Times New Roman" w:eastAsia="方正仿宋_GBK"/>
          <w:sz w:val="32"/>
          <w:szCs w:val="32"/>
          <w:shd w:val="clear" w:color="auto" w:fill="FFFFFF"/>
        </w:rPr>
        <w:t>万元，较上年决算数增加43.09万元，增长100.00%。</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主要原因是2022年度本单位与部门合并编报决算，按照市财政局要求，2023年度独立编报决算，故与上年对比增长100.00%。</w:t>
      </w:r>
      <w:r>
        <w:rPr>
          <w:rFonts w:hint="default" w:ascii="Times New Roman" w:hAnsi="Times New Roman" w:eastAsia="方正仿宋_GBK"/>
          <w:sz w:val="32"/>
          <w:szCs w:val="32"/>
          <w:shd w:val="clear" w:color="auto" w:fill="FFFFFF"/>
        </w:rPr>
        <w:t>较年初预算数减少6.21万元，下降12.60%。</w:t>
      </w:r>
      <w:r>
        <w:rPr>
          <w:rFonts w:hint="default" w:ascii="Times New Roman" w:hAnsi="Times New Roman" w:eastAsia="方正仿宋_GBK"/>
          <w:color w:val="333333"/>
          <w:sz w:val="32"/>
          <w:szCs w:val="32"/>
          <w:shd w:val="clear" w:color="auto" w:fill="FFFFFF"/>
        </w:rPr>
        <w:t>主要原因是人员增减变动。</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color w:val="333333"/>
          <w:sz w:val="32"/>
          <w:szCs w:val="32"/>
          <w:shd w:val="clear" w:color="auto" w:fill="FFFFFF"/>
          <w:lang w:bidi="ar"/>
        </w:rPr>
      </w:pPr>
      <w:r>
        <w:rPr>
          <w:rStyle w:val="8"/>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主要原因是2022年度本单位与部门合并编报决算，按照市财政局要求，2023年度独立编报决算，故与上年对比无增减变化。</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8"/>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lang w:bidi="ar"/>
        </w:rPr>
      </w:pPr>
      <w:r>
        <w:rPr>
          <w:rFonts w:hint="default" w:ascii="Times New Roman" w:hAnsi="Times New Roman" w:eastAsia="方正仿宋_GBK"/>
          <w:sz w:val="32"/>
          <w:szCs w:val="32"/>
          <w:shd w:val="clear" w:color="auto" w:fill="FFFFFF"/>
        </w:rPr>
        <w:t>（1）社会保障与就业支出</w:t>
      </w:r>
      <w:r>
        <w:rPr>
          <w:rFonts w:hint="default" w:ascii="Times New Roman" w:hAnsi="Times New Roman" w:eastAsia="方正仿宋_GBK"/>
          <w:sz w:val="32"/>
          <w:szCs w:val="32"/>
        </w:rPr>
        <w:t>38.42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89.17</w:t>
      </w:r>
      <w:r>
        <w:rPr>
          <w:rFonts w:hint="default" w:ascii="Times New Roman" w:hAnsi="Times New Roman" w:eastAsia="方正仿宋_GBK"/>
          <w:sz w:val="32"/>
          <w:szCs w:val="32"/>
          <w:shd w:val="clear" w:color="auto" w:fill="FFFFFF"/>
        </w:rPr>
        <w:t>%，较年初预算数减少6.21万元，下降13.91%，</w:t>
      </w:r>
      <w:r>
        <w:rPr>
          <w:rFonts w:hint="default" w:ascii="Times New Roman" w:hAnsi="Times New Roman" w:eastAsia="方正仿宋_GBK"/>
          <w:color w:val="333333"/>
          <w:sz w:val="32"/>
          <w:szCs w:val="32"/>
          <w:shd w:val="clear" w:color="auto" w:fill="FFFFFF"/>
          <w:lang w:bidi="ar"/>
        </w:rPr>
        <w:t>主要原因是人员增减变化。</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（2）卫生健康支出</w:t>
      </w:r>
      <w:r>
        <w:rPr>
          <w:rFonts w:hint="default" w:ascii="Times New Roman" w:hAnsi="Times New Roman" w:eastAsia="方正仿宋_GBK"/>
          <w:sz w:val="32"/>
          <w:szCs w:val="32"/>
        </w:rPr>
        <w:t>1.60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3.72</w:t>
      </w:r>
      <w:r>
        <w:rPr>
          <w:rFonts w:hint="default" w:ascii="Times New Roman" w:hAnsi="Times New Roman" w:eastAsia="方正仿宋_GBK"/>
          <w:sz w:val="32"/>
          <w:szCs w:val="32"/>
          <w:shd w:val="clear" w:color="auto" w:fill="FFFFFF"/>
        </w:rPr>
        <w:t>%，较年初预算数无增减，</w:t>
      </w:r>
      <w:r>
        <w:rPr>
          <w:rFonts w:hint="default" w:ascii="Times New Roman" w:hAnsi="Times New Roman" w:eastAsia="方正仿宋_GBK"/>
          <w:color w:val="333333"/>
          <w:sz w:val="32"/>
          <w:szCs w:val="32"/>
          <w:shd w:val="clear" w:color="auto" w:fill="FFFFFF"/>
          <w:lang w:bidi="ar"/>
        </w:rPr>
        <w:t>主要原因是人员增减变化。</w:t>
      </w:r>
    </w:p>
    <w:p>
      <w:pPr>
        <w:spacing w:line="56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（3）</w:t>
      </w:r>
      <w:r>
        <w:rPr>
          <w:rFonts w:hint="default" w:ascii="Times New Roman" w:hAnsi="Times New Roman" w:eastAsia="方正仿宋_GBK"/>
          <w:sz w:val="32"/>
          <w:szCs w:val="32"/>
        </w:rPr>
        <w:t>住房保障支出3.06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7.11</w:t>
      </w:r>
      <w:r>
        <w:rPr>
          <w:rFonts w:hint="default" w:ascii="Times New Roman" w:hAnsi="Times New Roman" w:eastAsia="方正仿宋_GBK"/>
          <w:sz w:val="32"/>
          <w:szCs w:val="32"/>
          <w:shd w:val="clear" w:color="auto" w:fill="FFFFFF"/>
        </w:rPr>
        <w:t>%，较年初预算数无增减，</w:t>
      </w:r>
      <w:r>
        <w:rPr>
          <w:rFonts w:hint="default" w:ascii="Times New Roman" w:hAnsi="Times New Roman" w:eastAsia="方正仿宋_GBK"/>
          <w:color w:val="333333"/>
          <w:sz w:val="32"/>
          <w:szCs w:val="32"/>
          <w:shd w:val="clear" w:color="auto" w:fill="FFFFFF"/>
          <w:lang w:bidi="ar"/>
        </w:rPr>
        <w:t>主要原因是人员增减变化。</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（四）一般公共预算财政拨款基本支出决算情况说明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2023年度一般公共财政拨款基本支出</w:t>
      </w:r>
      <w:r>
        <w:rPr>
          <w:rFonts w:hint="default" w:ascii="Times New Roman" w:hAnsi="Times New Roman" w:eastAsia="方正仿宋_GBK"/>
          <w:sz w:val="32"/>
          <w:szCs w:val="32"/>
        </w:rPr>
        <w:t>43.09</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39.30</w:t>
      </w:r>
      <w:r>
        <w:rPr>
          <w:rFonts w:hint="default" w:ascii="Times New Roman" w:hAnsi="Times New Roman" w:eastAsia="方正仿宋_GBK"/>
          <w:sz w:val="32"/>
          <w:szCs w:val="32"/>
          <w:shd w:val="clear" w:color="auto" w:fill="FFFFFF"/>
        </w:rPr>
        <w:t>万元，较上年决算数增加39.30万元，增长100.00%，</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主要原因是2022年度本单位与部门合并编报决算，按照市财政局要求，2023年度独立编报决算，故与上年对比增长100.00%。人员经费用途主要包括工资福利支出。</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3.79</w:t>
      </w:r>
      <w:r>
        <w:rPr>
          <w:rFonts w:hint="default" w:ascii="Times New Roman" w:hAnsi="Times New Roman" w:eastAsia="方正仿宋_GBK"/>
          <w:sz w:val="32"/>
          <w:szCs w:val="32"/>
          <w:shd w:val="clear" w:color="auto" w:fill="FFFFFF"/>
        </w:rPr>
        <w:t>万元，较上年决算数增加3.79万元，增长100.00%，</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主要原因是2022年度本单位与部门合并编报决算，按照市财政局要求，2023年度独立编报决算，故与上年对比增长100.00%。公用经费用途主要包括办公费、通信费、水电费等。</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（五）政府性基金预算收支决算情况说明</w:t>
      </w:r>
    </w:p>
    <w:p>
      <w:pPr>
        <w:spacing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lang w:bidi="ar"/>
        </w:rPr>
        <w:t>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color w:val="333333"/>
          <w:sz w:val="32"/>
          <w:szCs w:val="32"/>
          <w:shd w:val="clear" w:color="auto" w:fill="FFFFFF"/>
          <w:lang w:bidi="ar"/>
        </w:rPr>
        <w:t>2023年度无政府性基金预算财政拨款收支。</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（六）国有资本经营预算财政拨款支出决算情况说明</w:t>
      </w:r>
    </w:p>
    <w:p>
      <w:pPr>
        <w:spacing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lang w:bidi="ar"/>
        </w:rPr>
        <w:t>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color w:val="333333"/>
          <w:sz w:val="32"/>
          <w:szCs w:val="32"/>
          <w:shd w:val="clear" w:color="auto" w:fill="FFFFFF"/>
          <w:lang w:bidi="ar"/>
        </w:rPr>
        <w:t>2023年度无国有资本经营预算财政拨款支出。</w:t>
      </w:r>
    </w:p>
    <w:p>
      <w:pPr>
        <w:pStyle w:val="6"/>
        <w:keepNext w:val="0"/>
        <w:keepLines w:val="0"/>
        <w:pageBreakBefore w:val="0"/>
        <w:widowControl/>
        <w:shd w:val="clear" w:color="auto" w:fill="FFFFFF"/>
        <w:tabs>
          <w:tab w:val="left" w:pos="4478"/>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方正黑体_GBK" w:hAnsi="Times New Roman" w:eastAsia="方正黑体_GBK"/>
          <w:b w:val="0"/>
          <w:sz w:val="32"/>
          <w:szCs w:val="32"/>
          <w:shd w:val="clear" w:color="auto" w:fill="FFFFFF"/>
        </w:rPr>
      </w:pPr>
      <w:r>
        <w:rPr>
          <w:rStyle w:val="8"/>
          <w:rFonts w:ascii="方正黑体_GBK" w:hAnsi="Times New Roman" w:eastAsia="方正黑体_GBK"/>
          <w:b w:val="0"/>
          <w:sz w:val="32"/>
          <w:szCs w:val="32"/>
          <w:shd w:val="clear" w:color="auto" w:fill="FFFFFF"/>
        </w:rPr>
        <w:t>三、“三公”经费情况说明</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（一）“三公”经费支出总体情况说明</w:t>
      </w:r>
    </w:p>
    <w:p>
      <w:pPr>
        <w:spacing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lang w:bidi="ar"/>
        </w:rPr>
        <w:t>2023年度“三公”经费支出共计0.00万元，较年初预算数无增减，主要原因是本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color w:val="333333"/>
          <w:sz w:val="32"/>
          <w:szCs w:val="32"/>
          <w:shd w:val="clear" w:color="auto" w:fill="FFFFFF"/>
          <w:lang w:bidi="ar"/>
        </w:rPr>
        <w:t>为海洋乡人民政府下属二级</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color w:val="333333"/>
          <w:sz w:val="32"/>
          <w:szCs w:val="32"/>
          <w:shd w:val="clear" w:color="auto" w:fill="FFFFFF"/>
          <w:lang w:bidi="ar"/>
        </w:rPr>
        <w:t>，未单列“三公”经费支出。较上年支出数无增减，主要原因是本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color w:val="333333"/>
          <w:sz w:val="32"/>
          <w:szCs w:val="32"/>
          <w:shd w:val="clear" w:color="auto" w:fill="FFFFFF"/>
          <w:lang w:bidi="ar"/>
        </w:rPr>
        <w:t>为海洋乡人民政府下属二级</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color w:val="333333"/>
          <w:sz w:val="32"/>
          <w:szCs w:val="32"/>
          <w:shd w:val="clear" w:color="auto" w:fill="FFFFFF"/>
          <w:lang w:bidi="ar"/>
        </w:rPr>
        <w:t>，未单列“三公”经费支出。</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（二）“三公”经费分项支出情况</w:t>
      </w:r>
    </w:p>
    <w:p>
      <w:pPr>
        <w:spacing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lang w:bidi="ar"/>
        </w:rPr>
        <w:t>2023年度本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color w:val="333333"/>
          <w:sz w:val="32"/>
          <w:szCs w:val="32"/>
          <w:shd w:val="clear" w:color="auto" w:fill="FFFFFF"/>
          <w:lang w:bidi="ar"/>
        </w:rPr>
        <w:t>因公出国（境）费用0.00万元。费用支出较年初预算数无增减，主要原因是本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color w:val="333333"/>
          <w:sz w:val="32"/>
          <w:szCs w:val="32"/>
          <w:shd w:val="clear" w:color="auto" w:fill="FFFFFF"/>
          <w:lang w:bidi="ar"/>
        </w:rPr>
        <w:t>无因公出国（境）情况。较上年支出数无增减，主要原因是本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color w:val="333333"/>
          <w:sz w:val="32"/>
          <w:szCs w:val="32"/>
          <w:shd w:val="clear" w:color="auto" w:fill="FFFFFF"/>
          <w:lang w:bidi="ar"/>
        </w:rPr>
        <w:t>无因公出国（境）情况。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公务车购置费0.00万元。费用支出较年初预算数无增减，主要原因是本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color w:val="333333"/>
          <w:sz w:val="32"/>
          <w:szCs w:val="32"/>
          <w:shd w:val="clear" w:color="auto" w:fill="FFFFFF"/>
        </w:rPr>
        <w:t>未购置公务车。较上年支出数无增减，主要原因是本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color w:val="333333"/>
          <w:sz w:val="32"/>
          <w:szCs w:val="32"/>
          <w:shd w:val="clear" w:color="auto" w:fill="FFFFFF"/>
        </w:rPr>
        <w:t>未购置公务车。</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公务车运行维护费0.00万元。费用支出较年初预算数无增减，主要原因是本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color w:val="333333"/>
          <w:sz w:val="32"/>
          <w:szCs w:val="32"/>
          <w:shd w:val="clear" w:color="auto" w:fill="FFFFFF"/>
        </w:rPr>
        <w:t>无公务车。较上年支出数无增减，主要原因是本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color w:val="333333"/>
          <w:sz w:val="32"/>
          <w:szCs w:val="32"/>
          <w:shd w:val="clear" w:color="auto" w:fill="FFFFFF"/>
        </w:rPr>
        <w:t>无公务车。</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公务接待费0.00万元。费用支出较年初预算数无增减，主要原因是本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color w:val="333333"/>
          <w:sz w:val="32"/>
          <w:szCs w:val="32"/>
          <w:shd w:val="clear" w:color="auto" w:fill="FFFFFF"/>
        </w:rPr>
        <w:t>无公务接待。较上年支出数无增减，主要原因是本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color w:val="333333"/>
          <w:sz w:val="32"/>
          <w:szCs w:val="32"/>
          <w:shd w:val="clear" w:color="auto" w:fill="FFFFFF"/>
        </w:rPr>
        <w:t>无公务接待。</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（三）“三公”经费实物量情况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sz w:val="32"/>
          <w:szCs w:val="32"/>
          <w:shd w:val="clear" w:color="auto" w:fill="FFFFFF"/>
        </w:rPr>
        <w:t>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sz w:val="32"/>
          <w:szCs w:val="32"/>
          <w:shd w:val="clear" w:color="auto" w:fill="FFFFFF"/>
        </w:rPr>
        <w:t>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6"/>
        <w:shd w:val="clear" w:color="auto" w:fill="FFFFFF"/>
        <w:spacing w:before="0" w:beforeAutospacing="0" w:after="0" w:afterAutospacing="0" w:line="560" w:lineRule="exact"/>
        <w:ind w:firstLine="640" w:firstLineChars="200"/>
        <w:jc w:val="both"/>
        <w:rPr>
          <w:rStyle w:val="8"/>
          <w:rFonts w:hint="default" w:ascii="方正黑体_GBK" w:hAnsi="Times New Roman" w:eastAsia="方正黑体_GBK"/>
          <w:b w:val="0"/>
          <w:sz w:val="32"/>
          <w:szCs w:val="32"/>
          <w:shd w:val="clear" w:color="auto" w:fill="FFFFFF"/>
        </w:rPr>
      </w:pPr>
      <w:r>
        <w:rPr>
          <w:rStyle w:val="8"/>
          <w:rFonts w:ascii="方正黑体_GBK" w:hAnsi="Times New Roman" w:eastAsia="方正黑体_GBK"/>
          <w:b w:val="0"/>
          <w:sz w:val="32"/>
          <w:szCs w:val="32"/>
          <w:shd w:val="clear" w:color="auto" w:fill="FFFFFF"/>
        </w:rPr>
        <w:t>四、其他需要说明的事项</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（一）财政拨款会议费和培训费情况说明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w:t>
      </w:r>
      <w:r>
        <w:rPr>
          <w:rFonts w:hint="default" w:ascii="Times New Roman" w:hAnsi="Times New Roman" w:eastAsia="方正仿宋_GBK"/>
          <w:color w:val="333333"/>
          <w:sz w:val="32"/>
          <w:szCs w:val="32"/>
          <w:shd w:val="clear" w:color="auto" w:fill="FFFFFF"/>
          <w:lang w:bidi="ar"/>
        </w:rPr>
        <w:t>主要原因是本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color w:val="333333"/>
          <w:sz w:val="32"/>
          <w:szCs w:val="32"/>
          <w:shd w:val="clear" w:color="auto" w:fill="FFFFFF"/>
          <w:lang w:bidi="ar"/>
        </w:rPr>
        <w:t>为二级</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color w:val="333333"/>
          <w:sz w:val="32"/>
          <w:szCs w:val="32"/>
          <w:shd w:val="clear" w:color="auto" w:fill="FFFFFF"/>
          <w:lang w:bidi="ar"/>
        </w:rPr>
        <w:t>，未列支会议费。</w:t>
      </w:r>
      <w:r>
        <w:rPr>
          <w:rFonts w:hint="default" w:ascii="Times New Roman" w:hAnsi="Times New Roman" w:eastAsia="方正仿宋_GBK"/>
          <w:sz w:val="32"/>
          <w:szCs w:val="32"/>
          <w:shd w:val="clear" w:color="auto" w:fill="FFFFFF"/>
        </w:rPr>
        <w:t>本年度培训费支出</w:t>
      </w:r>
      <w:r>
        <w:rPr>
          <w:rFonts w:hint="default" w:ascii="Times New Roman" w:hAnsi="Times New Roman" w:eastAsia="方正仿宋_GBK"/>
          <w:sz w:val="32"/>
          <w:szCs w:val="32"/>
        </w:rPr>
        <w:t>0.12</w:t>
      </w:r>
      <w:r>
        <w:rPr>
          <w:rFonts w:hint="default" w:ascii="Times New Roman" w:hAnsi="Times New Roman" w:eastAsia="方正仿宋_GBK"/>
          <w:sz w:val="32"/>
          <w:szCs w:val="32"/>
          <w:shd w:val="clear" w:color="auto" w:fill="FFFFFF"/>
        </w:rPr>
        <w:t>万元，较上年决算数增加0.12万元，增长100.00%，</w:t>
      </w:r>
      <w:r>
        <w:rPr>
          <w:rFonts w:hint="default" w:ascii="Times New Roman" w:hAnsi="Times New Roman" w:eastAsia="方正仿宋_GBK"/>
          <w:color w:val="333333"/>
          <w:sz w:val="32"/>
          <w:szCs w:val="32"/>
          <w:shd w:val="clear" w:color="auto" w:fill="FFFFFF"/>
        </w:rPr>
        <w:t>主要原因是2022年度本单位与部门合并编报决算，按照市财政局要求，2023年度独立编报决算，故与上年对比增长100.00%。</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（二）机关运行经费情况说明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2023年度本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color w:val="333333"/>
          <w:sz w:val="32"/>
          <w:szCs w:val="32"/>
          <w:shd w:val="clear" w:color="auto" w:fill="FFFFFF"/>
        </w:rPr>
        <w:t>机关运行经费支出0.00万元。按照部门决算列报口径，我单位不在机关运行经费统计范围之内。</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（三）国有资产占用情况说明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rPr>
      </w:pPr>
      <w:r>
        <w:rPr>
          <w:rFonts w:hint="default" w:ascii="Times New Roman" w:hAnsi="Times New Roman" w:eastAsia="方正仿宋_GBK"/>
          <w:sz w:val="32"/>
          <w:szCs w:val="32"/>
          <w:shd w:val="clear" w:color="auto" w:fill="FFFFFF"/>
        </w:rPr>
        <w:t>截至2023年12月31日，本单位共有车辆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（四）政府采购支出情况说明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2023年度本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sz w:val="32"/>
          <w:szCs w:val="32"/>
          <w:shd w:val="clear" w:color="auto" w:fill="FFFFFF"/>
        </w:rPr>
        <w:t>政府采购支出总额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0.00万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 xml:space="preserve"> %。</w:t>
      </w:r>
    </w:p>
    <w:p>
      <w:pPr>
        <w:pStyle w:val="6"/>
        <w:numPr>
          <w:ilvl w:val="0"/>
          <w:numId w:val="1"/>
        </w:numPr>
        <w:shd w:val="clear" w:color="auto" w:fill="FFFFFF"/>
        <w:spacing w:before="0" w:beforeAutospacing="0" w:after="0" w:afterAutospacing="0" w:line="560" w:lineRule="exact"/>
        <w:ind w:firstLine="200"/>
        <w:jc w:val="both"/>
        <w:rPr>
          <w:rStyle w:val="8"/>
          <w:rFonts w:hint="default" w:ascii="方正黑体_GBK" w:hAnsi="Times New Roman" w:eastAsia="方正黑体_GBK"/>
          <w:b w:val="0"/>
          <w:sz w:val="32"/>
          <w:szCs w:val="32"/>
          <w:shd w:val="clear" w:color="auto" w:fill="FFFFFF"/>
        </w:rPr>
      </w:pPr>
      <w:r>
        <w:rPr>
          <w:rStyle w:val="8"/>
          <w:rFonts w:ascii="方正黑体_GBK" w:hAnsi="Times New Roman" w:eastAsia="方正黑体_GBK"/>
          <w:b w:val="0"/>
          <w:sz w:val="32"/>
          <w:szCs w:val="32"/>
          <w:shd w:val="clear" w:color="auto" w:fill="FFFFFF"/>
        </w:rPr>
        <w:t>预算绩效管理情况说明</w:t>
      </w: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lang w:bidi="ar"/>
        </w:rPr>
        <w:t>（一）</w:t>
      </w:r>
      <w:r>
        <w:rPr>
          <w:rStyle w:val="8"/>
          <w:rFonts w:hint="eastAsia" w:ascii="Times New Roman" w:hAnsi="Times New Roman" w:eastAsia="方正楷体_GBK"/>
          <w:b w:val="0"/>
          <w:bCs/>
          <w:sz w:val="32"/>
          <w:szCs w:val="32"/>
          <w:shd w:val="clear" w:color="auto" w:fill="FFFFFF"/>
          <w:lang w:eastAsia="zh-CN" w:bidi="ar"/>
        </w:rPr>
        <w:t>单位</w:t>
      </w:r>
      <w:r>
        <w:rPr>
          <w:rStyle w:val="8"/>
          <w:rFonts w:ascii="方正楷体_GBK" w:hAnsi="Times New Roman" w:eastAsia="方正楷体_GBK"/>
          <w:b w:val="0"/>
          <w:bCs/>
          <w:sz w:val="32"/>
          <w:szCs w:val="32"/>
          <w:shd w:val="clear" w:color="auto" w:fill="FFFFFF"/>
          <w:lang w:bidi="ar"/>
        </w:rPr>
        <w:t>自评情况</w:t>
      </w:r>
    </w:p>
    <w:p>
      <w:pPr>
        <w:pStyle w:val="6"/>
        <w:autoSpaceDE w:val="0"/>
        <w:spacing w:before="0" w:beforeAutospacing="0" w:after="0" w:afterAutospacing="0" w:line="560" w:lineRule="exact"/>
        <w:ind w:firstLine="640" w:firstLineChars="200"/>
        <w:jc w:val="both"/>
        <w:rPr>
          <w:rFonts w:hint="eastAsia" w:ascii="Times New Roman" w:hAnsi="Times New Roman" w:eastAsia="方正仿宋_GBK"/>
          <w:sz w:val="32"/>
          <w:szCs w:val="32"/>
          <w:shd w:val="clear" w:color="auto" w:fill="FFFFFF"/>
          <w:lang w:eastAsia="zh-CN" w:bidi="ar"/>
        </w:rPr>
      </w:pPr>
      <w:r>
        <w:rPr>
          <w:rFonts w:hint="eastAsia" w:ascii="Times New Roman" w:hAnsi="Times New Roman" w:eastAsia="方正仿宋_GBK"/>
          <w:sz w:val="32"/>
          <w:szCs w:val="32"/>
          <w:shd w:val="clear" w:color="auto" w:fill="FFFFFF"/>
          <w:lang w:eastAsia="zh-CN" w:bidi="ar"/>
        </w:rPr>
        <w:t>我单位无项目支出，未开展绩效评价。</w:t>
      </w: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lang w:bidi="ar"/>
        </w:rPr>
        <w:t>（二）</w:t>
      </w:r>
      <w:r>
        <w:rPr>
          <w:rStyle w:val="8"/>
          <w:rFonts w:hint="eastAsia" w:ascii="Times New Roman" w:hAnsi="Times New Roman" w:eastAsia="方正楷体_GBK"/>
          <w:b w:val="0"/>
          <w:bCs/>
          <w:sz w:val="32"/>
          <w:szCs w:val="32"/>
          <w:shd w:val="clear" w:color="auto" w:fill="FFFFFF"/>
          <w:lang w:eastAsia="zh-CN" w:bidi="ar"/>
        </w:rPr>
        <w:t>单位</w:t>
      </w:r>
      <w:r>
        <w:rPr>
          <w:rStyle w:val="8"/>
          <w:rFonts w:hint="default" w:ascii="Times New Roman" w:hAnsi="Times New Roman" w:eastAsia="方正楷体_GBK"/>
          <w:b w:val="0"/>
          <w:bCs/>
          <w:sz w:val="32"/>
          <w:szCs w:val="32"/>
          <w:shd w:val="clear" w:color="auto" w:fill="FFFFFF"/>
          <w:lang w:bidi="ar"/>
        </w:rPr>
        <w:t>绩效评价情况</w:t>
      </w:r>
    </w:p>
    <w:p>
      <w:pPr>
        <w:pStyle w:val="6"/>
        <w:snapToGrid w:val="0"/>
        <w:spacing w:before="0" w:beforeAutospacing="0" w:after="0" w:afterAutospacing="0" w:line="560" w:lineRule="exact"/>
        <w:ind w:firstLine="640" w:firstLineChars="200"/>
        <w:jc w:val="both"/>
        <w:rPr>
          <w:rFonts w:hint="default" w:ascii="方正仿宋_GBK" w:hAnsi="Times New Roman" w:eastAsia="方正仿宋_GBK"/>
          <w:color w:val="333333"/>
          <w:sz w:val="32"/>
          <w:szCs w:val="32"/>
          <w:shd w:val="clear" w:color="auto" w:fill="FFFFFF"/>
        </w:rPr>
      </w:pPr>
      <w:r>
        <w:rPr>
          <w:rFonts w:ascii="方正仿宋_GBK" w:hAnsi="Times New Roman" w:eastAsia="方正仿宋_GBK"/>
          <w:color w:val="333333"/>
          <w:sz w:val="32"/>
          <w:szCs w:val="32"/>
          <w:shd w:val="clear" w:color="auto" w:fill="FFFFFF"/>
        </w:rPr>
        <w:t>我</w:t>
      </w:r>
      <w:r>
        <w:rPr>
          <w:rFonts w:ascii="Times New Roman" w:hAnsi="Times New Roman" w:eastAsia="方正仿宋_GBK"/>
          <w:color w:val="333333"/>
          <w:sz w:val="32"/>
          <w:szCs w:val="32"/>
          <w:shd w:val="clear" w:color="auto" w:fill="FFFFFF"/>
          <w:lang w:bidi="ar"/>
        </w:rPr>
        <w:t>部门</w:t>
      </w:r>
      <w:r>
        <w:rPr>
          <w:rFonts w:ascii="方正仿宋_GBK" w:hAnsi="Times New Roman" w:eastAsia="方正仿宋_GBK"/>
          <w:color w:val="333333"/>
          <w:sz w:val="32"/>
          <w:szCs w:val="32"/>
          <w:shd w:val="clear" w:color="auto" w:fill="FFFFFF"/>
        </w:rPr>
        <w:t>未组织开展绩效评价。</w:t>
      </w: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lang w:bidi="ar"/>
        </w:rPr>
        <w:t>（三）财政绩效评价情况</w:t>
      </w:r>
    </w:p>
    <w:p>
      <w:pPr>
        <w:pStyle w:val="6"/>
        <w:snapToGrid w:val="0"/>
        <w:spacing w:before="0" w:beforeAutospacing="0" w:after="0" w:afterAutospacing="0" w:line="560" w:lineRule="exact"/>
        <w:ind w:firstLine="640" w:firstLineChars="200"/>
        <w:jc w:val="both"/>
        <w:rPr>
          <w:rFonts w:hint="default" w:ascii="方正仿宋_GBK" w:hAnsi="Times New Roman" w:eastAsia="方正仿宋_GBK"/>
          <w:color w:val="333333"/>
          <w:sz w:val="32"/>
          <w:szCs w:val="32"/>
          <w:shd w:val="clear" w:color="auto" w:fill="FFFFFF"/>
        </w:rPr>
      </w:pPr>
      <w:r>
        <w:rPr>
          <w:rFonts w:ascii="方正仿宋_GBK" w:hAnsi="Times New Roman" w:eastAsia="方正仿宋_GBK"/>
          <w:color w:val="333333"/>
          <w:sz w:val="32"/>
          <w:szCs w:val="32"/>
          <w:shd w:val="clear" w:color="auto" w:fill="FFFFFF"/>
        </w:rPr>
        <w:t>县财政局未委托第三方对我</w:t>
      </w:r>
      <w:r>
        <w:rPr>
          <w:rFonts w:ascii="Times New Roman" w:hAnsi="Times New Roman" w:eastAsia="方正仿宋_GBK"/>
          <w:color w:val="333333"/>
          <w:sz w:val="32"/>
          <w:szCs w:val="32"/>
          <w:shd w:val="clear" w:color="auto" w:fill="FFFFFF"/>
          <w:lang w:bidi="ar"/>
        </w:rPr>
        <w:t>部门</w:t>
      </w:r>
      <w:r>
        <w:rPr>
          <w:rFonts w:ascii="方正仿宋_GBK" w:hAnsi="Times New Roman" w:eastAsia="方正仿宋_GBK"/>
          <w:color w:val="333333"/>
          <w:sz w:val="32"/>
          <w:szCs w:val="32"/>
          <w:shd w:val="clear" w:color="auto" w:fill="FFFFFF"/>
        </w:rPr>
        <w:t>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方正黑体_GBK" w:hAnsi="Times New Roman" w:eastAsia="方正黑体_GBK"/>
          <w:b/>
          <w:sz w:val="32"/>
          <w:szCs w:val="32"/>
        </w:rPr>
      </w:pPr>
      <w:r>
        <w:rPr>
          <w:rStyle w:val="8"/>
          <w:rFonts w:hint="default" w:ascii="Times New Roman" w:hAnsi="Times New Roman" w:eastAsia="方正仿宋_GBK"/>
          <w:sz w:val="32"/>
          <w:szCs w:val="32"/>
          <w:shd w:val="clear" w:color="auto" w:fill="FFFFFF"/>
        </w:rPr>
        <w:t xml:space="preserve">  </w:t>
      </w:r>
      <w:r>
        <w:rPr>
          <w:rStyle w:val="8"/>
          <w:rFonts w:ascii="方正黑体_GBK" w:hAnsi="Times New Roman" w:eastAsia="方正黑体_GBK"/>
          <w:b w:val="0"/>
          <w:sz w:val="32"/>
          <w:szCs w:val="32"/>
          <w:shd w:val="clear" w:color="auto" w:fill="FFFFFF"/>
        </w:rPr>
        <w:t>六、专业名词解释</w:t>
      </w:r>
      <w:bookmarkStart w:id="0" w:name="_GoBack"/>
      <w:bookmarkEnd w:id="0"/>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Fonts w:ascii="方正仿宋_GBK" w:hAnsi="Times New Roman" w:eastAsia="方正仿宋_GBK"/>
          <w:b/>
          <w:bCs/>
          <w:sz w:val="32"/>
          <w:szCs w:val="32"/>
          <w:shd w:val="clear" w:color="auto" w:fill="FFFFFF"/>
        </w:rPr>
        <w:t>（一）财政拨款收入：</w:t>
      </w:r>
      <w:r>
        <w:rPr>
          <w:rFonts w:ascii="方正仿宋_GBK" w:hAnsi="Times New Roman" w:eastAsia="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（二）事业收入</w:t>
      </w:r>
      <w:r>
        <w:rPr>
          <w:rFonts w:ascii="方正仿宋_GBK"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（三）经营收入</w:t>
      </w:r>
      <w:r>
        <w:rPr>
          <w:rFonts w:ascii="方正仿宋_GBK" w:hAnsi="Times New Roman" w:eastAsia="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（四）其他收入</w:t>
      </w:r>
      <w:r>
        <w:rPr>
          <w:rFonts w:ascii="方正仿宋_GBK"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（五）使用非财政拨款结余</w:t>
      </w:r>
      <w:r>
        <w:rPr>
          <w:rFonts w:ascii="方正仿宋_GBK"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（六）年初结转和结余</w:t>
      </w:r>
      <w:r>
        <w:rPr>
          <w:rFonts w:ascii="方正仿宋_GBK" w:hAnsi="Times New Roman" w:eastAsia="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（七）结余分配</w:t>
      </w:r>
      <w:r>
        <w:rPr>
          <w:rFonts w:ascii="方正仿宋_GBK" w:hAnsi="Times New Roman" w:eastAsia="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（八）年末结转和结余</w:t>
      </w:r>
      <w:r>
        <w:rPr>
          <w:rFonts w:ascii="方正仿宋_GBK" w:hAnsi="Times New Roman" w:eastAsia="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（九）基本支出</w:t>
      </w:r>
      <w:r>
        <w:rPr>
          <w:rFonts w:ascii="方正仿宋_GBK"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（十）项目支出</w:t>
      </w:r>
      <w:r>
        <w:rPr>
          <w:rFonts w:ascii="方正仿宋_GBK" w:hAnsi="Times New Roman" w:eastAsia="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（十一）经营支出</w:t>
      </w:r>
      <w:r>
        <w:rPr>
          <w:rFonts w:ascii="方正仿宋_GBK" w:hAnsi="Times New Roman" w:eastAsia="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（十二）“三公”经费</w:t>
      </w:r>
      <w:r>
        <w:rPr>
          <w:rFonts w:ascii="方正仿宋_GBK"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（十三）机关运行经费</w:t>
      </w:r>
      <w:r>
        <w:rPr>
          <w:rFonts w:ascii="方正仿宋_GBK"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（十四）工资福利支出（支出经济分类科目类级）</w:t>
      </w:r>
      <w:r>
        <w:rPr>
          <w:rFonts w:ascii="方正仿宋_GBK"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（十五）商品和服务支出（支出经济分类科目类级）</w:t>
      </w:r>
      <w:r>
        <w:rPr>
          <w:rFonts w:ascii="方正仿宋_GBK" w:hAnsi="Times New Roman" w:eastAsia="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（十六）对个人和家庭的补助（支出经济分类科目类级）</w:t>
      </w:r>
      <w:r>
        <w:rPr>
          <w:rFonts w:ascii="方正仿宋_GBK" w:hAnsi="Times New Roman" w:eastAsia="方正仿宋_GBK"/>
          <w:sz w:val="32"/>
          <w:szCs w:val="32"/>
          <w:shd w:val="clear" w:color="auto" w:fill="FFFFFF"/>
        </w:rPr>
        <w:t>：反映用于对个人和家庭的补助支出。</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（十七）其他资本性支出（支出经济分类科目类级）</w:t>
      </w:r>
      <w:r>
        <w:rPr>
          <w:rFonts w:ascii="方正仿宋_GBK"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60" w:lineRule="exact"/>
        <w:ind w:firstLine="200"/>
        <w:jc w:val="both"/>
        <w:rPr>
          <w:rStyle w:val="8"/>
          <w:rFonts w:hint="default" w:ascii="方正黑体_GBK" w:hAnsi="Times New Roman" w:eastAsia="方正黑体_GBK"/>
          <w:b w:val="0"/>
          <w:sz w:val="32"/>
          <w:szCs w:val="32"/>
          <w:shd w:val="clear" w:color="auto" w:fill="FFFFFF"/>
        </w:rPr>
      </w:pPr>
      <w:r>
        <w:rPr>
          <w:rStyle w:val="8"/>
          <w:rFonts w:hint="default" w:ascii="Times New Roman" w:hAnsi="Times New Roman" w:eastAsia="方正仿宋_GBK"/>
          <w:sz w:val="32"/>
          <w:szCs w:val="32"/>
          <w:shd w:val="clear" w:color="auto" w:fill="FFFFFF"/>
        </w:rPr>
        <w:t xml:space="preserve">  </w:t>
      </w:r>
      <w:r>
        <w:rPr>
          <w:rStyle w:val="8"/>
          <w:rFonts w:ascii="方正黑体_GBK" w:hAnsi="Times New Roman" w:eastAsia="方正黑体_GBK"/>
          <w:b w:val="0"/>
          <w:sz w:val="32"/>
          <w:szCs w:val="32"/>
          <w:shd w:val="clear" w:color="auto" w:fill="FFFFFF"/>
        </w:rPr>
        <w:t>七、决算公开联系方式及信息反馈渠道</w:t>
      </w:r>
    </w:p>
    <w:p>
      <w:pPr>
        <w:pStyle w:val="6"/>
        <w:snapToGrid w:val="0"/>
        <w:spacing w:before="0" w:beforeAutospacing="0" w:after="0" w:afterAutospacing="0" w:line="560" w:lineRule="exact"/>
        <w:ind w:firstLine="640" w:firstLineChars="200"/>
        <w:jc w:val="both"/>
        <w:rPr>
          <w:rStyle w:val="8"/>
          <w:rFonts w:hint="default" w:ascii="Times New Roman" w:hAnsi="Times New Roman" w:eastAsia="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sz w:val="32"/>
          <w:szCs w:val="32"/>
          <w:shd w:val="clear" w:color="auto" w:fill="FFFFFF"/>
        </w:rPr>
        <w:t>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sz w:val="32"/>
          <w:szCs w:val="32"/>
          <w:shd w:val="clear" w:color="auto" w:fill="FFFFFF"/>
        </w:rPr>
        <w:t>决算公开信息反馈和联系方式：</w:t>
      </w:r>
      <w:r>
        <w:rPr>
          <w:rFonts w:ascii="Times New Roman" w:hAnsi="Times New Roman" w:eastAsia="方正仿宋_GBK"/>
          <w:sz w:val="32"/>
          <w:szCs w:val="32"/>
          <w:shd w:val="clear" w:color="auto" w:fill="FFFFFF"/>
        </w:rPr>
        <w:t>联系人：程福云</w:t>
      </w:r>
      <w:r>
        <w:rPr>
          <w:rFonts w:hint="default" w:ascii="Times New Roman" w:hAnsi="Times New Roman" w:eastAsia="方正仿宋_GBK"/>
          <w:sz w:val="32"/>
          <w:szCs w:val="32"/>
          <w:shd w:val="clear" w:color="auto" w:fill="FFFFFF"/>
        </w:rPr>
        <w:t>办公电话023-76641035</w:t>
      </w:r>
      <w:r>
        <w:rPr>
          <w:rFonts w:ascii="Times New Roman" w:hAnsi="Times New Roman" w:eastAsia="方正仿宋_GBK"/>
          <w:sz w:val="32"/>
          <w:szCs w:val="32"/>
          <w:shd w:val="clear" w:color="auto" w:fill="FFFFFF"/>
        </w:rPr>
        <w:t xml:space="preserve">  </w:t>
      </w:r>
    </w:p>
    <w:p>
      <w:pPr>
        <w:rPr>
          <w:rFonts w:hint="default" w:ascii="Times New Roman" w:hAnsi="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2"/>
                <w:szCs w:val="22"/>
              </w:rPr>
            </w:pPr>
            <w:r>
              <w:rPr>
                <w:rFonts w:hint="default" w:ascii="Times New Roman" w:hAnsi="Times New Roman"/>
                <w:sz w:val="20"/>
                <w:szCs w:val="20"/>
              </w:rPr>
              <w:t>公开单位：</w:t>
            </w:r>
            <w:r>
              <w:rPr>
                <w:rFonts w:hint="default" w:ascii="Times New Roman" w:hAnsi="Times New Roman"/>
                <w:sz w:val="20"/>
              </w:rPr>
              <w:t>重庆市秀山土家族苗族自治县海洋乡退役军人服务站</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43.09</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38.42</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43.09</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43.09</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43.09</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43.09</w:t>
            </w:r>
            <w:r>
              <w:rPr>
                <w:rFonts w:hint="default" w:ascii="Times New Roman" w:hAnsi="Times New Roman"/>
                <w:color w:val="000000"/>
                <w:sz w:val="20"/>
              </w:rPr>
              <w:t xml:space="preserve"> </w:t>
            </w:r>
          </w:p>
        </w:tc>
      </w:tr>
    </w:tbl>
    <w:p>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sz w:val="20"/>
              </w:rPr>
              <w:t>重庆市秀山土家族苗族自治县海洋乡退役军人服务站</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43.09</w:t>
            </w:r>
            <w:r>
              <w:rPr>
                <w:rFonts w:hint="default"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43.09</w:t>
            </w:r>
            <w:r>
              <w:rPr>
                <w:rFonts w:hint="default"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38.42</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38.42</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29.85</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29.85</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ind w:left="600" w:hanging="600" w:hangingChars="300"/>
        <w:rPr>
          <w:rFonts w:hint="default" w:ascii="Times New Roman" w:hAnsi="Times New Roman"/>
          <w:sz w:val="20"/>
          <w:szCs w:val="20"/>
        </w:rPr>
      </w:pPr>
      <w:r>
        <w:rPr>
          <w:rFonts w:hint="default" w:ascii="Times New Roman" w:hAnsi="Times New Roman"/>
          <w:sz w:val="20"/>
          <w:szCs w:val="20"/>
        </w:rPr>
        <w:t>备注：1.本表反映单位本年度取得的各项收入情况。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0"/>
          <w:szCs w:val="20"/>
        </w:rPr>
      </w:pPr>
      <w:r>
        <w:rPr>
          <w:rFonts w:hint="default" w:ascii="Times New Roman" w:hAnsi="Times New Roman"/>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 xml:space="preserve">重庆市秀山土家族苗族自治县海洋乡退役军人服务站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43.09</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43.09</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38.42</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38.42</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20828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29.85</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29.85</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2082850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29.85</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29.85</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rPr>
          <w:rFonts w:hint="default" w:ascii="Times New Roman" w:hAnsi="Times New Roman"/>
          <w:sz w:val="20"/>
          <w:szCs w:val="20"/>
        </w:rPr>
      </w:pPr>
      <w:r>
        <w:rPr>
          <w:rFonts w:hint="default" w:ascii="Times New Roman" w:hAnsi="Times New Roman"/>
          <w:sz w:val="20"/>
          <w:szCs w:val="20"/>
        </w:rPr>
        <w:t>备注：1.本表反映单位本年度各项支出情况。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p>
      <w:pPr>
        <w:rPr>
          <w:rFonts w:hint="default" w:ascii="Times New Roman" w:hAnsi="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重庆市秀山土家族苗族自治县海洋乡退役军人服务站</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43.09</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38.42</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38.42</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43.09</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43.09</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43.09</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43.09</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43.09</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43.09</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重庆市秀山土家族苗族自治县海洋乡退役军人服务站</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43.09</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43.09</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38.42</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38.42</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8.58</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8.58</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4.82</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4.82</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2.51</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2.51</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20828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29.85</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29.85</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2082850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29.85</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29.85</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3.06</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3.06</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3.06</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3.06</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备注：1.本表反映单位本年度一般公共预算财政拨款支出情况。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重庆市秀山土家族苗族自治县海洋乡退役军人服务站</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30.44</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3.79</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5.36</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13.38</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0.62</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8.86</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8.26</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39.30</w:t>
            </w:r>
            <w:r>
              <w:rPr>
                <w:rFonts w:hint="default"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3.79</w:t>
            </w:r>
            <w:r>
              <w:rPr>
                <w:rFonts w:hint="default" w:ascii="Times New Roman" w:hAnsi="Times New Roman"/>
                <w:color w:val="000000"/>
                <w:sz w:val="18"/>
              </w:rPr>
              <w:t xml:space="preserve"> </w:t>
            </w:r>
          </w:p>
        </w:tc>
      </w:tr>
    </w:tbl>
    <w:p>
      <w:pPr>
        <w:spacing w:line="28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重庆市秀山土家族苗族自治县海洋乡退役军人服务站</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重庆市秀山土家族苗族自治县海洋乡退役军人服务站</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重庆市秀山土家族苗族自治县海洋乡退役军人服务站</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0.12</w:t>
            </w: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olor w:val="000000"/>
                <w:sz w:val="16"/>
                <w:szCs w:val="16"/>
              </w:rPr>
            </w:pPr>
          </w:p>
        </w:tc>
      </w:tr>
    </w:tbl>
    <w:p>
      <w:pPr>
        <w:rPr>
          <w:rFonts w:hint="default" w:ascii="Times New Roman" w:hAnsi="Times New Roman"/>
          <w:sz w:val="21"/>
          <w:szCs w:val="21"/>
        </w:rPr>
      </w:pPr>
      <w:r>
        <w:rPr>
          <w:rFonts w:hint="default" w:ascii="Times New Roman" w:hAnsi="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94892"/>
    <w:rsid w:val="000C213E"/>
    <w:rsid w:val="0014688D"/>
    <w:rsid w:val="001D3BB7"/>
    <w:rsid w:val="002B254B"/>
    <w:rsid w:val="003D0D6F"/>
    <w:rsid w:val="00466C9B"/>
    <w:rsid w:val="004D6AEC"/>
    <w:rsid w:val="0053613A"/>
    <w:rsid w:val="00550ABE"/>
    <w:rsid w:val="006D5921"/>
    <w:rsid w:val="00770383"/>
    <w:rsid w:val="007819D4"/>
    <w:rsid w:val="007B419D"/>
    <w:rsid w:val="007B7C4B"/>
    <w:rsid w:val="007D3D39"/>
    <w:rsid w:val="008429BC"/>
    <w:rsid w:val="00994AF7"/>
    <w:rsid w:val="009B67B8"/>
    <w:rsid w:val="009D2B67"/>
    <w:rsid w:val="00A566F9"/>
    <w:rsid w:val="00AF2751"/>
    <w:rsid w:val="00B03CCD"/>
    <w:rsid w:val="00BE2B89"/>
    <w:rsid w:val="00C10E9E"/>
    <w:rsid w:val="00C20C3E"/>
    <w:rsid w:val="00DD223E"/>
    <w:rsid w:val="00E64734"/>
    <w:rsid w:val="00EF0988"/>
    <w:rsid w:val="00F51301"/>
    <w:rsid w:val="00F73F90"/>
    <w:rsid w:val="00FD576B"/>
    <w:rsid w:val="01474EBF"/>
    <w:rsid w:val="01F3521E"/>
    <w:rsid w:val="03B87EA0"/>
    <w:rsid w:val="03E3214F"/>
    <w:rsid w:val="044C50BA"/>
    <w:rsid w:val="05BC6D49"/>
    <w:rsid w:val="05E65BC1"/>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053BCD"/>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1844</Words>
  <Characters>10516</Characters>
  <Lines>87</Lines>
  <Paragraphs>24</Paragraphs>
  <TotalTime>329</TotalTime>
  <ScaleCrop>false</ScaleCrop>
  <LinksUpToDate>false</LinksUpToDate>
  <CharactersWithSpaces>12336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2024-09-28T06:56:20Z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