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重庆市秀山土家族苗族自治县</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龙凤坝镇财政办公室2023年度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决算公开说明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一、单位基本情况</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（一）职能职责</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（二）机构设置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b/>
          <w:bCs/>
          <w:kern w:val="2"/>
          <w:sz w:val="32"/>
          <w:szCs w:val="22"/>
          <w:vertAlign w:val="baseline"/>
          <w:lang w:val="en-US" w:eastAsia="zh-CN" w:bidi="ar-SA"/>
        </w:rPr>
        <w:t>财政办公室。</w:t>
      </w:r>
      <w:r>
        <w:rPr>
          <w:rFonts w:hint="eastAsia" w:ascii="Times New Roman" w:hAnsi="Times New Roman" w:eastAsia="方正仿宋_GBK" w:cs="Times New Roman"/>
          <w:kern w:val="2"/>
          <w:sz w:val="32"/>
          <w:szCs w:val="22"/>
          <w:vertAlign w:val="baseline"/>
          <w:lang w:val="en-US" w:eastAsia="zh-CN" w:bidi="ar-SA"/>
        </w:rPr>
        <w:t>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二、单位决算情况说明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（一）收入支出决算总体情况说明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1.总体情况。</w:t>
      </w:r>
      <w:r>
        <w:rPr>
          <w:rFonts w:hint="default" w:ascii="Times New Roman" w:hAnsi="Times New Roman" w:eastAsia="方正仿宋_GBK" w:cs="Times New Roman"/>
          <w:kern w:val="2"/>
          <w:sz w:val="32"/>
          <w:szCs w:val="22"/>
          <w:vertAlign w:val="baseline"/>
          <w:lang w:val="en-US" w:eastAsia="zh-CN" w:bidi="ar-SA"/>
        </w:rPr>
        <w:t>2023年度收入总计59.67万元，支出总计59.67万元。收支较上年决算数增加59.67万元，增长100.00%，主要原因是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2.收入情况。</w:t>
      </w:r>
      <w:r>
        <w:rPr>
          <w:rFonts w:hint="default" w:ascii="Times New Roman" w:hAnsi="Times New Roman" w:eastAsia="方正仿宋_GBK" w:cs="Times New Roman"/>
          <w:kern w:val="2"/>
          <w:sz w:val="32"/>
          <w:szCs w:val="22"/>
          <w:vertAlign w:val="baseline"/>
          <w:lang w:val="en-US" w:eastAsia="zh-CN" w:bidi="ar-SA"/>
        </w:rPr>
        <w:t>2023年度收入合计59.67万元，较上年决算数增加59.67万元，增长100.00%，主要原因是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。其中：财政拨款收入59.67万元，占100.00%；事业收入0.00万元，占0.00%；经营收入0.00万元，占0.00%；其他收入0.00万元，占0.00%。此外，使用非财政拨款结余和专用结余0.00万元，年初结转和结余0.00万元。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3.支出情况。</w:t>
      </w:r>
      <w:r>
        <w:rPr>
          <w:rFonts w:hint="default" w:ascii="Times New Roman" w:hAnsi="Times New Roman" w:eastAsia="方正仿宋_GBK" w:cs="Times New Roman"/>
          <w:kern w:val="2"/>
          <w:sz w:val="32"/>
          <w:szCs w:val="22"/>
          <w:vertAlign w:val="baseline"/>
          <w:lang w:val="en-US" w:eastAsia="zh-CN" w:bidi="ar-SA"/>
        </w:rPr>
        <w:t>2023年度支出合计59.67万元，较上年决算数增加59.67万元，增长100.00%，主要原因是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。其中：基本支出59.67万元，占100.00%；项目支出0.00万元，占0.00%；经营支出0.00万元，占0.00%。此外，结余分配0.00万元。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4.结转结余情况。</w:t>
      </w:r>
      <w:r>
        <w:rPr>
          <w:rFonts w:hint="default" w:ascii="Times New Roman" w:hAnsi="Times New Roman" w:eastAsia="方正仿宋_GBK" w:cs="Times New Roman"/>
          <w:kern w:val="2"/>
          <w:sz w:val="32"/>
          <w:szCs w:val="22"/>
          <w:vertAlign w:val="baseline"/>
          <w:lang w:val="en-US" w:eastAsia="zh-CN" w:bidi="ar-SA"/>
        </w:rPr>
        <w:t>2023年度年末结转和结余0.00万元，较上年决算数无增减，主要原因是</w:t>
      </w:r>
      <w:r>
        <w:rPr>
          <w:rFonts w:hint="eastAsia" w:ascii="Times New Roman" w:hAnsi="Times New Roman" w:eastAsia="方正仿宋_GBK" w:cs="Times New Roman"/>
          <w:kern w:val="2"/>
          <w:sz w:val="32"/>
          <w:szCs w:val="22"/>
          <w:vertAlign w:val="baseline"/>
          <w:lang w:val="en-US" w:eastAsia="zh-CN" w:bidi="ar-SA"/>
        </w:rPr>
        <w:t>上年度实行预算一体化后执行了预算指标零结转的政策，故较上年决算数无增减</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（二）财政拨款收入支出决算总体情况说明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2023年度财政拨款收、支总计59.67万元。与2022年相比，财政拨款收、支总计各增加59.67万元，增长100.00%。主要原因是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（三）一般公共预算财政拨款收入支出决算情况说明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1.收入情况。</w:t>
      </w:r>
      <w:r>
        <w:rPr>
          <w:rFonts w:hint="default" w:ascii="Times New Roman" w:hAnsi="Times New Roman" w:eastAsia="方正仿宋_GBK" w:cs="Times New Roman"/>
          <w:kern w:val="2"/>
          <w:sz w:val="32"/>
          <w:szCs w:val="22"/>
          <w:vertAlign w:val="baseline"/>
          <w:lang w:val="en-US" w:eastAsia="zh-CN" w:bidi="ar-SA"/>
        </w:rPr>
        <w:t>2023年度一般公共预算财政拨款收入59.67万元，较上年决算数增加59.67万元，增长100.00%。主要原因是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。较年初预算数减少3.21万元，下降5.10%。主要原因是</w:t>
      </w:r>
      <w:r>
        <w:rPr>
          <w:rFonts w:hint="eastAsia" w:ascii="Times New Roman" w:hAnsi="Times New Roman" w:eastAsia="方正仿宋_GBK" w:cs="Times New Roman"/>
          <w:kern w:val="2"/>
          <w:sz w:val="32"/>
          <w:szCs w:val="22"/>
          <w:vertAlign w:val="baseline"/>
          <w:lang w:val="en-US" w:eastAsia="zh-CN" w:bidi="ar-SA"/>
        </w:rPr>
        <w:t>参考线内超额绩效（年终考核）、职业年金等清算核减，导致下降5.10%</w:t>
      </w:r>
      <w:r>
        <w:rPr>
          <w:rFonts w:hint="default" w:ascii="Times New Roman" w:hAnsi="Times New Roman" w:eastAsia="方正仿宋_GBK" w:cs="Times New Roman"/>
          <w:kern w:val="2"/>
          <w:sz w:val="32"/>
          <w:szCs w:val="22"/>
          <w:vertAlign w:val="baseline"/>
          <w:lang w:val="en-US" w:eastAsia="zh-CN" w:bidi="ar-SA"/>
        </w:rPr>
        <w:t>。此外，年初财政拨款结转和结余0.00万元。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2.支出情况。</w:t>
      </w:r>
      <w:r>
        <w:rPr>
          <w:rFonts w:hint="default" w:ascii="Times New Roman" w:hAnsi="Times New Roman" w:eastAsia="方正仿宋_GBK" w:cs="Times New Roman"/>
          <w:kern w:val="2"/>
          <w:sz w:val="32"/>
          <w:szCs w:val="22"/>
          <w:vertAlign w:val="baseline"/>
          <w:lang w:val="en-US" w:eastAsia="zh-CN" w:bidi="ar-SA"/>
        </w:rPr>
        <w:t>2023年度一般公共预算财政拨款支出59.67万元，较上年决算数增加59.67万元，增长100.00%。主要原因是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。较年初预算数减少3.91万元，下降6.15%。主要原因是</w:t>
      </w:r>
      <w:r>
        <w:rPr>
          <w:rFonts w:hint="eastAsia" w:ascii="Times New Roman" w:hAnsi="Times New Roman" w:eastAsia="方正仿宋_GBK" w:cs="Times New Roman"/>
          <w:kern w:val="2"/>
          <w:sz w:val="32"/>
          <w:szCs w:val="22"/>
          <w:vertAlign w:val="baseline"/>
          <w:lang w:val="en-US" w:eastAsia="zh-CN" w:bidi="ar-SA"/>
        </w:rPr>
        <w:t>参考线内超额绩效（年终考核）、职业年金等清算核减，</w:t>
      </w:r>
      <w:r>
        <w:rPr>
          <w:rFonts w:hint="default" w:ascii="Times New Roman" w:hAnsi="Times New Roman" w:eastAsia="方正仿宋_GBK" w:cs="Times New Roman"/>
          <w:kern w:val="2"/>
          <w:sz w:val="32"/>
          <w:szCs w:val="22"/>
          <w:vertAlign w:val="baseline"/>
          <w:lang w:val="en-US" w:eastAsia="zh-CN" w:bidi="ar-SA"/>
        </w:rPr>
        <w:t>人员经费实际支出未达到年初预算数。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3.结转结余情况。</w:t>
      </w:r>
      <w:r>
        <w:rPr>
          <w:rFonts w:hint="default" w:ascii="Times New Roman" w:hAnsi="Times New Roman" w:eastAsia="方正仿宋_GBK" w:cs="Times New Roman"/>
          <w:kern w:val="2"/>
          <w:sz w:val="32"/>
          <w:szCs w:val="22"/>
          <w:vertAlign w:val="baseline"/>
          <w:lang w:val="en-US" w:eastAsia="zh-CN" w:bidi="ar-SA"/>
        </w:rPr>
        <w:t>2023年度年末一般公共预算财政拨款结转和结余0.00万元，较上年决算数无增减，主要原因是</w:t>
      </w:r>
      <w:r>
        <w:rPr>
          <w:rFonts w:hint="eastAsia" w:ascii="Times New Roman" w:hAnsi="Times New Roman" w:eastAsia="方正仿宋_GBK" w:cs="Times New Roman"/>
          <w:kern w:val="2"/>
          <w:sz w:val="32"/>
          <w:szCs w:val="22"/>
          <w:vertAlign w:val="baseline"/>
          <w:lang w:val="en-US" w:eastAsia="zh-CN" w:bidi="ar-SA"/>
        </w:rPr>
        <w:t>上年度实行预算一体化后执行了预算指标零结转的政策，故较上年决算数无增减</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4.比较情况。</w:t>
      </w:r>
      <w:r>
        <w:rPr>
          <w:rFonts w:hint="default" w:ascii="Times New Roman" w:hAnsi="Times New Roman" w:eastAsia="方正仿宋_GBK" w:cs="Times New Roman"/>
          <w:kern w:val="2"/>
          <w:sz w:val="32"/>
          <w:szCs w:val="22"/>
          <w:vertAlign w:val="baseline"/>
          <w:lang w:val="en-US" w:eastAsia="zh-CN" w:bidi="ar-SA"/>
        </w:rPr>
        <w:t>本单位2023年度一般公共预算财政拨款支出主要用于以下几个方面：</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（1）一般公共服务支出44.63万元，占74.79%，较年初预算数减少3.87万元，下降7.98%，主要原因是</w:t>
      </w:r>
      <w:r>
        <w:rPr>
          <w:rFonts w:hint="eastAsia" w:ascii="Times New Roman" w:hAnsi="Times New Roman" w:eastAsia="方正仿宋_GBK" w:cs="Times New Roman"/>
          <w:kern w:val="2"/>
          <w:sz w:val="32"/>
          <w:szCs w:val="22"/>
          <w:vertAlign w:val="baseline"/>
          <w:lang w:val="en-US" w:eastAsia="zh-CN" w:bidi="ar-SA"/>
        </w:rPr>
        <w:t>参考线内超额绩效（年终考核）、养老保险、职业年金等清算核减</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w:t>
      </w:r>
      <w:r>
        <w:rPr>
          <w:rFonts w:hint="eastAsia" w:ascii="Times New Roman" w:hAnsi="Times New Roman" w:eastAsia="方正仿宋_GBK" w:cs="Times New Roman"/>
          <w:kern w:val="2"/>
          <w:sz w:val="32"/>
          <w:szCs w:val="22"/>
          <w:vertAlign w:val="baseline"/>
          <w:lang w:val="en-US" w:eastAsia="zh-CN" w:bidi="ar-SA"/>
        </w:rPr>
        <w:t>2</w:t>
      </w:r>
      <w:r>
        <w:rPr>
          <w:rFonts w:hint="default" w:ascii="Times New Roman" w:hAnsi="Times New Roman" w:eastAsia="方正仿宋_GBK" w:cs="Times New Roman"/>
          <w:kern w:val="2"/>
          <w:sz w:val="32"/>
          <w:szCs w:val="22"/>
          <w:vertAlign w:val="baseline"/>
          <w:lang w:val="en-US" w:eastAsia="zh-CN" w:bidi="ar-SA"/>
        </w:rPr>
        <w:t>）社会保障与就业支出8.17万元，占13.69%，较年初预算数减少0.04万元，下降0.49%，主要原因是</w:t>
      </w:r>
      <w:r>
        <w:rPr>
          <w:rFonts w:hint="eastAsia" w:ascii="Times New Roman" w:hAnsi="Times New Roman" w:eastAsia="方正仿宋_GBK" w:cs="Times New Roman"/>
          <w:kern w:val="2"/>
          <w:sz w:val="32"/>
          <w:szCs w:val="22"/>
          <w:vertAlign w:val="baseline"/>
          <w:lang w:val="en-US" w:eastAsia="zh-CN" w:bidi="ar-SA"/>
        </w:rPr>
        <w:t>参考线内超额绩效（年终考核）、养老保险、职业年金等清算核减</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w:t>
      </w:r>
      <w:r>
        <w:rPr>
          <w:rFonts w:hint="eastAsia" w:ascii="Times New Roman" w:hAnsi="Times New Roman" w:eastAsia="方正仿宋_GBK" w:cs="Times New Roman"/>
          <w:kern w:val="2"/>
          <w:sz w:val="32"/>
          <w:szCs w:val="22"/>
          <w:vertAlign w:val="baseline"/>
          <w:lang w:val="en-US" w:eastAsia="zh-CN" w:bidi="ar-SA"/>
        </w:rPr>
        <w:t>3</w:t>
      </w:r>
      <w:r>
        <w:rPr>
          <w:rFonts w:hint="default" w:ascii="Times New Roman" w:hAnsi="Times New Roman" w:eastAsia="方正仿宋_GBK" w:cs="Times New Roman"/>
          <w:kern w:val="2"/>
          <w:sz w:val="32"/>
          <w:szCs w:val="22"/>
          <w:vertAlign w:val="baseline"/>
          <w:lang w:val="en-US" w:eastAsia="zh-CN" w:bidi="ar-SA"/>
        </w:rPr>
        <w:t>）卫生健康支出2.29万元，占3.84%，较年初预算数无增减，主要原因是</w:t>
      </w:r>
      <w:r>
        <w:rPr>
          <w:rFonts w:hint="eastAsia" w:ascii="Times New Roman" w:hAnsi="Times New Roman" w:eastAsia="方正仿宋_GBK" w:cs="Times New Roman"/>
          <w:kern w:val="2"/>
          <w:sz w:val="32"/>
          <w:szCs w:val="22"/>
          <w:vertAlign w:val="baseline"/>
          <w:lang w:val="en-US" w:eastAsia="zh-CN" w:bidi="ar-SA"/>
        </w:rPr>
        <w:t>我单位严格按照年初预算执行</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w:t>
      </w:r>
      <w:r>
        <w:rPr>
          <w:rFonts w:hint="eastAsia" w:ascii="Times New Roman" w:hAnsi="Times New Roman" w:eastAsia="方正仿宋_GBK" w:cs="Times New Roman"/>
          <w:kern w:val="2"/>
          <w:sz w:val="32"/>
          <w:szCs w:val="22"/>
          <w:vertAlign w:val="baseline"/>
          <w:lang w:val="en-US" w:eastAsia="zh-CN" w:bidi="ar-SA"/>
        </w:rPr>
        <w:t>4</w:t>
      </w:r>
      <w:r>
        <w:rPr>
          <w:rFonts w:hint="default" w:ascii="Times New Roman" w:hAnsi="Times New Roman" w:eastAsia="方正仿宋_GBK" w:cs="Times New Roman"/>
          <w:kern w:val="2"/>
          <w:sz w:val="32"/>
          <w:szCs w:val="22"/>
          <w:vertAlign w:val="baseline"/>
          <w:lang w:val="en-US" w:eastAsia="zh-CN" w:bidi="ar-SA"/>
        </w:rPr>
        <w:t>）住房保障支出4.58万元，占7.68%，较年初预算数无增减，主要原因是</w:t>
      </w:r>
      <w:r>
        <w:rPr>
          <w:rFonts w:hint="eastAsia" w:ascii="Times New Roman" w:hAnsi="Times New Roman" w:eastAsia="方正仿宋_GBK" w:cs="Times New Roman"/>
          <w:kern w:val="2"/>
          <w:sz w:val="32"/>
          <w:szCs w:val="22"/>
          <w:vertAlign w:val="baseline"/>
          <w:lang w:val="en-US" w:eastAsia="zh-CN" w:bidi="ar-SA"/>
        </w:rPr>
        <w:t>我单位严格按照年初预算执行</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（四）一般公共预算财政拨款基本支出决算情况说明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2023年度一般公共财政拨款基本支出59.67万元。其中：人员经费55.75万元，较上年决算数增加55.75万元，增长100.00%，主要原因是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。人员经费用途主要包括</w:t>
      </w:r>
      <w:r>
        <w:rPr>
          <w:rFonts w:hint="eastAsia" w:ascii="Times New Roman" w:hAnsi="Times New Roman" w:eastAsia="方正仿宋_GBK" w:cs="Times New Roman"/>
          <w:kern w:val="2"/>
          <w:sz w:val="32"/>
          <w:szCs w:val="22"/>
          <w:vertAlign w:val="baseline"/>
          <w:lang w:val="en-US" w:eastAsia="zh-CN" w:bidi="ar-SA"/>
        </w:rPr>
        <w:t>基本工资、津贴补贴、社会保障缴费等。</w:t>
      </w:r>
      <w:r>
        <w:rPr>
          <w:rFonts w:hint="default" w:ascii="Times New Roman" w:hAnsi="Times New Roman" w:eastAsia="方正仿宋_GBK" w:cs="Times New Roman"/>
          <w:kern w:val="2"/>
          <w:sz w:val="32"/>
          <w:szCs w:val="22"/>
          <w:vertAlign w:val="baseline"/>
          <w:lang w:val="en-US" w:eastAsia="zh-CN" w:bidi="ar-SA"/>
        </w:rPr>
        <w:t>公用经费3.93万元，较上年决算数增加3.93万元，增长100.00%，主要原因是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。公用经费用途主要包括</w:t>
      </w:r>
      <w:r>
        <w:rPr>
          <w:rFonts w:hint="eastAsia" w:ascii="Times New Roman" w:hAnsi="Times New Roman" w:eastAsia="方正仿宋_GBK" w:cs="Times New Roman"/>
          <w:kern w:val="2"/>
          <w:sz w:val="32"/>
          <w:szCs w:val="22"/>
          <w:vertAlign w:val="baseline"/>
          <w:lang w:val="en-US" w:eastAsia="zh-CN" w:bidi="ar-SA"/>
        </w:rPr>
        <w:t>办公费、印刷费、差旅费、电费、水费等</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（五）政府性基金预算收支决算情况说明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本单位2023年度无政府性基金预算财政拨款收支。</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（六）国有资本经营预算财政拨款支出决算情况说明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本单位2023年度无国有资本经营预算财政拨款支出。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三、“三公”经费情况说明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（一）“三公”经费支出总体情况说明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我单位属于二级预算单位，“三公”经费由本级统一支出。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2023年度</w:t>
      </w:r>
      <w:r>
        <w:rPr>
          <w:rFonts w:hint="eastAsia"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rPr>
        <w:t>因公出国（境）费用</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 </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公务车购置费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公务车运行维护费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公务接待费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（三）“三公”经费实物量情况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四、其他需要说明的事项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（一）财政拨款会议费和培训费情况说明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本年度会议费支出0.00万元，较上年决算数无增减，主要原因是</w:t>
      </w:r>
      <w:r>
        <w:rPr>
          <w:rFonts w:hint="eastAsia" w:ascii="Times New Roman" w:hAnsi="Times New Roman" w:eastAsia="方正仿宋_GBK" w:cs="Times New Roman"/>
          <w:kern w:val="2"/>
          <w:sz w:val="32"/>
          <w:szCs w:val="22"/>
          <w:vertAlign w:val="baseline"/>
          <w:lang w:val="en-US" w:eastAsia="zh-CN" w:bidi="ar-SA"/>
        </w:rPr>
        <w:t>我单位严格控制会议费等相关开支</w:t>
      </w:r>
      <w:r>
        <w:rPr>
          <w:rFonts w:hint="default" w:ascii="Times New Roman" w:hAnsi="Times New Roman" w:eastAsia="方正仿宋_GBK" w:cs="Times New Roman"/>
          <w:kern w:val="2"/>
          <w:sz w:val="32"/>
          <w:szCs w:val="22"/>
          <w:vertAlign w:val="baseline"/>
          <w:lang w:val="en-US" w:eastAsia="zh-CN" w:bidi="ar-SA"/>
        </w:rPr>
        <w:t>。本年度培训费支出0.05万元，较上年决算数增加0.05万元，增长100.00%，主要原因是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（二）机关运行经费情况说明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2023年度本单位机关运行经费支出3.93万元，机关运行经费主要用于开支</w:t>
      </w:r>
      <w:r>
        <w:rPr>
          <w:rFonts w:hint="eastAsia" w:ascii="Times New Roman" w:hAnsi="Times New Roman" w:eastAsia="方正仿宋_GBK" w:cs="Times New Roman"/>
          <w:kern w:val="2"/>
          <w:sz w:val="32"/>
          <w:szCs w:val="22"/>
          <w:vertAlign w:val="baseline"/>
          <w:lang w:val="en-US" w:eastAsia="zh-CN" w:bidi="ar-SA"/>
        </w:rPr>
        <w:t>机关所产生的水费、电费、生活费等</w:t>
      </w:r>
      <w:r>
        <w:rPr>
          <w:rFonts w:hint="default" w:ascii="Times New Roman" w:hAnsi="Times New Roman" w:eastAsia="方正仿宋_GBK" w:cs="Times New Roman"/>
          <w:kern w:val="2"/>
          <w:sz w:val="32"/>
          <w:szCs w:val="22"/>
          <w:vertAlign w:val="baseline"/>
          <w:lang w:val="en-US" w:eastAsia="zh-CN" w:bidi="ar-SA"/>
        </w:rPr>
        <w:t>。机关运行经费较上年支出数增加3.93万元，增长100.00%，主要原因是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（三）国有资产占用情况说明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（四）政府采购支出情况说明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2023年度我单位未发生政府采购事项，无相关经费支出。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eastAsia" w:ascii="Times New Roman" w:hAnsi="Times New Roman" w:eastAsia="方正黑体_GBK" w:cs="Times New Roman"/>
          <w:w w:val="95"/>
          <w:kern w:val="2"/>
          <w:sz w:val="32"/>
          <w:szCs w:val="32"/>
          <w:lang w:val="en-US" w:eastAsia="zh-CN"/>
        </w:rPr>
        <w:t>五、</w:t>
      </w:r>
      <w:r>
        <w:rPr>
          <w:rFonts w:hint="default" w:ascii="Times New Roman" w:hAnsi="Times New Roman" w:eastAsia="方正黑体_GBK" w:cs="Times New Roman"/>
          <w:w w:val="95"/>
          <w:kern w:val="2"/>
          <w:sz w:val="32"/>
          <w:szCs w:val="32"/>
          <w:lang w:val="en-US" w:eastAsia="zh-CN"/>
        </w:rPr>
        <w:t>预算绩效管理情况说明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（一）单位自评情况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根据预算绩效管理要求，我单位对部门整体和0个一级项目、0个二级项目开展了绩效自评，涉及财政拨款项目支出资金0万元。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（二）单位绩效评价情况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我单位未组织开展绩效评价。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（三）财政绩效评价情况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县财政局未委托第三方对我单位开展绩效评价。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六、专业名词解释</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（一）财政拨款收入：</w:t>
      </w:r>
      <w:r>
        <w:rPr>
          <w:rFonts w:hint="default" w:ascii="Times New Roman" w:hAnsi="Times New Roman" w:eastAsia="方正仿宋_GBK" w:cs="Times New Roman"/>
          <w:kern w:val="2"/>
          <w:sz w:val="32"/>
          <w:szCs w:val="22"/>
          <w:vertAlign w:val="baseline"/>
          <w:lang w:val="en-US" w:eastAsia="zh-CN" w:bidi="ar-SA"/>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（二）事业收入：</w:t>
      </w:r>
      <w:r>
        <w:rPr>
          <w:rFonts w:hint="default" w:ascii="Times New Roman" w:hAnsi="Times New Roman" w:eastAsia="方正仿宋_GBK" w:cs="Times New Roman"/>
          <w:kern w:val="2"/>
          <w:sz w:val="32"/>
          <w:szCs w:val="22"/>
          <w:vertAlign w:val="baseline"/>
          <w:lang w:val="en-US" w:eastAsia="zh-CN" w:bidi="ar-SA"/>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（三）经营收入：</w:t>
      </w:r>
      <w:r>
        <w:rPr>
          <w:rFonts w:hint="default" w:ascii="Times New Roman" w:hAnsi="Times New Roman" w:eastAsia="方正仿宋_GBK" w:cs="Times New Roman"/>
          <w:kern w:val="2"/>
          <w:sz w:val="32"/>
          <w:szCs w:val="22"/>
          <w:vertAlign w:val="baseline"/>
          <w:lang w:val="en-US" w:eastAsia="zh-CN" w:bidi="ar-SA"/>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（四）其他收入：</w:t>
      </w:r>
      <w:r>
        <w:rPr>
          <w:rFonts w:hint="default" w:ascii="Times New Roman" w:hAnsi="Times New Roman" w:eastAsia="方正仿宋_GBK" w:cs="Times New Roman"/>
          <w:kern w:val="2"/>
          <w:sz w:val="32"/>
          <w:szCs w:val="22"/>
          <w:vertAlign w:val="baseline"/>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（五）使用非财政拨款结余：</w:t>
      </w:r>
      <w:r>
        <w:rPr>
          <w:rFonts w:hint="default" w:ascii="Times New Roman" w:hAnsi="Times New Roman" w:eastAsia="方正仿宋_GBK" w:cs="Times New Roman"/>
          <w:kern w:val="2"/>
          <w:sz w:val="32"/>
          <w:szCs w:val="22"/>
          <w:vertAlign w:val="baseline"/>
          <w:lang w:val="en-US" w:eastAsia="zh-CN" w:bidi="ar-SA"/>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（六）年初结转和结余：</w:t>
      </w:r>
      <w:r>
        <w:rPr>
          <w:rFonts w:hint="default" w:ascii="Times New Roman" w:hAnsi="Times New Roman" w:eastAsia="方正仿宋_GBK" w:cs="Times New Roman"/>
          <w:kern w:val="2"/>
          <w:sz w:val="32"/>
          <w:szCs w:val="22"/>
          <w:vertAlign w:val="baseline"/>
          <w:lang w:val="en-US" w:eastAsia="zh-CN" w:bidi="ar-SA"/>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（七）结余分配：</w:t>
      </w:r>
      <w:r>
        <w:rPr>
          <w:rFonts w:hint="default" w:ascii="Times New Roman" w:hAnsi="Times New Roman" w:eastAsia="方正仿宋_GBK" w:cs="Times New Roman"/>
          <w:kern w:val="2"/>
          <w:sz w:val="32"/>
          <w:szCs w:val="22"/>
          <w:vertAlign w:val="baseline"/>
          <w:lang w:val="en-US" w:eastAsia="zh-CN" w:bidi="ar-SA"/>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（八）年末结转和结余：</w:t>
      </w:r>
      <w:r>
        <w:rPr>
          <w:rFonts w:hint="default" w:ascii="Times New Roman" w:hAnsi="Times New Roman" w:eastAsia="方正仿宋_GBK" w:cs="Times New Roman"/>
          <w:kern w:val="2"/>
          <w:sz w:val="32"/>
          <w:szCs w:val="22"/>
          <w:vertAlign w:val="baseline"/>
          <w:lang w:val="en-US" w:eastAsia="zh-CN" w:bidi="ar-SA"/>
        </w:rPr>
        <w:t>指单位结转下年的基本支出结转、项目支出结转和结余、经营结余。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（九）基本支出：</w:t>
      </w:r>
      <w:r>
        <w:rPr>
          <w:rFonts w:hint="default" w:ascii="Times New Roman" w:hAnsi="Times New Roman" w:eastAsia="方正仿宋_GBK" w:cs="Times New Roman"/>
          <w:kern w:val="2"/>
          <w:sz w:val="32"/>
          <w:szCs w:val="22"/>
          <w:vertAlign w:val="baseline"/>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（十）项目支出：</w:t>
      </w:r>
      <w:r>
        <w:rPr>
          <w:rFonts w:hint="default" w:ascii="Times New Roman" w:hAnsi="Times New Roman" w:eastAsia="方正仿宋_GBK" w:cs="Times New Roman"/>
          <w:kern w:val="2"/>
          <w:sz w:val="32"/>
          <w:szCs w:val="22"/>
          <w:vertAlign w:val="baseline"/>
          <w:lang w:val="en-US" w:eastAsia="zh-CN" w:bidi="ar-SA"/>
        </w:rPr>
        <w:t>指在基本支出之外为完成特定行政任务和事业发展目标所发生的支出。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（十一）经营支出：</w:t>
      </w:r>
      <w:r>
        <w:rPr>
          <w:rFonts w:hint="default" w:ascii="Times New Roman" w:hAnsi="Times New Roman" w:eastAsia="方正仿宋_GBK" w:cs="Times New Roman"/>
          <w:kern w:val="2"/>
          <w:sz w:val="32"/>
          <w:szCs w:val="22"/>
          <w:vertAlign w:val="baseline"/>
          <w:lang w:val="en-US" w:eastAsia="zh-CN" w:bidi="ar-SA"/>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（十二）“三公”经费：</w:t>
      </w:r>
      <w:r>
        <w:rPr>
          <w:rFonts w:hint="default" w:ascii="Times New Roman" w:hAnsi="Times New Roman" w:eastAsia="方正仿宋_GBK" w:cs="Times New Roman"/>
          <w:kern w:val="2"/>
          <w:sz w:val="32"/>
          <w:szCs w:val="22"/>
          <w:vertAlign w:val="baseline"/>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（十三）机关运行经费：</w:t>
      </w:r>
      <w:r>
        <w:rPr>
          <w:rFonts w:hint="default" w:ascii="Times New Roman" w:hAnsi="Times New Roman" w:eastAsia="方正仿宋_GBK" w:cs="Times New Roman"/>
          <w:kern w:val="2"/>
          <w:sz w:val="32"/>
          <w:szCs w:val="22"/>
          <w:vertAlign w:val="baseline"/>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（十四）工资福利支出（支出经济分类科目类级）：</w:t>
      </w:r>
      <w:r>
        <w:rPr>
          <w:rFonts w:hint="default" w:ascii="Times New Roman" w:hAnsi="Times New Roman" w:eastAsia="方正仿宋_GBK" w:cs="Times New Roman"/>
          <w:kern w:val="2"/>
          <w:sz w:val="32"/>
          <w:szCs w:val="22"/>
          <w:vertAlign w:val="baseline"/>
          <w:lang w:val="en-US" w:eastAsia="zh-CN" w:bidi="ar-SA"/>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（十五）商品和服务支出（支出经济分类科目类级）：</w:t>
      </w:r>
      <w:r>
        <w:rPr>
          <w:rFonts w:hint="default" w:ascii="Times New Roman" w:hAnsi="Times New Roman" w:eastAsia="方正仿宋_GBK" w:cs="Times New Roman"/>
          <w:kern w:val="2"/>
          <w:sz w:val="32"/>
          <w:szCs w:val="22"/>
          <w:vertAlign w:val="baseline"/>
          <w:lang w:val="en-US" w:eastAsia="zh-CN" w:bidi="ar-SA"/>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（十六）对个人和家庭的补助（支出经济分类科目类级）：反映用于对个人和家庭的补助支出。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（十七）其他资本性支出（支出经济分类科目类级）：</w:t>
      </w:r>
      <w:r>
        <w:rPr>
          <w:rFonts w:hint="default" w:ascii="Times New Roman" w:hAnsi="Times New Roman" w:eastAsia="方正仿宋_GBK" w:cs="Times New Roman"/>
          <w:kern w:val="2"/>
          <w:sz w:val="32"/>
          <w:szCs w:val="22"/>
          <w:vertAlign w:val="baseline"/>
          <w:lang w:val="en-US" w:eastAsia="zh-CN" w:bidi="ar-SA"/>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七、决算公开联系方式及信息反馈渠道</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2"/>
          <w:sz w:val="32"/>
          <w:szCs w:val="22"/>
          <w:vertAlign w:val="baseline"/>
          <w:lang w:val="en-US" w:eastAsia="zh-CN" w:bidi="ar-SA"/>
        </w:rPr>
        <w:t>本单位决算公开信息反馈和联系方式：</w:t>
      </w:r>
      <w:r>
        <w:rPr>
          <w:rFonts w:hint="eastAsia" w:ascii="Times New Roman" w:hAnsi="Times New Roman" w:eastAsia="方正仿宋_GBK" w:cs="Times New Roman"/>
          <w:kern w:val="2"/>
          <w:sz w:val="32"/>
          <w:szCs w:val="22"/>
          <w:vertAlign w:val="baseline"/>
          <w:lang w:val="en-US" w:eastAsia="zh-CN" w:bidi="ar-SA"/>
        </w:rPr>
        <w:t>龙吉  023-76865666</w:t>
      </w:r>
    </w:p>
    <w:p>
      <w:pPr>
        <w:rPr>
          <w:rFonts w:hint="default" w:cs="宋体"/>
          <w:color w:val="auto"/>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重庆市秀山土家族苗族自治县龙凤坝镇财政办公室</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59.67</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44.63</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8.17</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2.29</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4.58</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59.67</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59.67</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59.67</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59.67</w:t>
            </w:r>
          </w:p>
        </w:tc>
      </w:tr>
    </w:tbl>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59.67</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59.67</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44.63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44.63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44.63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44.63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44.63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44.63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8.17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8.17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8.17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8.17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5.43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5.43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2.74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2.74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2.29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2.29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2.29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2.29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2.29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2.29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eastAsia="宋体" w:cs="宋体"/>
                <w:color w:val="auto"/>
                <w:sz w:val="20"/>
                <w:szCs w:val="20"/>
                <w:lang w:eastAsia="zh-CN"/>
              </w:rPr>
            </w:pPr>
            <w:r>
              <w:rPr>
                <w:rFonts w:cs="宋体"/>
                <w:color w:val="auto"/>
                <w:sz w:val="20"/>
                <w:szCs w:val="20"/>
              </w:rPr>
              <w:t>公开单位：</w:t>
            </w:r>
            <w:r>
              <w:rPr>
                <w:color w:val="auto"/>
                <w:sz w:val="20"/>
                <w:u w:color="auto"/>
              </w:rPr>
              <w:t>重庆市秀山土家族苗族自治县龙凤坝镇财政办公室</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59.67</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59.67</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44.63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44.63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44.63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44.63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44.63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44.63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8.17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5.43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5.43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2.74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2.74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2.29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2.29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2.29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2.29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2.29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2.29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公开单位：</w:t>
            </w:r>
            <w:r>
              <w:rPr>
                <w:color w:val="auto"/>
                <w:sz w:val="20"/>
                <w:u w:color="auto"/>
              </w:rPr>
              <w:t>重庆市秀山土家族苗族自治县龙凤坝镇财政办公室</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59.67</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44.63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44.63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8.17</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8.17</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2.29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2.29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4.58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4.58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59.67</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59.67</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59.67</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59.67</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59.67</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59.67</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59.67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59.67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44.63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44.63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44.63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44.63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44.63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44.63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8.17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8.17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8.17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8.17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5.43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5.43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2.74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2.74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2.29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2.29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2.29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2.29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2.29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2.29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4.58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4.58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4.58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4.58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4.58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4.58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公开单位：</w:t>
            </w:r>
            <w:r>
              <w:rPr>
                <w:color w:val="auto"/>
                <w:sz w:val="20"/>
                <w:u w:color="auto"/>
              </w:rPr>
              <w:t>重庆市秀山土家族苗族自治县龙凤坝镇财政办公室</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55.75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3.93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12.90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0.34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12.60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11.28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3.37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5.43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2.74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0.94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2.29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0.07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4.58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0.48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0.05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0.14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2.46</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eastAsia" w:eastAsia="宋体" w:cs="宋体"/>
                <w:color w:val="auto"/>
                <w:sz w:val="18"/>
                <w:szCs w:val="18"/>
                <w:lang w:eastAsia="zh-CN"/>
              </w:rPr>
            </w:pPr>
            <w:r>
              <w:rPr>
                <w:rFonts w:cs="宋体"/>
                <w:color w:val="auto"/>
                <w:sz w:val="18"/>
                <w:szCs w:val="18"/>
              </w:rPr>
              <w:t>55.75</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3.93</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重庆市秀山土家族苗族自治县龙凤坝镇财政办公室</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auto"/>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重庆市秀山土家族苗族自治县龙凤坝镇财政办公室</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auto"/>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3.93</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3.93</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auto"/>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r>
              <w:rPr>
                <w:rFonts w:cs="宋体"/>
                <w:color w:val="auto"/>
                <w:sz w:val="20"/>
                <w:szCs w:val="20"/>
              </w:rPr>
              <w:t>0.05</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auto"/>
                <w:sz w:val="20"/>
                <w:szCs w:val="20"/>
              </w:rPr>
            </w:pPr>
          </w:p>
        </w:tc>
      </w:tr>
    </w:tbl>
    <w:p>
      <w:pPr>
        <w:rPr>
          <w:rFonts w:cs="宋体"/>
          <w:color w:val="auto"/>
          <w:sz w:val="21"/>
          <w:szCs w:val="21"/>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2.本套报表金额单位转换时可能存在尾数误差。</w:t>
      </w:r>
      <w:bookmarkStart w:id="0" w:name="_GoBack"/>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815CC9"/>
    <w:rsid w:val="01F3521E"/>
    <w:rsid w:val="0326361C"/>
    <w:rsid w:val="03B87EA0"/>
    <w:rsid w:val="03E3214F"/>
    <w:rsid w:val="044C50BA"/>
    <w:rsid w:val="05BC6D49"/>
    <w:rsid w:val="06194FF1"/>
    <w:rsid w:val="06A2550B"/>
    <w:rsid w:val="06F80EE2"/>
    <w:rsid w:val="07001CCA"/>
    <w:rsid w:val="075678DB"/>
    <w:rsid w:val="079D7CC7"/>
    <w:rsid w:val="07FA6109"/>
    <w:rsid w:val="08051BCA"/>
    <w:rsid w:val="086C12F4"/>
    <w:rsid w:val="08705944"/>
    <w:rsid w:val="08BA052C"/>
    <w:rsid w:val="08DB07BA"/>
    <w:rsid w:val="09121F53"/>
    <w:rsid w:val="0969353F"/>
    <w:rsid w:val="098305D0"/>
    <w:rsid w:val="0A3317EA"/>
    <w:rsid w:val="0A5C4B69"/>
    <w:rsid w:val="0A86124A"/>
    <w:rsid w:val="0AB54CC0"/>
    <w:rsid w:val="0B2A320B"/>
    <w:rsid w:val="0B9335CE"/>
    <w:rsid w:val="0BF2311A"/>
    <w:rsid w:val="0C5F356A"/>
    <w:rsid w:val="0C7927C4"/>
    <w:rsid w:val="0C9B098C"/>
    <w:rsid w:val="0D673E11"/>
    <w:rsid w:val="0DDA54E4"/>
    <w:rsid w:val="0E381045"/>
    <w:rsid w:val="0E3A5F83"/>
    <w:rsid w:val="0F836721"/>
    <w:rsid w:val="0FA25D96"/>
    <w:rsid w:val="10653B89"/>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C43BF5"/>
    <w:rsid w:val="15A02F6B"/>
    <w:rsid w:val="163A6CEE"/>
    <w:rsid w:val="16EB3C09"/>
    <w:rsid w:val="173708E3"/>
    <w:rsid w:val="17AE0108"/>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E17F2D"/>
    <w:rsid w:val="22403BD3"/>
    <w:rsid w:val="24B92327"/>
    <w:rsid w:val="24C14514"/>
    <w:rsid w:val="24C75AF3"/>
    <w:rsid w:val="2533755C"/>
    <w:rsid w:val="25791755"/>
    <w:rsid w:val="258A7AF3"/>
    <w:rsid w:val="26396DF4"/>
    <w:rsid w:val="26AA2742"/>
    <w:rsid w:val="27167136"/>
    <w:rsid w:val="271B442C"/>
    <w:rsid w:val="271C4683"/>
    <w:rsid w:val="27B23302"/>
    <w:rsid w:val="28471FA0"/>
    <w:rsid w:val="29310A5F"/>
    <w:rsid w:val="29C37A35"/>
    <w:rsid w:val="2A076083"/>
    <w:rsid w:val="2A73162E"/>
    <w:rsid w:val="2B167953"/>
    <w:rsid w:val="2B200583"/>
    <w:rsid w:val="2B8209DE"/>
    <w:rsid w:val="2C636760"/>
    <w:rsid w:val="2C6762A3"/>
    <w:rsid w:val="2CA923E2"/>
    <w:rsid w:val="2CBF48C9"/>
    <w:rsid w:val="2D6607E7"/>
    <w:rsid w:val="2FCA4B37"/>
    <w:rsid w:val="2FE029D7"/>
    <w:rsid w:val="2FEE2A46"/>
    <w:rsid w:val="2FF06E00"/>
    <w:rsid w:val="30586FEC"/>
    <w:rsid w:val="30767CFF"/>
    <w:rsid w:val="314F0B3C"/>
    <w:rsid w:val="315F0B22"/>
    <w:rsid w:val="31D84415"/>
    <w:rsid w:val="32285F6F"/>
    <w:rsid w:val="3231404A"/>
    <w:rsid w:val="32770556"/>
    <w:rsid w:val="32852161"/>
    <w:rsid w:val="329C0913"/>
    <w:rsid w:val="32AA0460"/>
    <w:rsid w:val="3337290D"/>
    <w:rsid w:val="33E31118"/>
    <w:rsid w:val="33EF7674"/>
    <w:rsid w:val="342D7BC6"/>
    <w:rsid w:val="346C7595"/>
    <w:rsid w:val="352930DB"/>
    <w:rsid w:val="354B3B4E"/>
    <w:rsid w:val="35573069"/>
    <w:rsid w:val="355F6038"/>
    <w:rsid w:val="358C217E"/>
    <w:rsid w:val="36BA6C1D"/>
    <w:rsid w:val="36C9128A"/>
    <w:rsid w:val="37841E99"/>
    <w:rsid w:val="37BF1123"/>
    <w:rsid w:val="383C3F15"/>
    <w:rsid w:val="38BE4696"/>
    <w:rsid w:val="38C1155C"/>
    <w:rsid w:val="3939115E"/>
    <w:rsid w:val="393F0290"/>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DF0112C"/>
    <w:rsid w:val="3E1642AE"/>
    <w:rsid w:val="3E1D0952"/>
    <w:rsid w:val="3E42660A"/>
    <w:rsid w:val="3E7555B1"/>
    <w:rsid w:val="3E787ED9"/>
    <w:rsid w:val="3F032E93"/>
    <w:rsid w:val="3F0527E5"/>
    <w:rsid w:val="3F694D83"/>
    <w:rsid w:val="3F885DCC"/>
    <w:rsid w:val="3FCD675E"/>
    <w:rsid w:val="4004000C"/>
    <w:rsid w:val="402F1E79"/>
    <w:rsid w:val="40BD5482"/>
    <w:rsid w:val="411B6CE5"/>
    <w:rsid w:val="412070D7"/>
    <w:rsid w:val="41314E40"/>
    <w:rsid w:val="41E0734B"/>
    <w:rsid w:val="426C1EA8"/>
    <w:rsid w:val="42736402"/>
    <w:rsid w:val="42E86A87"/>
    <w:rsid w:val="43307B09"/>
    <w:rsid w:val="439A3EB9"/>
    <w:rsid w:val="43BB152F"/>
    <w:rsid w:val="44C37687"/>
    <w:rsid w:val="450929A6"/>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DD412E"/>
    <w:rsid w:val="4F0C6BA3"/>
    <w:rsid w:val="4F186D58"/>
    <w:rsid w:val="4F4D38AF"/>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EF64F3"/>
    <w:rsid w:val="5C263CE4"/>
    <w:rsid w:val="5C5D2777"/>
    <w:rsid w:val="5CF66BF3"/>
    <w:rsid w:val="5D290C69"/>
    <w:rsid w:val="5F2D4A41"/>
    <w:rsid w:val="60C74F6C"/>
    <w:rsid w:val="61025A59"/>
    <w:rsid w:val="613D5BBC"/>
    <w:rsid w:val="61511A37"/>
    <w:rsid w:val="61536C39"/>
    <w:rsid w:val="61CB6673"/>
    <w:rsid w:val="62944DD7"/>
    <w:rsid w:val="6319381F"/>
    <w:rsid w:val="63C25DC5"/>
    <w:rsid w:val="63C62057"/>
    <w:rsid w:val="64571EF5"/>
    <w:rsid w:val="64FB113D"/>
    <w:rsid w:val="656152C6"/>
    <w:rsid w:val="6587477F"/>
    <w:rsid w:val="658C3A08"/>
    <w:rsid w:val="65C031CA"/>
    <w:rsid w:val="65CE6852"/>
    <w:rsid w:val="65D3732F"/>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2B262F"/>
    <w:rsid w:val="71C34D91"/>
    <w:rsid w:val="729A32DC"/>
    <w:rsid w:val="72DB435C"/>
    <w:rsid w:val="72E2613A"/>
    <w:rsid w:val="72F771F4"/>
    <w:rsid w:val="73934AD2"/>
    <w:rsid w:val="750837F0"/>
    <w:rsid w:val="754758CF"/>
    <w:rsid w:val="764F62AB"/>
    <w:rsid w:val="765C45EC"/>
    <w:rsid w:val="768A7619"/>
    <w:rsid w:val="772E1EBA"/>
    <w:rsid w:val="77D50747"/>
    <w:rsid w:val="781926BC"/>
    <w:rsid w:val="783B27FD"/>
    <w:rsid w:val="795B21FF"/>
    <w:rsid w:val="796D60A4"/>
    <w:rsid w:val="79A031D5"/>
    <w:rsid w:val="7A1525F7"/>
    <w:rsid w:val="7B420052"/>
    <w:rsid w:val="7BD06A28"/>
    <w:rsid w:val="7C3A7C0B"/>
    <w:rsid w:val="7C5248E4"/>
    <w:rsid w:val="7C566698"/>
    <w:rsid w:val="7C5866A3"/>
    <w:rsid w:val="7D322A2B"/>
    <w:rsid w:val="7D7406BB"/>
    <w:rsid w:val="7DE94331"/>
    <w:rsid w:val="7F446A19"/>
    <w:rsid w:val="7F523DFE"/>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2024-09-18T03:30:15Z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