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b w:val="0"/>
          <w:bCs/>
          <w:kern w:val="2"/>
          <w:sz w:val="44"/>
          <w:szCs w:val="44"/>
          <w:lang w:val="en-US" w:eastAsia="zh-CN" w:bidi="ar-SA"/>
        </w:rPr>
      </w:pPr>
      <w:r>
        <w:rPr>
          <w:rFonts w:hint="default" w:ascii="方正小标宋_GBK" w:hAnsi="方正小标宋_GBK" w:eastAsia="方正小标宋_GBK" w:cs="方正小标宋_GBK"/>
          <w:b w:val="0"/>
          <w:bCs/>
          <w:kern w:val="2"/>
          <w:sz w:val="44"/>
          <w:szCs w:val="44"/>
          <w:lang w:val="en-US" w:eastAsia="zh-CN" w:bidi="ar-SA"/>
        </w:rPr>
        <w:t>重庆市秀山土家族苗族自治县</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b w:val="0"/>
          <w:bCs/>
          <w:kern w:val="2"/>
          <w:sz w:val="44"/>
          <w:szCs w:val="44"/>
          <w:lang w:val="en-US" w:eastAsia="zh-CN" w:bidi="ar-SA"/>
        </w:rPr>
      </w:pPr>
      <w:r>
        <w:rPr>
          <w:rFonts w:hint="default" w:ascii="方正小标宋_GBK" w:hAnsi="方正小标宋_GBK" w:eastAsia="方正小标宋_GBK" w:cs="方正小标宋_GBK"/>
          <w:b w:val="0"/>
          <w:bCs/>
          <w:kern w:val="2"/>
          <w:sz w:val="44"/>
          <w:szCs w:val="44"/>
          <w:lang w:val="en-US" w:eastAsia="zh-CN" w:bidi="ar-SA"/>
        </w:rPr>
        <w:t>龙凤坝镇文化服务中心2023年度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b w:val="0"/>
          <w:bCs/>
          <w:kern w:val="2"/>
          <w:sz w:val="44"/>
          <w:szCs w:val="44"/>
          <w:lang w:val="en-US" w:eastAsia="zh-CN" w:bidi="ar-SA"/>
        </w:rPr>
      </w:pPr>
      <w:r>
        <w:rPr>
          <w:rFonts w:hint="default" w:ascii="方正小标宋_GBK" w:hAnsi="方正小标宋_GBK" w:eastAsia="方正小标宋_GBK" w:cs="方正小标宋_GBK"/>
          <w:b w:val="0"/>
          <w:bCs/>
          <w:kern w:val="2"/>
          <w:sz w:val="44"/>
          <w:szCs w:val="44"/>
          <w:lang w:val="en-US" w:eastAsia="zh-CN" w:bidi="ar-SA"/>
        </w:rPr>
        <w:t>决算公开说明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一、单位基本情况</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（一）职能职责</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（二）机构设置</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文化服务中心。</w:t>
      </w:r>
      <w:r>
        <w:rPr>
          <w:rFonts w:hint="default" w:ascii="Times New Roman" w:hAnsi="Times New Roman" w:eastAsia="方正仿宋_GBK" w:cs="Times New Roman"/>
          <w:kern w:val="2"/>
          <w:sz w:val="32"/>
          <w:szCs w:val="22"/>
          <w:vertAlign w:val="baseline"/>
          <w:lang w:val="en-US" w:eastAsia="zh-CN" w:bidi="ar-SA"/>
        </w:rPr>
        <w:t>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二、单位决算情况说明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（一）收入支出决算总体情况说明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1.总体情况。</w:t>
      </w:r>
      <w:r>
        <w:rPr>
          <w:rFonts w:hint="default" w:ascii="Times New Roman" w:hAnsi="Times New Roman" w:eastAsia="方正仿宋_GBK" w:cs="Times New Roman"/>
          <w:kern w:val="2"/>
          <w:sz w:val="32"/>
          <w:szCs w:val="22"/>
          <w:vertAlign w:val="baseline"/>
          <w:lang w:val="en-US" w:eastAsia="zh-CN" w:bidi="ar-SA"/>
        </w:rPr>
        <w:t>2023年度收入总计54.78万元，支出总计54.78万元。收支较上年决算数增加54.78万元，增长100.00%，主要原因是2022年度本单位与部门合并编报决算，按照市财政局要求，2023年度独立编报决算，故与上年对比增长100%。</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2.收入情况。</w:t>
      </w:r>
      <w:r>
        <w:rPr>
          <w:rFonts w:hint="default" w:ascii="Times New Roman" w:hAnsi="Times New Roman" w:eastAsia="方正仿宋_GBK" w:cs="Times New Roman"/>
          <w:kern w:val="2"/>
          <w:sz w:val="32"/>
          <w:szCs w:val="22"/>
          <w:vertAlign w:val="baseline"/>
          <w:lang w:val="en-US" w:eastAsia="zh-CN" w:bidi="ar-SA"/>
        </w:rPr>
        <w:t>2023年度收入合计54.78万元，较上年决算数增加54.78万元，增长100.00%，主要原因是2022年度本单位与部门合并编报决算，按照市财政局要求，2023年度独立编报决算，故与上年对比增长100%。其中：财政拨款收入54.78万元，占100.00%；事业收入0.00万元，占0.00%；经营收入0.00万元，占0.00%；其他收入0.00万元，占0.00%。此外，使用非财政拨款结余和专用结余0.00万元，年初结转和结余0.00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3.支出情况。</w:t>
      </w:r>
      <w:r>
        <w:rPr>
          <w:rFonts w:hint="default" w:ascii="Times New Roman" w:hAnsi="Times New Roman" w:eastAsia="方正仿宋_GBK" w:cs="Times New Roman"/>
          <w:kern w:val="2"/>
          <w:sz w:val="32"/>
          <w:szCs w:val="22"/>
          <w:vertAlign w:val="baseline"/>
          <w:lang w:val="en-US" w:eastAsia="zh-CN" w:bidi="ar-SA"/>
        </w:rPr>
        <w:t>2023年度支出合计54.78万元，较上年决算数增加54.78万元，增长100.00%，主要原因是2022年度本单位与部门合并编报决算，按照市财政局要求，2023年度独立编报决算，故与上年对比增长100%。其中：基本支出44.54万元，占81.31%；项目支出10.24万元，占18.69%；经营支出0.00万元，占0.00%。此外，结余分配0.00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4.结转结余情况。</w:t>
      </w:r>
      <w:r>
        <w:rPr>
          <w:rFonts w:hint="default" w:ascii="Times New Roman" w:hAnsi="Times New Roman" w:eastAsia="方正仿宋_GBK" w:cs="Times New Roman"/>
          <w:kern w:val="2"/>
          <w:sz w:val="32"/>
          <w:szCs w:val="22"/>
          <w:vertAlign w:val="baseline"/>
          <w:lang w:val="en-US" w:eastAsia="zh-CN" w:bidi="ar-SA"/>
        </w:rPr>
        <w:t>2023年度年末结转和结余0.00万元，较上年决算数无增减，主要原因是上年度实行预算一体化后执行了预算指标零结转的政策，故较上年决算数无增减。</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（二）财政拨款收入支出决算总体情况说明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财政拨款收、支总计54.78万元。与2022年相比，财政拨款收、支总计各增加54.78万元，增长100.00%。主要原因是2022年度本单位与部门合并编报决算，按照市财政局要求，2023年度独立编报决算，故与上年对比增长100%。</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（三）一般公共预算财政拨款收入支出决算情况说明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1.收入情况。</w:t>
      </w:r>
      <w:r>
        <w:rPr>
          <w:rFonts w:hint="default" w:ascii="Times New Roman" w:hAnsi="Times New Roman" w:eastAsia="方正仿宋_GBK" w:cs="Times New Roman"/>
          <w:kern w:val="2"/>
          <w:sz w:val="32"/>
          <w:szCs w:val="22"/>
          <w:vertAlign w:val="baseline"/>
          <w:lang w:val="en-US" w:eastAsia="zh-CN" w:bidi="ar-SA"/>
        </w:rPr>
        <w:t>2023年度一般公共预算财政拨款收入54.78万元，较上年决算数增加54.78万元，增长100.00%。主要原因是2022年度本单位与部门合并编报决算，按照市财政局要求，2023年度独立编报决算，故与上年对比增长100%。较年初预算数减少3.76万元，下降6.42%。主要原因是参考线内超额绩效（年终考核）、职业年金等清算核减，导致下降6.42%。此外，年初财政拨款结转和结余0.00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2.支出情况。</w:t>
      </w:r>
      <w:r>
        <w:rPr>
          <w:rFonts w:hint="default" w:ascii="Times New Roman" w:hAnsi="Times New Roman" w:eastAsia="方正仿宋_GBK" w:cs="Times New Roman"/>
          <w:kern w:val="2"/>
          <w:sz w:val="32"/>
          <w:szCs w:val="22"/>
          <w:vertAlign w:val="baseline"/>
          <w:lang w:val="en-US" w:eastAsia="zh-CN" w:bidi="ar-SA"/>
        </w:rPr>
        <w:t>2023年度一般公共预算财政拨款支出54.78万元，较上年决算数增加54.78万元，增长100.00%。主要原因是2022年度本单位与部门合并编报决算，按照市财政局要求，2023年度独立编报决算，故与上年对比增长100%。较年初预算数减少3.93万元，下降6.69%。主要原因是参考线内超额绩效（年终考核）、职业年金等清算核减，导致下降6.69%。</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3.结转结余情况。</w:t>
      </w:r>
      <w:r>
        <w:rPr>
          <w:rFonts w:hint="default" w:ascii="Times New Roman" w:hAnsi="Times New Roman" w:eastAsia="方正仿宋_GBK" w:cs="Times New Roman"/>
          <w:kern w:val="2"/>
          <w:sz w:val="32"/>
          <w:szCs w:val="22"/>
          <w:vertAlign w:val="baseline"/>
          <w:lang w:val="en-US" w:eastAsia="zh-CN" w:bidi="ar-SA"/>
        </w:rPr>
        <w:t>2023年度年末一般公共预算财政拨款结转和结余0.00万元，较上年决算数无增减，主要原因是上年度实行预算一体化后执行了预算指标零结转的政策，故较上年决算数无增减。</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4.比较情况。</w:t>
      </w:r>
      <w:r>
        <w:rPr>
          <w:rFonts w:hint="default" w:ascii="Times New Roman" w:hAnsi="Times New Roman" w:eastAsia="方正仿宋_GBK" w:cs="Times New Roman"/>
          <w:kern w:val="2"/>
          <w:sz w:val="32"/>
          <w:szCs w:val="22"/>
          <w:vertAlign w:val="baseline"/>
          <w:lang w:val="en-US" w:eastAsia="zh-CN" w:bidi="ar-SA"/>
        </w:rPr>
        <w:t>本单位2023年度一般公共预算财政拨款支出主要用于以下几个方面：</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（1）文化旅游体育与传媒支出43.82万元，占80.01%，较年初预算数减少0.45万元，下降1.02%，主要原因是严格控制文化类活动支出，实际支出未达到年初预算数。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（2）社会保障与就业支出4.77万元，占8.70%，较年初预算数减少2.93万元，下降38.05%，主要原因是参考线内超额绩效（年终考核）、养老保险、职业年金等清算核减。</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（3）卫生健康支出2.30万元，占4.20%，较年初预算数无增减，主要原因是我单位严格按照年初预算执行。</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（4）住房保障支出3.89万元，占7.10%，较年初预算数减少0.56万元，下降12.58%，主要原因是参考线内超额绩效（年终考核）、养老保险、职业年金等清算核减。</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（四）一般公共预算财政拨款基本支出决算情况说明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一般公共财政拨款基本支出44.54万元。其中：人员经费41.84万元，较上年决算数增加41.84万元，增长100.00%，主要原因是2022年度本单位与部门合并编报决算，按照市财政局要求，2023年度独立编报决算，故与上年对比增长100%。人员经费用途主要包括基本工资、津贴补贴、社会保障缴费等。公用经费2.69万元，较上年决算数增加2.69万元，增长100.00%，主要原因是2022年度本单位与部门合并编报决算，按照市财政局要求，2023年度独立编报决算，故与上年对比增长100%。公用经费用途主要包括办公费、印刷费、差旅费、电费、水费等。</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（五）政府性基金预算收支决算情况说明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本单位2023年度无政府性基金预算财政拨款收支。</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（六）国有资本经营预算财政拨款支出决算情况说明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本单位2023年度无国有资本经营预算财政拨款支出。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三、“三公”经费情况说明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（一）“三公”经费支出总体情况说明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我单位属于二级预算单位，“三公”经费由本级统一支出。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（二）“三公”经费分项支出情况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2023年度</w:t>
      </w:r>
      <w:r>
        <w:rPr>
          <w:rFonts w:hint="eastAsia"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rPr>
        <w:t>因公出国（境）费用</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 </w:t>
      </w:r>
      <w:r>
        <w:rPr>
          <w:rFonts w:hint="eastAsia" w:ascii="Times New Roman" w:hAnsi="Times New Roman" w:eastAsia="方正仿宋_GBK" w:cs="Times New Roman"/>
          <w:b w:val="0"/>
          <w:bCs w:val="0"/>
          <w:sz w:val="32"/>
          <w:szCs w:val="32"/>
          <w:lang w:eastAsia="zh-CN"/>
        </w:rPr>
        <w:t>费用支出较年初预算数、上年支出数无增减。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公务车购置费</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，费用支出较年初预算数、上年支出数无增减。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公务车运行维护费</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费用支出较年初预算数、上年支出数无增减。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公务接待费</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费用支出较年初预算数、上年支出数无增减。</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（三）“三公”经费实物量情况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四、其他需要说明的事项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（一）财政拨款会议费和培训费情况说明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本年度会议费支出0.00万元，较上年决算数无增减，主要原因是我单位严格控制会议费等相关开支。本年度培训费支出0.18万元，较上年决算数增加0.18万元，增长100.00%，主要原因是2022年度本单位与部门合并编报决算，按照市财政局要求，2023年度独立编报决算，故与上年对比增长100%。</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（二）机关运行经费情况说明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本单位机关运行经费支出0.00万元，机关运行经费主要用于开支机关所产生的水费、电费、生活费等。机关运行经费较上年支出数无增减，主要原因是按照部门决算列报口径，我单位不在机关运行经费统计范围之内。</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（三）国有资产占用情况说明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（四）政府采购支出情况说明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2023年度我单位未发生政府采购事项，无相关经费支出。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五、预算绩效管理情况说明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（一）单位自评情况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根据预算绩效管理要求，我单位对部门整体和0个一级项目、2个二级项目开展了绩效自评，涉及财政拨款项目支出资金</w:t>
      </w:r>
      <w:r>
        <w:rPr>
          <w:rFonts w:hint="eastAsia" w:ascii="Times New Roman" w:hAnsi="Times New Roman" w:eastAsia="方正仿宋_GBK" w:cs="Times New Roman"/>
          <w:kern w:val="2"/>
          <w:sz w:val="32"/>
          <w:szCs w:val="22"/>
          <w:vertAlign w:val="baseline"/>
          <w:lang w:val="en-US" w:eastAsia="zh-CN" w:bidi="ar-SA"/>
        </w:rPr>
        <w:t>10.24</w:t>
      </w:r>
      <w:r>
        <w:rPr>
          <w:rFonts w:hint="default" w:ascii="Times New Roman" w:hAnsi="Times New Roman" w:eastAsia="方正仿宋_GBK" w:cs="Times New Roman"/>
          <w:kern w:val="2"/>
          <w:sz w:val="32"/>
          <w:szCs w:val="22"/>
          <w:vertAlign w:val="baseline"/>
          <w:lang w:val="en-US" w:eastAsia="zh-CN" w:bidi="ar-SA"/>
        </w:rPr>
        <w:t>万元</w:t>
      </w:r>
      <w:r>
        <w:rPr>
          <w:rFonts w:hint="eastAsia" w:ascii="Times New Roman" w:hAnsi="Times New Roman" w:eastAsia="方正仿宋_GBK" w:cs="Times New Roman"/>
          <w:kern w:val="2"/>
          <w:sz w:val="32"/>
          <w:szCs w:val="22"/>
          <w:vertAlign w:val="baseline"/>
          <w:lang w:val="en-US" w:eastAsia="zh-CN" w:bidi="ar-SA"/>
        </w:rPr>
        <w:t>。</w:t>
      </w:r>
    </w:p>
    <w:p>
      <w:pPr>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br w:type="page"/>
      </w:r>
    </w:p>
    <w:tbl>
      <w:tblPr>
        <w:tblStyle w:val="10"/>
        <w:tblW w:w="8345" w:type="dxa"/>
        <w:tblInd w:w="0" w:type="dxa"/>
        <w:shd w:val="clear" w:color="auto" w:fill="auto"/>
        <w:tblLayout w:type="fixed"/>
        <w:tblCellMar>
          <w:top w:w="0" w:type="dxa"/>
          <w:left w:w="0" w:type="dxa"/>
          <w:bottom w:w="0" w:type="dxa"/>
          <w:right w:w="0" w:type="dxa"/>
        </w:tblCellMar>
      </w:tblPr>
      <w:tblGrid>
        <w:gridCol w:w="331"/>
        <w:gridCol w:w="1150"/>
        <w:gridCol w:w="584"/>
        <w:gridCol w:w="783"/>
        <w:gridCol w:w="667"/>
        <w:gridCol w:w="1316"/>
        <w:gridCol w:w="884"/>
        <w:gridCol w:w="766"/>
        <w:gridCol w:w="634"/>
        <w:gridCol w:w="566"/>
        <w:gridCol w:w="664"/>
      </w:tblGrid>
      <w:tr>
        <w:tblPrEx>
          <w:shd w:val="clear" w:color="auto" w:fill="auto"/>
          <w:tblLayout w:type="fixed"/>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kern w:val="0"/>
                <w:sz w:val="36"/>
                <w:szCs w:val="36"/>
                <w:u w:val="none"/>
                <w:lang w:val="en-US" w:eastAsia="zh-CN" w:bidi="ar"/>
              </w:rPr>
            </w:pPr>
            <w:r>
              <w:rPr>
                <w:rFonts w:hint="default" w:ascii="Times New Roman" w:hAnsi="Times New Roman" w:eastAsia="方正小标宋_GBK" w:cs="Times New Roman"/>
                <w:b/>
                <w:i w:val="0"/>
                <w:color w:val="000000"/>
                <w:kern w:val="0"/>
                <w:sz w:val="32"/>
                <w:szCs w:val="32"/>
                <w:u w:val="none"/>
                <w:lang w:val="en-US" w:eastAsia="zh-CN" w:bidi="ar"/>
              </w:rPr>
              <w:t>龙凤坝镇文化服务中心2023年度</w:t>
            </w:r>
            <w:r>
              <w:rPr>
                <w:rFonts w:hint="eastAsia" w:ascii="Times New Roman" w:hAnsi="Times New Roman" w:eastAsia="方正小标宋_GBK" w:cs="Times New Roman"/>
                <w:b/>
                <w:i w:val="0"/>
                <w:color w:val="000000"/>
                <w:kern w:val="0"/>
                <w:sz w:val="32"/>
                <w:szCs w:val="32"/>
                <w:u w:val="none"/>
                <w:lang w:val="en-US" w:eastAsia="zh-CN" w:bidi="ar"/>
              </w:rPr>
              <w:t>项目支出</w:t>
            </w:r>
            <w:r>
              <w:rPr>
                <w:rFonts w:hint="default" w:ascii="Times New Roman" w:hAnsi="Times New Roman" w:eastAsia="方正小标宋_GBK" w:cs="Times New Roman"/>
                <w:b/>
                <w:i w:val="0"/>
                <w:color w:val="000000"/>
                <w:kern w:val="0"/>
                <w:sz w:val="32"/>
                <w:szCs w:val="32"/>
                <w:u w:val="none"/>
                <w:lang w:val="en-US" w:eastAsia="zh-CN" w:bidi="ar"/>
              </w:rPr>
              <w:t>绩效自评</w:t>
            </w:r>
            <w:r>
              <w:rPr>
                <w:rFonts w:hint="eastAsia" w:ascii="Times New Roman" w:hAnsi="Times New Roman" w:eastAsia="方正小标宋_GBK" w:cs="Times New Roman"/>
                <w:b/>
                <w:i w:val="0"/>
                <w:color w:val="000000"/>
                <w:kern w:val="0"/>
                <w:sz w:val="32"/>
                <w:szCs w:val="32"/>
                <w:u w:val="none"/>
                <w:lang w:val="en-US" w:eastAsia="zh-CN" w:bidi="ar"/>
              </w:rPr>
              <w:t>情况</w:t>
            </w:r>
            <w:r>
              <w:rPr>
                <w:rFonts w:hint="default" w:ascii="Times New Roman" w:hAnsi="Times New Roman" w:eastAsia="方正小标宋_GBK" w:cs="Times New Roman"/>
                <w:b/>
                <w:i w:val="0"/>
                <w:color w:val="000000"/>
                <w:kern w:val="0"/>
                <w:sz w:val="32"/>
                <w:szCs w:val="32"/>
                <w:u w:val="none"/>
                <w:lang w:val="en-US" w:eastAsia="zh-CN" w:bidi="ar"/>
              </w:rPr>
              <w:t>表</w:t>
            </w:r>
          </w:p>
        </w:tc>
      </w:tr>
      <w:tr>
        <w:tblPrEx>
          <w:tblLayout w:type="fixed"/>
          <w:tblCellMar>
            <w:top w:w="0" w:type="dxa"/>
            <w:left w:w="0" w:type="dxa"/>
            <w:bottom w:w="0" w:type="dxa"/>
            <w:right w:w="0" w:type="dxa"/>
          </w:tblCellMar>
        </w:tblPrEx>
        <w:trPr>
          <w:trHeight w:val="1075" w:hRule="atLeast"/>
        </w:trPr>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Times New Roman" w:hAnsi="Times New Roman" w:eastAsia="宋体" w:cs="Times New Roman"/>
                <w:i w:val="0"/>
                <w:color w:val="auto"/>
                <w:sz w:val="22"/>
                <w:szCs w:val="22"/>
                <w:u w:val="none"/>
                <w:lang w:eastAsia="zh-CN"/>
              </w:rPr>
            </w:pPr>
            <w:r>
              <w:rPr>
                <w:rStyle w:val="17"/>
                <w:rFonts w:hint="eastAsia" w:ascii="Times New Roman" w:hAnsi="Times New Roman" w:cs="Times New Roman"/>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项目名称</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指标名称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指标性质</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指标值</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计量单位</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eastAsia" w:ascii="Times New Roman" w:hAnsi="Times New Roman" w:cs="Times New Roman"/>
                <w:lang w:val="en-US" w:eastAsia="zh-CN" w:bidi="ar"/>
              </w:rPr>
            </w:pPr>
            <w:r>
              <w:rPr>
                <w:rStyle w:val="17"/>
                <w:rFonts w:hint="eastAsia" w:ascii="Times New Roman" w:hAnsi="Times New Roman" w:cs="Times New Roman"/>
                <w:lang w:val="en-US" w:eastAsia="zh-CN" w:bidi="ar"/>
              </w:rPr>
              <w:t>指标权重</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全年完成值</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eastAsia" w:ascii="Times New Roman" w:hAnsi="Times New Roman" w:cs="Times New Roman"/>
                <w:lang w:val="en-US" w:eastAsia="zh-CN" w:bidi="ar"/>
              </w:rPr>
            </w:pPr>
            <w:r>
              <w:rPr>
                <w:rStyle w:val="17"/>
                <w:rFonts w:hint="eastAsia" w:ascii="Times New Roman" w:hAnsi="Times New Roman" w:cs="Times New Roman"/>
                <w:lang w:val="en-US" w:eastAsia="zh-CN" w:bidi="ar"/>
              </w:rPr>
              <w:t>指标得分</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eastAsia" w:ascii="Times New Roman" w:hAnsi="Times New Roman" w:cs="Times New Roman"/>
                <w:lang w:val="en-US" w:eastAsia="zh-CN" w:bidi="ar"/>
              </w:rPr>
            </w:pPr>
            <w:r>
              <w:rPr>
                <w:rStyle w:val="17"/>
                <w:rFonts w:hint="eastAsia" w:ascii="Times New Roman" w:hAnsi="Times New Roman" w:cs="Times New Roman"/>
                <w:lang w:val="en-US" w:eastAsia="zh-CN" w:bidi="ar"/>
              </w:rPr>
              <w:t>说明</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eastAsia" w:ascii="Times New Roman" w:hAnsi="Times New Roman" w:cs="Times New Roman"/>
                <w:lang w:val="en-US" w:eastAsia="zh-CN" w:bidi="ar"/>
              </w:rPr>
            </w:pPr>
            <w:r>
              <w:rPr>
                <w:rStyle w:val="17"/>
                <w:rFonts w:hint="eastAsia" w:ascii="Times New Roman" w:hAnsi="Times New Roman" w:cs="Times New Roman"/>
                <w:lang w:val="en-US" w:eastAsia="zh-CN" w:bidi="ar"/>
              </w:rPr>
              <w:t>自评得分</w:t>
            </w:r>
          </w:p>
        </w:tc>
      </w:tr>
      <w:tr>
        <w:tblPrEx>
          <w:tblLayout w:type="fixed"/>
          <w:tblCellMar>
            <w:top w:w="0" w:type="dxa"/>
            <w:left w:w="0" w:type="dxa"/>
            <w:bottom w:w="0" w:type="dxa"/>
            <w:right w:w="0" w:type="dxa"/>
          </w:tblCellMar>
        </w:tblPrEx>
        <w:trPr>
          <w:trHeight w:val="500" w:hRule="atLeast"/>
        </w:trPr>
        <w:tc>
          <w:tcPr>
            <w:tcW w:w="33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w:t>
            </w:r>
          </w:p>
        </w:tc>
        <w:tc>
          <w:tcPr>
            <w:tcW w:w="11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美术馆、图书馆、文化馆(站)免费开放专项</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惠民演出活动</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次</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default"/>
                <w:lang w:val="en-US" w:eastAsia="zh-CN"/>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r>
      <w:tr>
        <w:tblPrEx>
          <w:tblLayout w:type="fixed"/>
          <w:tblCellMar>
            <w:top w:w="0" w:type="dxa"/>
            <w:left w:w="0" w:type="dxa"/>
            <w:bottom w:w="0" w:type="dxa"/>
            <w:right w:w="0" w:type="dxa"/>
          </w:tblCellMar>
        </w:tblPrEx>
        <w:trPr>
          <w:trHeight w:val="500" w:hRule="atLeast"/>
        </w:trPr>
        <w:tc>
          <w:tcPr>
            <w:tcW w:w="3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eastAsia" w:ascii="Times New Roman" w:hAnsi="Times New Roman" w:cs="Times New Roman"/>
                <w:lang w:val="en-US" w:eastAsia="zh-CN" w:bidi="ar"/>
              </w:rPr>
            </w:pPr>
          </w:p>
        </w:tc>
        <w:tc>
          <w:tcPr>
            <w:tcW w:w="11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免费开放场馆维护次数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次</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default"/>
                <w:lang w:val="en-US" w:eastAsia="zh-CN"/>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lang w:val="en-US" w:eastAsia="zh-CN"/>
              </w:rPr>
            </w:pPr>
            <w:r>
              <w:rPr>
                <w:rStyle w:val="18"/>
                <w:rFonts w:hint="eastAsia" w:ascii="Times New Roman" w:hAnsi="Times New Roman" w:cs="Times New Roman"/>
                <w:lang w:val="en-US" w:eastAsia="zh-CN" w:bidi="ar"/>
              </w:rPr>
              <w:t>30</w:t>
            </w:r>
          </w:p>
        </w:tc>
      </w:tr>
      <w:tr>
        <w:tblPrEx>
          <w:tblLayout w:type="fixed"/>
          <w:tblCellMar>
            <w:top w:w="0" w:type="dxa"/>
            <w:left w:w="0" w:type="dxa"/>
            <w:bottom w:w="0" w:type="dxa"/>
            <w:right w:w="0" w:type="dxa"/>
          </w:tblCellMar>
        </w:tblPrEx>
        <w:trPr>
          <w:trHeight w:val="500" w:hRule="atLeast"/>
        </w:trPr>
        <w:tc>
          <w:tcPr>
            <w:tcW w:w="3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11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资金使用合规性</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r>
      <w:tr>
        <w:tblPrEx>
          <w:tblLayout w:type="fixed"/>
          <w:tblCellMar>
            <w:top w:w="0" w:type="dxa"/>
            <w:left w:w="0" w:type="dxa"/>
            <w:bottom w:w="0" w:type="dxa"/>
            <w:right w:w="0" w:type="dxa"/>
          </w:tblCellMar>
        </w:tblPrEx>
        <w:trPr>
          <w:trHeight w:val="500" w:hRule="atLeast"/>
        </w:trPr>
        <w:tc>
          <w:tcPr>
            <w:tcW w:w="33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w:t>
            </w:r>
          </w:p>
        </w:tc>
        <w:tc>
          <w:tcPr>
            <w:tcW w:w="11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2022年中央公共文化服务体系建设（“乡恋龙凤”田园旅游节）-渝财教〔2021〕199号</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举办宣传活动次数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次</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r>
      <w:tr>
        <w:tblPrEx>
          <w:tblLayout w:type="fixed"/>
          <w:tblCellMar>
            <w:top w:w="0" w:type="dxa"/>
            <w:left w:w="0" w:type="dxa"/>
            <w:bottom w:w="0" w:type="dxa"/>
            <w:right w:w="0" w:type="dxa"/>
          </w:tblCellMar>
        </w:tblPrEx>
        <w:trPr>
          <w:trHeight w:val="500" w:hRule="atLeast"/>
        </w:trPr>
        <w:tc>
          <w:tcPr>
            <w:tcW w:w="3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11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信息发布数量</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次</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w:t>
            </w:r>
            <w:r>
              <w:rPr>
                <w:rStyle w:val="18"/>
                <w:rFonts w:hint="default" w:ascii="Times New Roman" w:hAnsi="Times New Roman" w:cs="Times New Roman"/>
                <w:lang w:val="en-US" w:eastAsia="zh-CN" w:bidi="ar"/>
              </w:rPr>
              <w:t>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w:t>
            </w:r>
            <w:r>
              <w:rPr>
                <w:rStyle w:val="18"/>
                <w:rFonts w:hint="default" w:ascii="Times New Roman" w:hAnsi="Times New Roman" w:cs="Times New Roman"/>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w:t>
            </w:r>
            <w:r>
              <w:rPr>
                <w:rStyle w:val="18"/>
                <w:rFonts w:hint="default" w:ascii="Times New Roman" w:hAnsi="Times New Roman" w:cs="Times New Roman"/>
                <w:lang w:val="en-US" w:eastAsia="zh-CN" w:bidi="ar"/>
              </w:rPr>
              <w:t>0</w:t>
            </w:r>
          </w:p>
        </w:tc>
      </w:tr>
      <w:tr>
        <w:tblPrEx>
          <w:tblLayout w:type="fixed"/>
          <w:tblCellMar>
            <w:top w:w="0" w:type="dxa"/>
            <w:left w:w="0" w:type="dxa"/>
            <w:bottom w:w="0" w:type="dxa"/>
            <w:right w:w="0" w:type="dxa"/>
          </w:tblCellMar>
        </w:tblPrEx>
        <w:trPr>
          <w:trHeight w:val="500" w:hRule="atLeast"/>
        </w:trPr>
        <w:tc>
          <w:tcPr>
            <w:tcW w:w="3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11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演出上座率</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人</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rPr>
            </w:pPr>
            <w:r>
              <w:rPr>
                <w:rStyle w:val="18"/>
                <w:rFonts w:hint="eastAsia" w:ascii="Times New Roman" w:hAnsi="Times New Roman" w:cs="Times New Roman"/>
                <w:lang w:val="en-US" w:eastAsia="zh-CN" w:bidi="ar"/>
              </w:rPr>
              <w:t>20</w:t>
            </w:r>
          </w:p>
        </w:tc>
      </w:tr>
      <w:tr>
        <w:tblPrEx>
          <w:tblLayout w:type="fixed"/>
          <w:tblCellMar>
            <w:top w:w="0" w:type="dxa"/>
            <w:left w:w="0" w:type="dxa"/>
            <w:bottom w:w="0" w:type="dxa"/>
            <w:right w:w="0" w:type="dxa"/>
          </w:tblCellMar>
        </w:tblPrEx>
        <w:trPr>
          <w:trHeight w:val="500" w:hRule="atLeast"/>
        </w:trPr>
        <w:tc>
          <w:tcPr>
            <w:tcW w:w="3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11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主流媒体报道数量</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次</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rPr>
            </w:pPr>
            <w:r>
              <w:rPr>
                <w:rStyle w:val="18"/>
                <w:rFonts w:hint="eastAsia" w:ascii="Times New Roman" w:hAnsi="Times New Roman" w:cs="Times New Roman"/>
                <w:lang w:val="en-US" w:eastAsia="zh-CN" w:bidi="ar"/>
              </w:rPr>
              <w:t>30</w:t>
            </w:r>
          </w:p>
        </w:tc>
      </w:tr>
      <w:tr>
        <w:tblPrEx>
          <w:tblLayout w:type="fixed"/>
          <w:tblCellMar>
            <w:top w:w="0" w:type="dxa"/>
            <w:left w:w="0" w:type="dxa"/>
            <w:bottom w:w="0" w:type="dxa"/>
            <w:right w:w="0" w:type="dxa"/>
          </w:tblCellMar>
        </w:tblPrEx>
        <w:trPr>
          <w:trHeight w:val="500" w:hRule="atLeast"/>
        </w:trPr>
        <w:tc>
          <w:tcPr>
            <w:tcW w:w="33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w:t>
            </w:r>
          </w:p>
        </w:tc>
        <w:tc>
          <w:tcPr>
            <w:tcW w:w="11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在村挂职本土人才补贴</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本土人才人数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人</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11</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r>
      <w:tr>
        <w:tblPrEx>
          <w:tblLayout w:type="fixed"/>
          <w:tblCellMar>
            <w:top w:w="0" w:type="dxa"/>
            <w:left w:w="0" w:type="dxa"/>
            <w:bottom w:w="0" w:type="dxa"/>
            <w:right w:w="0" w:type="dxa"/>
          </w:tblCellMar>
        </w:tblPrEx>
        <w:trPr>
          <w:trHeight w:val="838" w:hRule="atLeast"/>
        </w:trPr>
        <w:tc>
          <w:tcPr>
            <w:tcW w:w="3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11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资金支出合规率</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r>
      <w:tr>
        <w:tblPrEx>
          <w:tblLayout w:type="fixed"/>
          <w:tblCellMar>
            <w:top w:w="0" w:type="dxa"/>
            <w:left w:w="0" w:type="dxa"/>
            <w:bottom w:w="0" w:type="dxa"/>
            <w:right w:w="0" w:type="dxa"/>
          </w:tblCellMar>
        </w:tblPrEx>
        <w:trPr>
          <w:trHeight w:val="500" w:hRule="atLeast"/>
        </w:trPr>
        <w:tc>
          <w:tcPr>
            <w:tcW w:w="3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11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补助发放到位率</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r>
      <w:tr>
        <w:tblPrEx>
          <w:tblLayout w:type="fixed"/>
          <w:tblCellMar>
            <w:top w:w="0" w:type="dxa"/>
            <w:left w:w="0" w:type="dxa"/>
            <w:bottom w:w="0" w:type="dxa"/>
            <w:right w:w="0" w:type="dxa"/>
          </w:tblCellMar>
        </w:tblPrEx>
        <w:trPr>
          <w:trHeight w:val="500" w:hRule="atLeast"/>
        </w:trPr>
        <w:tc>
          <w:tcPr>
            <w:tcW w:w="33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11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本土人才每月增收</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2120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eastAsia" w:ascii="Times New Roman" w:hAnsi="Times New Roman" w:eastAsia="方正仿宋_GBK" w:cs="Times New Roman"/>
                <w:lang w:val="en-US" w:eastAsia="zh-CN" w:bidi="ar"/>
              </w:rPr>
            </w:pPr>
            <w:r>
              <w:rPr>
                <w:rStyle w:val="18"/>
                <w:rFonts w:hint="eastAsia" w:ascii="Times New Roman" w:hAnsi="Times New Roman" w:eastAsia="方正仿宋_GBK" w:cs="Times New Roman"/>
                <w:lang w:val="en-US" w:eastAsia="zh-CN" w:bidi="ar"/>
              </w:rPr>
              <w:t>元</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2120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eastAsia"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eastAsia"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r>
    </w:tbl>
    <w:p>
      <w:pPr>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br w:type="page"/>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（二）单位绩效评价情况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我单位未组织开展绩效评价。</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（三）财政绩效评价情况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县财政局未委托第三方对我单位开展绩效评价。</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六、专业名词解释</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（一）财政拨款收入：</w:t>
      </w:r>
      <w:r>
        <w:rPr>
          <w:rFonts w:hint="default" w:ascii="Times New Roman" w:hAnsi="Times New Roman" w:eastAsia="方正仿宋_GBK" w:cs="Times New Roman"/>
          <w:kern w:val="2"/>
          <w:sz w:val="32"/>
          <w:szCs w:val="22"/>
          <w:vertAlign w:val="baseline"/>
          <w:lang w:val="en-US" w:eastAsia="zh-CN" w:bidi="ar-SA"/>
        </w:rPr>
        <w:t>指本年度从本级财政部门取得的财政拨款，包括一般公共预算财政拨款和政府性基金预算财政拨款。</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（二）事业收入：</w:t>
      </w:r>
      <w:r>
        <w:rPr>
          <w:rFonts w:hint="default" w:ascii="Times New Roman" w:hAnsi="Times New Roman" w:eastAsia="方正仿宋_GBK" w:cs="Times New Roman"/>
          <w:kern w:val="2"/>
          <w:sz w:val="32"/>
          <w:szCs w:val="22"/>
          <w:vertAlign w:val="baseline"/>
          <w:lang w:val="en-US" w:eastAsia="zh-CN" w:bidi="ar-SA"/>
        </w:rPr>
        <w:t>指事业单位开展专业业务活动及其辅助活动取得的现金流入；事业单位收到的财政专户实际核拨的教育收费等资金在此反映。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（三）经营收入：</w:t>
      </w:r>
      <w:r>
        <w:rPr>
          <w:rFonts w:hint="default" w:ascii="Times New Roman" w:hAnsi="Times New Roman" w:eastAsia="方正仿宋_GBK" w:cs="Times New Roman"/>
          <w:kern w:val="2"/>
          <w:sz w:val="32"/>
          <w:szCs w:val="22"/>
          <w:vertAlign w:val="baseline"/>
          <w:lang w:val="en-US" w:eastAsia="zh-CN" w:bidi="ar-SA"/>
        </w:rPr>
        <w:t>指事业单位在专业业务活动及其辅助活动之外开展非独立核算经营活动取得的现金流入。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（四）其他收入：</w:t>
      </w:r>
      <w:r>
        <w:rPr>
          <w:rFonts w:hint="default" w:ascii="Times New Roman" w:hAnsi="Times New Roman" w:eastAsia="方正仿宋_GBK" w:cs="Times New Roman"/>
          <w:kern w:val="2"/>
          <w:sz w:val="32"/>
          <w:szCs w:val="22"/>
          <w:vertAlign w:val="baseline"/>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（五）使用非财政拨款结余：</w:t>
      </w:r>
      <w:r>
        <w:rPr>
          <w:rFonts w:hint="default" w:ascii="Times New Roman" w:hAnsi="Times New Roman" w:eastAsia="方正仿宋_GBK" w:cs="Times New Roman"/>
          <w:kern w:val="2"/>
          <w:sz w:val="32"/>
          <w:szCs w:val="22"/>
          <w:vertAlign w:val="baseline"/>
          <w:lang w:val="en-US" w:eastAsia="zh-CN" w:bidi="ar-SA"/>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（六）年初结转和结余：</w:t>
      </w:r>
      <w:r>
        <w:rPr>
          <w:rFonts w:hint="default" w:ascii="Times New Roman" w:hAnsi="Times New Roman" w:eastAsia="方正仿宋_GBK" w:cs="Times New Roman"/>
          <w:kern w:val="2"/>
          <w:sz w:val="32"/>
          <w:szCs w:val="22"/>
          <w:vertAlign w:val="baseline"/>
          <w:lang w:val="en-US" w:eastAsia="zh-CN" w:bidi="ar-SA"/>
        </w:rPr>
        <w:t>指单位上年结转本年使用的基本支出结转、项目支出结转和结余、经营结余。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（七）结余分配：</w:t>
      </w:r>
      <w:r>
        <w:rPr>
          <w:rFonts w:hint="default" w:ascii="Times New Roman" w:hAnsi="Times New Roman" w:eastAsia="方正仿宋_GBK" w:cs="Times New Roman"/>
          <w:kern w:val="2"/>
          <w:sz w:val="32"/>
          <w:szCs w:val="22"/>
          <w:vertAlign w:val="baseline"/>
          <w:lang w:val="en-US" w:eastAsia="zh-CN" w:bidi="ar-SA"/>
        </w:rPr>
        <w:t>指单位按照国家有关规定，缴纳所得税、提取专用基金、转入非财政拨款结余等当年结余的分配情况。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（八）年末结转和结余：</w:t>
      </w:r>
      <w:r>
        <w:rPr>
          <w:rFonts w:hint="default" w:ascii="Times New Roman" w:hAnsi="Times New Roman" w:eastAsia="方正仿宋_GBK" w:cs="Times New Roman"/>
          <w:kern w:val="2"/>
          <w:sz w:val="32"/>
          <w:szCs w:val="22"/>
          <w:vertAlign w:val="baseline"/>
          <w:lang w:val="en-US" w:eastAsia="zh-CN" w:bidi="ar-SA"/>
        </w:rPr>
        <w:t>指单位结转下年的基本支出结转、项目支出结转和结余、经营结余。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（九）基本支出：</w:t>
      </w:r>
      <w:r>
        <w:rPr>
          <w:rFonts w:hint="default" w:ascii="Times New Roman" w:hAnsi="Times New Roman" w:eastAsia="方正仿宋_GBK" w:cs="Times New Roman"/>
          <w:kern w:val="2"/>
          <w:sz w:val="32"/>
          <w:szCs w:val="22"/>
          <w:vertAlign w:val="baseline"/>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（十）项目支出：</w:t>
      </w:r>
      <w:r>
        <w:rPr>
          <w:rFonts w:hint="default" w:ascii="Times New Roman" w:hAnsi="Times New Roman" w:eastAsia="方正仿宋_GBK" w:cs="Times New Roman"/>
          <w:kern w:val="2"/>
          <w:sz w:val="32"/>
          <w:szCs w:val="22"/>
          <w:vertAlign w:val="baseline"/>
          <w:lang w:val="en-US" w:eastAsia="zh-CN" w:bidi="ar-SA"/>
        </w:rPr>
        <w:t>指在基本支出之外为完成特定行政任务和事业发展目标所发生的支出。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（十一）经营支出：</w:t>
      </w:r>
      <w:r>
        <w:rPr>
          <w:rFonts w:hint="default" w:ascii="Times New Roman" w:hAnsi="Times New Roman" w:eastAsia="方正仿宋_GBK" w:cs="Times New Roman"/>
          <w:kern w:val="2"/>
          <w:sz w:val="32"/>
          <w:szCs w:val="22"/>
          <w:vertAlign w:val="baseline"/>
          <w:lang w:val="en-US" w:eastAsia="zh-CN" w:bidi="ar-SA"/>
        </w:rPr>
        <w:t>指事业单位在专业业务活动及其辅助活动之外开展非独立核算经营活动发生的支出。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（十二）“三公”经费：</w:t>
      </w:r>
      <w:r>
        <w:rPr>
          <w:rFonts w:hint="default" w:ascii="Times New Roman" w:hAnsi="Times New Roman" w:eastAsia="方正仿宋_GBK" w:cs="Times New Roman"/>
          <w:kern w:val="2"/>
          <w:sz w:val="32"/>
          <w:szCs w:val="22"/>
          <w:vertAlign w:val="baseline"/>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（十三）机关运行经费：</w:t>
      </w:r>
      <w:r>
        <w:rPr>
          <w:rFonts w:hint="default" w:ascii="Times New Roman" w:hAnsi="Times New Roman" w:eastAsia="方正仿宋_GBK" w:cs="Times New Roman"/>
          <w:kern w:val="2"/>
          <w:sz w:val="32"/>
          <w:szCs w:val="22"/>
          <w:vertAlign w:val="baseline"/>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（十四）工资福利支出（支出经济分类科目类级）：</w:t>
      </w:r>
      <w:r>
        <w:rPr>
          <w:rFonts w:hint="default" w:ascii="Times New Roman" w:hAnsi="Times New Roman" w:eastAsia="方正仿宋_GBK" w:cs="Times New Roman"/>
          <w:kern w:val="2"/>
          <w:sz w:val="32"/>
          <w:szCs w:val="22"/>
          <w:vertAlign w:val="baseline"/>
          <w:lang w:val="en-US" w:eastAsia="zh-CN" w:bidi="ar-SA"/>
        </w:rPr>
        <w:t>反映单位开支的在职职工和编制外长期聘用人员的各类劳动报酬，以及为上述人员缴纳的各项社会保险费等。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（十五）商品和服务支出（支出经济分类科目类级）：</w:t>
      </w:r>
      <w:r>
        <w:rPr>
          <w:rFonts w:hint="default" w:ascii="Times New Roman" w:hAnsi="Times New Roman" w:eastAsia="方正仿宋_GBK" w:cs="Times New Roman"/>
          <w:kern w:val="2"/>
          <w:sz w:val="32"/>
          <w:szCs w:val="22"/>
          <w:vertAlign w:val="baseline"/>
          <w:lang w:val="en-US" w:eastAsia="zh-CN" w:bidi="ar-SA"/>
        </w:rPr>
        <w:t>反映单位购买商品和服务的支出（不包括用于购置固定资产的支出、战略性和应急储备支出）。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（十六）对个人和家庭的补助（支出经济分类科目类级）：</w:t>
      </w:r>
      <w:r>
        <w:rPr>
          <w:rFonts w:hint="default" w:ascii="Times New Roman" w:hAnsi="Times New Roman" w:eastAsia="方正仿宋_GBK" w:cs="Times New Roman"/>
          <w:kern w:val="2"/>
          <w:sz w:val="32"/>
          <w:szCs w:val="22"/>
          <w:vertAlign w:val="baseline"/>
          <w:lang w:val="en-US" w:eastAsia="zh-CN" w:bidi="ar-SA"/>
        </w:rPr>
        <w:t>反映用于对个人和家庭的补助支出。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（十七）其他资本性支出（支出经济分类科目类级）：</w:t>
      </w:r>
      <w:r>
        <w:rPr>
          <w:rFonts w:hint="default" w:ascii="Times New Roman" w:hAnsi="Times New Roman" w:eastAsia="方正仿宋_GBK" w:cs="Times New Roman"/>
          <w:kern w:val="2"/>
          <w:sz w:val="32"/>
          <w:szCs w:val="22"/>
          <w:vertAlign w:val="baseline"/>
          <w:lang w:val="en-US" w:eastAsia="zh-CN" w:bidi="ar-SA"/>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七、决算公开联系方式及信息反馈渠道</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kern w:val="2"/>
          <w:sz w:val="32"/>
          <w:szCs w:val="22"/>
          <w:vertAlign w:val="baseline"/>
          <w:lang w:val="en-US" w:eastAsia="zh-CN" w:bidi="ar-SA"/>
        </w:rPr>
        <w:t>本单位决算公开信息反馈和联系方式：龙吉</w:t>
      </w:r>
      <w:r>
        <w:rPr>
          <w:rFonts w:hint="eastAsia" w:ascii="Times New Roman" w:hAnsi="Times New Roman" w:eastAsia="方正仿宋_GBK" w:cs="Times New Roman"/>
          <w:kern w:val="2"/>
          <w:sz w:val="32"/>
          <w:szCs w:val="22"/>
          <w:vertAlign w:val="baseline"/>
          <w:lang w:val="en-US" w:eastAsia="zh-CN" w:bidi="ar-SA"/>
        </w:rPr>
        <w:t xml:space="preserve">  </w:t>
      </w:r>
      <w:r>
        <w:rPr>
          <w:rFonts w:hint="default" w:ascii="Times New Roman" w:hAnsi="Times New Roman" w:eastAsia="方正仿宋_GBK" w:cs="Times New Roman"/>
          <w:kern w:val="2"/>
          <w:sz w:val="32"/>
          <w:szCs w:val="22"/>
          <w:vertAlign w:val="baseline"/>
          <w:lang w:val="en-US" w:eastAsia="zh-CN" w:bidi="ar-SA"/>
        </w:rPr>
        <w:t>023-76865666</w:t>
      </w:r>
    </w:p>
    <w:p>
      <w:pPr>
        <w:rPr>
          <w:rFonts w:hint="default" w:cs="宋体"/>
          <w:color w:val="auto"/>
          <w:sz w:val="21"/>
          <w:szCs w:val="21"/>
          <w:highlight w:val="none"/>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highlight w:val="none"/>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auto"/>
                <w:sz w:val="20"/>
                <w:szCs w:val="20"/>
                <w:highlight w:val="none"/>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highlight w:val="none"/>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auto"/>
                <w:sz w:val="20"/>
                <w:szCs w:val="20"/>
                <w:highlight w:val="none"/>
              </w:rPr>
            </w:pPr>
            <w:r>
              <w:rPr>
                <w:rFonts w:cs="宋体"/>
                <w:color w:val="auto"/>
                <w:sz w:val="20"/>
                <w:szCs w:val="20"/>
                <w:highlight w:val="none"/>
              </w:rPr>
              <w:t>公开单位：</w:t>
            </w:r>
            <w:r>
              <w:rPr>
                <w:color w:val="auto"/>
                <w:sz w:val="20"/>
                <w:highlight w:val="none"/>
                <w:u w:color="auto"/>
              </w:rPr>
              <w:t>重庆市秀山土家族苗族自治县龙凤坝镇文化服务中心</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auto"/>
                <w:sz w:val="22"/>
                <w:szCs w:val="22"/>
                <w:highlight w:val="none"/>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highlight w:val="none"/>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r>
              <w:rPr>
                <w:rFonts w:cs="宋体"/>
                <w:color w:val="auto"/>
                <w:sz w:val="20"/>
                <w:szCs w:val="20"/>
                <w:highlight w:val="none"/>
              </w:rPr>
              <w:t>54.78</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r>
              <w:rPr>
                <w:rFonts w:cs="宋体"/>
                <w:color w:val="auto"/>
                <w:sz w:val="20"/>
                <w:szCs w:val="20"/>
                <w:highlight w:val="none"/>
              </w:rPr>
              <w:t>43.82</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r>
              <w:rPr>
                <w:rFonts w:cs="宋体"/>
                <w:color w:val="auto"/>
                <w:sz w:val="20"/>
                <w:szCs w:val="20"/>
                <w:highlight w:val="none"/>
              </w:rPr>
              <w:t>4.77</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r>
              <w:rPr>
                <w:rFonts w:cs="宋体"/>
                <w:color w:val="auto"/>
                <w:sz w:val="20"/>
                <w:szCs w:val="20"/>
                <w:highlight w:val="none"/>
              </w:rPr>
              <w:t>2.30</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r>
              <w:rPr>
                <w:rFonts w:cs="宋体"/>
                <w:color w:val="auto"/>
                <w:sz w:val="20"/>
                <w:szCs w:val="20"/>
                <w:highlight w:val="none"/>
              </w:rPr>
              <w:t>3.89</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r>
              <w:rPr>
                <w:rFonts w:cs="宋体"/>
                <w:color w:val="auto"/>
                <w:sz w:val="20"/>
                <w:szCs w:val="20"/>
                <w:highlight w:val="none"/>
              </w:rPr>
              <w:t>54.78</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r>
              <w:rPr>
                <w:rFonts w:cs="宋体"/>
                <w:color w:val="auto"/>
                <w:sz w:val="20"/>
                <w:szCs w:val="20"/>
                <w:highlight w:val="none"/>
              </w:rPr>
              <w:t>54.78</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r>
              <w:rPr>
                <w:rFonts w:cs="宋体"/>
                <w:color w:val="auto"/>
                <w:sz w:val="20"/>
                <w:szCs w:val="20"/>
                <w:highlight w:val="none"/>
              </w:rPr>
              <w:t>54.78</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highlight w:val="none"/>
                <w:lang w:eastAsia="zh-CN"/>
              </w:rPr>
            </w:pPr>
            <w:r>
              <w:rPr>
                <w:rFonts w:cs="宋体"/>
                <w:color w:val="auto"/>
                <w:sz w:val="20"/>
                <w:szCs w:val="20"/>
                <w:highlight w:val="none"/>
              </w:rPr>
              <w:t>54.78</w:t>
            </w:r>
          </w:p>
        </w:tc>
      </w:tr>
    </w:tbl>
    <w:p>
      <w:pPr>
        <w:spacing w:line="240" w:lineRule="exact"/>
        <w:rPr>
          <w:rFonts w:hint="default" w:cs="宋体"/>
          <w:color w:val="auto"/>
          <w:sz w:val="20"/>
          <w:szCs w:val="20"/>
          <w:highlight w:val="none"/>
        </w:rPr>
      </w:pPr>
      <w:r>
        <w:rPr>
          <w:rFonts w:cs="宋体"/>
          <w:color w:val="auto"/>
          <w:sz w:val="20"/>
          <w:szCs w:val="20"/>
          <w:highlight w:val="none"/>
        </w:rPr>
        <w:t>备注：1.本表反映单位本年度的总收支和年末结转结余情况。</w:t>
      </w:r>
      <w:r>
        <w:rPr>
          <w:rFonts w:cs="宋体"/>
          <w:color w:val="auto"/>
          <w:sz w:val="20"/>
          <w:szCs w:val="20"/>
          <w:highlight w:val="none"/>
        </w:rPr>
        <w:br w:type="textWrapping"/>
      </w:r>
      <w:r>
        <w:rPr>
          <w:rFonts w:cs="宋体"/>
          <w:color w:val="auto"/>
          <w:sz w:val="20"/>
          <w:szCs w:val="20"/>
          <w:highlight w:val="none"/>
        </w:rPr>
        <w:t>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公开单位：</w:t>
            </w:r>
            <w:r>
              <w:rPr>
                <w:color w:val="auto"/>
                <w:sz w:val="20"/>
                <w:highlight w:val="none"/>
                <w:u w:color="auto"/>
              </w:rPr>
              <w:t>重庆市秀山土家族苗族自治县龙凤坝镇文化服务中心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bCs/>
                <w:color w:val="auto"/>
                <w:sz w:val="20"/>
                <w:szCs w:val="20"/>
                <w:highlight w:val="none"/>
              </w:rPr>
              <w:t>54.78</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bCs/>
                <w:color w:val="auto"/>
                <w:sz w:val="20"/>
                <w:szCs w:val="20"/>
                <w:highlight w:val="none"/>
              </w:rPr>
              <w:t>54.78</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43.82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43.82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43.82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43.82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2070109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33.58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33.58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10.24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10.24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4.77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4.77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4.77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4.77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3.14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3.14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1.63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1.63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2.30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2.30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2.30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2.30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2.30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2.30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3.89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3.89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3.89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3.89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3.89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3.89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bl>
    <w:p>
      <w:pPr>
        <w:ind w:left="600" w:hanging="600" w:hangingChars="300"/>
        <w:rPr>
          <w:rFonts w:hint="default" w:cs="宋体"/>
          <w:color w:val="auto"/>
          <w:sz w:val="20"/>
          <w:szCs w:val="20"/>
          <w:highlight w:val="none"/>
        </w:rPr>
      </w:pPr>
      <w:r>
        <w:rPr>
          <w:rFonts w:cs="宋体"/>
          <w:color w:val="auto"/>
          <w:sz w:val="20"/>
          <w:szCs w:val="20"/>
          <w:highlight w:val="none"/>
        </w:rPr>
        <w:t>备注：1.本表反映单位本年度取得的各项收入情况。</w:t>
      </w:r>
      <w:r>
        <w:rPr>
          <w:rFonts w:cs="宋体"/>
          <w:color w:val="auto"/>
          <w:sz w:val="20"/>
          <w:szCs w:val="20"/>
          <w:highlight w:val="none"/>
        </w:rPr>
        <w:br w:type="textWrapping"/>
      </w:r>
      <w:r>
        <w:rPr>
          <w:rFonts w:cs="宋体"/>
          <w:color w:val="auto"/>
          <w:sz w:val="20"/>
          <w:szCs w:val="20"/>
          <w:highlight w:val="none"/>
        </w:rPr>
        <w:t>2.本套报表金额单位转换时可能存在尾数误差。</w:t>
      </w:r>
      <w:r>
        <w:rPr>
          <w:rFonts w:cs="宋体"/>
          <w:color w:val="auto"/>
          <w:sz w:val="20"/>
          <w:szCs w:val="20"/>
          <w:highlight w:val="none"/>
        </w:rPr>
        <w:br w:type="textWrapping"/>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eastAsia="宋体" w:cs="宋体"/>
                <w:color w:val="auto"/>
                <w:sz w:val="20"/>
                <w:szCs w:val="20"/>
                <w:highlight w:val="none"/>
                <w:lang w:eastAsia="zh-CN"/>
              </w:rPr>
            </w:pPr>
            <w:r>
              <w:rPr>
                <w:rFonts w:cs="宋体"/>
                <w:color w:val="auto"/>
                <w:sz w:val="20"/>
                <w:szCs w:val="20"/>
                <w:highlight w:val="none"/>
              </w:rPr>
              <w:t>公开单位：</w:t>
            </w:r>
            <w:r>
              <w:rPr>
                <w:color w:val="auto"/>
                <w:sz w:val="20"/>
                <w:highlight w:val="none"/>
                <w:u w:color="auto"/>
              </w:rPr>
              <w:t>重庆市秀山土家族苗族自治县龙凤坝镇文化服务中心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bCs/>
                <w:color w:val="auto"/>
                <w:sz w:val="20"/>
                <w:szCs w:val="20"/>
                <w:highlight w:val="none"/>
              </w:rPr>
              <w:t>54.78</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bCs/>
                <w:color w:val="auto"/>
                <w:sz w:val="20"/>
                <w:szCs w:val="20"/>
                <w:highlight w:val="none"/>
              </w:rPr>
              <w:t>44.54</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bCs/>
                <w:color w:val="auto"/>
                <w:sz w:val="20"/>
                <w:szCs w:val="20"/>
                <w:highlight w:val="none"/>
              </w:rPr>
              <w:t>10.24</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43.82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33.58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10.24</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43.82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33.58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10.24</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2070109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33.58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33.58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10.24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10.24</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4.77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4.77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4.77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4.77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3.14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3.14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1.63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1.63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2.30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2.30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2.30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2.30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2.30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2.30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3.89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3.89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3.89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b/>
                <w:color w:val="auto"/>
                <w:sz w:val="20"/>
                <w:szCs w:val="20"/>
                <w:highlight w:val="none"/>
              </w:rPr>
              <w:t>3.89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3.89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r>
              <w:rPr>
                <w:rFonts w:cs="宋体"/>
                <w:color w:val="auto"/>
                <w:sz w:val="20"/>
                <w:szCs w:val="20"/>
                <w:highlight w:val="none"/>
              </w:rPr>
              <w:t>3.89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highlight w:val="none"/>
                <w:lang w:eastAsia="zh-CN"/>
              </w:rPr>
            </w:pPr>
          </w:p>
        </w:tc>
      </w:tr>
    </w:tbl>
    <w:p>
      <w:pPr>
        <w:rPr>
          <w:rFonts w:hint="default" w:cs="宋体"/>
          <w:color w:val="auto"/>
          <w:sz w:val="20"/>
          <w:szCs w:val="20"/>
          <w:highlight w:val="none"/>
        </w:rPr>
      </w:pPr>
      <w:r>
        <w:rPr>
          <w:rFonts w:cs="宋体"/>
          <w:color w:val="auto"/>
          <w:sz w:val="20"/>
          <w:szCs w:val="20"/>
          <w:highlight w:val="none"/>
        </w:rPr>
        <w:t>备注：1.本表反映单位本年度各项支出情况。</w:t>
      </w:r>
      <w:r>
        <w:rPr>
          <w:rFonts w:cs="宋体"/>
          <w:color w:val="auto"/>
          <w:sz w:val="20"/>
          <w:szCs w:val="20"/>
          <w:highlight w:val="none"/>
        </w:rPr>
        <w:br w:type="textWrapping"/>
      </w:r>
      <w:r>
        <w:rPr>
          <w:rFonts w:cs="宋体"/>
          <w:color w:val="auto"/>
          <w:sz w:val="20"/>
          <w:szCs w:val="20"/>
          <w:highlight w:val="none"/>
        </w:rPr>
        <w:t>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pPr>
        <w:rPr>
          <w:rFonts w:hint="default" w:cs="宋体"/>
          <w:color w:val="auto"/>
          <w:sz w:val="21"/>
          <w:szCs w:val="21"/>
          <w:highlight w:val="none"/>
        </w:rPr>
      </w:pPr>
      <w:r>
        <w:rPr>
          <w:rFonts w:cs="宋体"/>
          <w:color w:val="auto"/>
          <w:sz w:val="21"/>
          <w:szCs w:val="21"/>
          <w:highlight w:val="none"/>
        </w:rPr>
        <w:br w:type="page"/>
      </w:r>
    </w:p>
    <w:p>
      <w:pPr>
        <w:rPr>
          <w:rFonts w:hint="default" w:cs="宋体"/>
          <w:color w:val="auto"/>
          <w:sz w:val="21"/>
          <w:szCs w:val="21"/>
          <w:highlight w:val="none"/>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auto"/>
                <w:sz w:val="18"/>
                <w:szCs w:val="18"/>
                <w:highlight w:val="none"/>
              </w:rPr>
            </w:pPr>
            <w:r>
              <w:rPr>
                <w:rFonts w:cs="宋体"/>
                <w:color w:val="auto"/>
                <w:sz w:val="20"/>
                <w:szCs w:val="20"/>
                <w:highlight w:val="none"/>
              </w:rPr>
              <w:t>公开单位：</w:t>
            </w:r>
            <w:r>
              <w:rPr>
                <w:color w:val="auto"/>
                <w:sz w:val="20"/>
                <w:highlight w:val="none"/>
                <w:u w:color="auto"/>
              </w:rPr>
              <w:t>重庆市秀山土家族苗族自治县龙凤坝镇文化服务中心</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rFonts w:cs="宋体"/>
                <w:color w:val="auto"/>
                <w:sz w:val="20"/>
                <w:szCs w:val="20"/>
                <w:highlight w:val="none"/>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收入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支出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54.78</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43.82</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43.82</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4.77</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4.77</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2.30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2.30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3.89</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3.89</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54.78</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54.78</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54.78</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54.78</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54.78</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54.78</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bl>
    <w:p>
      <w:pPr>
        <w:spacing w:line="240" w:lineRule="exact"/>
        <w:rPr>
          <w:rFonts w:hint="default" w:cs="宋体"/>
          <w:color w:val="auto"/>
          <w:sz w:val="20"/>
          <w:szCs w:val="20"/>
          <w:highlight w:val="none"/>
        </w:rPr>
      </w:pPr>
      <w:r>
        <w:rPr>
          <w:rFonts w:cs="宋体"/>
          <w:color w:val="auto"/>
          <w:sz w:val="20"/>
          <w:szCs w:val="20"/>
          <w:highlight w:val="none"/>
        </w:rPr>
        <w:t>备注：1.本表反映单位本年度一般公共预算财政拨款、政府性基金预算财政拨款及国有资本经营预算财政拨款的总收支和年末结转结余情况。</w:t>
      </w:r>
      <w:r>
        <w:rPr>
          <w:rFonts w:cs="宋体"/>
          <w:color w:val="auto"/>
          <w:sz w:val="20"/>
          <w:szCs w:val="20"/>
          <w:highlight w:val="none"/>
        </w:rPr>
        <w:br w:type="textWrapping"/>
      </w:r>
      <w:r>
        <w:rPr>
          <w:rFonts w:cs="宋体"/>
          <w:color w:val="auto"/>
          <w:sz w:val="20"/>
          <w:szCs w:val="20"/>
          <w:highlight w:val="none"/>
        </w:rPr>
        <w:t>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r>
        <w:rPr>
          <w:rFonts w:cs="宋体"/>
          <w:color w:val="auto"/>
          <w:sz w:val="21"/>
          <w:szCs w:val="21"/>
          <w:highlight w:val="none"/>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公开单位：</w:t>
            </w:r>
            <w:r>
              <w:rPr>
                <w:color w:val="auto"/>
                <w:sz w:val="20"/>
                <w:highlight w:val="none"/>
                <w:u w:color="auto"/>
              </w:rPr>
              <w:t>重庆市秀山土家族苗族自治县龙凤坝镇文化服务中心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bCs/>
                <w:color w:val="auto"/>
                <w:sz w:val="20"/>
                <w:szCs w:val="20"/>
                <w:highlight w:val="none"/>
              </w:rPr>
              <w:t>54.78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bCs/>
                <w:color w:val="auto"/>
                <w:sz w:val="20"/>
                <w:szCs w:val="20"/>
                <w:highlight w:val="none"/>
              </w:rPr>
              <w:t>44.54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bCs/>
                <w:color w:val="auto"/>
                <w:sz w:val="20"/>
                <w:szCs w:val="20"/>
                <w:highlight w:val="none"/>
              </w:rPr>
              <w:t>10.24</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color w:val="auto"/>
                <w:sz w:val="20"/>
                <w:szCs w:val="20"/>
                <w:highlight w:val="none"/>
              </w:rPr>
              <w:t>43.82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color w:val="auto"/>
                <w:sz w:val="20"/>
                <w:szCs w:val="20"/>
                <w:highlight w:val="none"/>
              </w:rPr>
              <w:t>33.58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color w:val="auto"/>
                <w:sz w:val="20"/>
                <w:szCs w:val="20"/>
                <w:highlight w:val="none"/>
              </w:rPr>
              <w:t>10.24</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color w:val="auto"/>
                <w:sz w:val="20"/>
                <w:szCs w:val="20"/>
                <w:highlight w:val="none"/>
              </w:rPr>
              <w:t>43.82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color w:val="auto"/>
                <w:sz w:val="20"/>
                <w:szCs w:val="20"/>
                <w:highlight w:val="none"/>
              </w:rPr>
              <w:t>33.58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color w:val="auto"/>
                <w:sz w:val="20"/>
                <w:szCs w:val="20"/>
                <w:highlight w:val="none"/>
              </w:rPr>
              <w:t>10.24</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2070109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群众文化</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color w:val="auto"/>
                <w:sz w:val="20"/>
                <w:szCs w:val="20"/>
                <w:highlight w:val="none"/>
              </w:rPr>
              <w:t>33.58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color w:val="auto"/>
                <w:sz w:val="20"/>
                <w:szCs w:val="20"/>
                <w:highlight w:val="none"/>
              </w:rPr>
              <w:t>33.58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color w:val="auto"/>
                <w:sz w:val="20"/>
                <w:szCs w:val="20"/>
                <w:highlight w:val="none"/>
              </w:rPr>
              <w:t>10.24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color w:val="auto"/>
                <w:sz w:val="20"/>
                <w:szCs w:val="20"/>
                <w:highlight w:val="none"/>
              </w:rPr>
              <w:t>10.24</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color w:val="auto"/>
                <w:sz w:val="20"/>
                <w:szCs w:val="20"/>
                <w:highlight w:val="none"/>
              </w:rPr>
              <w:t>4.77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color w:val="auto"/>
                <w:sz w:val="20"/>
                <w:szCs w:val="20"/>
                <w:highlight w:val="none"/>
              </w:rPr>
              <w:t>4.77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color w:val="auto"/>
                <w:sz w:val="20"/>
                <w:szCs w:val="20"/>
                <w:highlight w:val="none"/>
              </w:rPr>
              <w:t>4.77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color w:val="auto"/>
                <w:sz w:val="20"/>
                <w:szCs w:val="20"/>
                <w:highlight w:val="none"/>
              </w:rPr>
              <w:t>4.77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color w:val="auto"/>
                <w:sz w:val="20"/>
                <w:szCs w:val="20"/>
                <w:highlight w:val="none"/>
              </w:rPr>
              <w:t>3.14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color w:val="auto"/>
                <w:sz w:val="20"/>
                <w:szCs w:val="20"/>
                <w:highlight w:val="none"/>
              </w:rPr>
              <w:t>3.14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color w:val="auto"/>
                <w:sz w:val="20"/>
                <w:szCs w:val="20"/>
                <w:highlight w:val="none"/>
              </w:rPr>
              <w:t>1.63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color w:val="auto"/>
                <w:sz w:val="20"/>
                <w:szCs w:val="20"/>
                <w:highlight w:val="none"/>
              </w:rPr>
              <w:t>1.63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color w:val="auto"/>
                <w:sz w:val="20"/>
                <w:szCs w:val="20"/>
                <w:highlight w:val="none"/>
              </w:rPr>
              <w:t>2.30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color w:val="auto"/>
                <w:sz w:val="20"/>
                <w:szCs w:val="20"/>
                <w:highlight w:val="none"/>
              </w:rPr>
              <w:t>2.30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color w:val="auto"/>
                <w:sz w:val="20"/>
                <w:szCs w:val="20"/>
                <w:highlight w:val="none"/>
              </w:rPr>
              <w:t>2.30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color w:val="auto"/>
                <w:sz w:val="20"/>
                <w:szCs w:val="20"/>
                <w:highlight w:val="none"/>
              </w:rPr>
              <w:t>2.30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color w:val="auto"/>
                <w:sz w:val="20"/>
                <w:szCs w:val="20"/>
                <w:highlight w:val="none"/>
              </w:rPr>
              <w:t>2.30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color w:val="auto"/>
                <w:sz w:val="20"/>
                <w:szCs w:val="20"/>
                <w:highlight w:val="none"/>
              </w:rPr>
              <w:t>2.30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color w:val="auto"/>
                <w:sz w:val="20"/>
                <w:szCs w:val="20"/>
                <w:highlight w:val="none"/>
              </w:rPr>
              <w:t>3.89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color w:val="auto"/>
                <w:sz w:val="20"/>
                <w:szCs w:val="20"/>
                <w:highlight w:val="none"/>
              </w:rPr>
              <w:t>3.89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color w:val="auto"/>
                <w:sz w:val="20"/>
                <w:szCs w:val="20"/>
                <w:highlight w:val="none"/>
              </w:rPr>
              <w:t>3.89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b/>
                <w:color w:val="auto"/>
                <w:sz w:val="20"/>
                <w:szCs w:val="20"/>
                <w:highlight w:val="none"/>
              </w:rPr>
              <w:t>3.89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color w:val="auto"/>
                <w:sz w:val="20"/>
                <w:szCs w:val="20"/>
                <w:highlight w:val="none"/>
              </w:rPr>
              <w:t>3.89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r>
              <w:rPr>
                <w:rFonts w:cs="宋体"/>
                <w:color w:val="auto"/>
                <w:sz w:val="20"/>
                <w:szCs w:val="20"/>
                <w:highlight w:val="none"/>
              </w:rPr>
              <w:t>3.89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r>
    </w:tbl>
    <w:p>
      <w:pPr>
        <w:rPr>
          <w:rFonts w:hint="default" w:cs="宋体"/>
          <w:color w:val="auto"/>
          <w:sz w:val="21"/>
          <w:szCs w:val="21"/>
          <w:highlight w:val="none"/>
        </w:rPr>
      </w:pPr>
      <w:r>
        <w:rPr>
          <w:rFonts w:cs="宋体"/>
          <w:color w:val="auto"/>
          <w:sz w:val="20"/>
          <w:szCs w:val="20"/>
          <w:highlight w:val="none"/>
        </w:rPr>
        <w:t>备注：1.本表反映单位本年度一般公共预算财政拨款支出情况。</w:t>
      </w:r>
      <w:r>
        <w:rPr>
          <w:rFonts w:cs="宋体"/>
          <w:color w:val="auto"/>
          <w:sz w:val="20"/>
          <w:szCs w:val="20"/>
          <w:highlight w:val="none"/>
        </w:rPr>
        <w:br w:type="textWrapping"/>
      </w:r>
      <w:r>
        <w:rPr>
          <w:rFonts w:cs="宋体"/>
          <w:color w:val="auto"/>
          <w:sz w:val="20"/>
          <w:szCs w:val="20"/>
          <w:highlight w:val="none"/>
        </w:rPr>
        <w:t>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pPr>
        <w:ind w:firstLine="630" w:firstLineChars="300"/>
        <w:rPr>
          <w:rFonts w:hint="default" w:cs="宋体"/>
          <w:color w:val="auto"/>
          <w:sz w:val="21"/>
          <w:szCs w:val="21"/>
          <w:highlight w:val="none"/>
        </w:rPr>
      </w:pPr>
      <w:r>
        <w:rPr>
          <w:rFonts w:cs="宋体"/>
          <w:color w:val="auto"/>
          <w:sz w:val="21"/>
          <w:szCs w:val="21"/>
          <w:highlight w:val="none"/>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auto"/>
                <w:sz w:val="32"/>
                <w:szCs w:val="32"/>
                <w:highlight w:val="none"/>
              </w:rPr>
            </w:pPr>
            <w:r>
              <w:rPr>
                <w:rFonts w:cs="宋体"/>
                <w:b/>
                <w:color w:val="auto"/>
                <w:sz w:val="32"/>
                <w:szCs w:val="32"/>
                <w:highlight w:val="none"/>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auto"/>
                <w:sz w:val="18"/>
                <w:szCs w:val="18"/>
                <w:highlight w:val="none"/>
              </w:rPr>
            </w:pPr>
            <w:r>
              <w:rPr>
                <w:rFonts w:cs="宋体"/>
                <w:color w:val="auto"/>
                <w:sz w:val="20"/>
                <w:szCs w:val="20"/>
                <w:highlight w:val="none"/>
              </w:rPr>
              <w:t>公开单位：</w:t>
            </w:r>
            <w:r>
              <w:rPr>
                <w:color w:val="auto"/>
                <w:sz w:val="20"/>
                <w:highlight w:val="none"/>
                <w:u w:color="auto"/>
              </w:rPr>
              <w:t>重庆市秀山土家族苗族自治县龙凤坝镇文化服务中心</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41.84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2.69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10.89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0.10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2.74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1.52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15.23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3.14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1.63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1.75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2.30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0.02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3.89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0.48</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0.18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0.51</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0.15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eastAsia" w:eastAsia="宋体" w:cs="宋体"/>
                <w:color w:val="auto"/>
                <w:sz w:val="18"/>
                <w:szCs w:val="18"/>
                <w:highlight w:val="none"/>
                <w:lang w:eastAsia="zh-CN"/>
              </w:rPr>
            </w:pPr>
            <w:r>
              <w:rPr>
                <w:rFonts w:cs="宋体"/>
                <w:color w:val="auto"/>
                <w:sz w:val="18"/>
                <w:szCs w:val="18"/>
                <w:highlight w:val="none"/>
              </w:rPr>
              <w:t>41.84</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highlight w:val="none"/>
                <w:lang w:eastAsia="zh-CN"/>
              </w:rPr>
            </w:pPr>
            <w:r>
              <w:rPr>
                <w:rFonts w:cs="宋体"/>
                <w:color w:val="auto"/>
                <w:sz w:val="18"/>
                <w:szCs w:val="18"/>
                <w:highlight w:val="none"/>
              </w:rPr>
              <w:t>2.69</w:t>
            </w:r>
          </w:p>
        </w:tc>
      </w:tr>
    </w:tbl>
    <w:p>
      <w:pPr>
        <w:spacing w:line="280" w:lineRule="exact"/>
        <w:rPr>
          <w:rFonts w:hint="default" w:cs="宋体"/>
          <w:color w:val="auto"/>
          <w:sz w:val="20"/>
          <w:szCs w:val="20"/>
          <w:highlight w:val="none"/>
        </w:rPr>
      </w:pPr>
      <w:r>
        <w:rPr>
          <w:rFonts w:cs="宋体"/>
          <w:color w:val="auto"/>
          <w:sz w:val="20"/>
          <w:szCs w:val="20"/>
          <w:highlight w:val="none"/>
        </w:rPr>
        <w:t>备注：1.本表反映单位本年度一般公共预算财政拨款基本支出明细情况。</w:t>
      </w:r>
      <w:r>
        <w:rPr>
          <w:rFonts w:cs="宋体"/>
          <w:color w:val="auto"/>
          <w:sz w:val="20"/>
          <w:szCs w:val="20"/>
          <w:highlight w:val="none"/>
        </w:rPr>
        <w:br w:type="textWrapping"/>
      </w:r>
      <w:r>
        <w:rPr>
          <w:rFonts w:cs="宋体"/>
          <w:color w:val="auto"/>
          <w:sz w:val="20"/>
          <w:szCs w:val="20"/>
          <w:highlight w:val="none"/>
        </w:rPr>
        <w:t>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r>
        <w:rPr>
          <w:rFonts w:cs="宋体"/>
          <w:color w:val="auto"/>
          <w:sz w:val="21"/>
          <w:szCs w:val="21"/>
          <w:highlight w:val="none"/>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公开单位：</w:t>
            </w:r>
            <w:r>
              <w:rPr>
                <w:color w:val="auto"/>
                <w:sz w:val="20"/>
                <w:highlight w:val="none"/>
                <w:u w:color="auto"/>
              </w:rPr>
              <w:t>重庆市秀山土家族苗族自治县龙凤坝镇文化服务中心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r>
    </w:tbl>
    <w:p>
      <w:pPr>
        <w:rPr>
          <w:rFonts w:hint="default" w:cs="宋体"/>
          <w:color w:val="auto"/>
          <w:sz w:val="21"/>
          <w:szCs w:val="21"/>
          <w:highlight w:val="none"/>
        </w:rPr>
      </w:pPr>
      <w:r>
        <w:rPr>
          <w:rFonts w:cs="宋体"/>
          <w:color w:val="auto"/>
          <w:sz w:val="20"/>
          <w:szCs w:val="20"/>
          <w:highlight w:val="none"/>
        </w:rPr>
        <w:t>备注：本表反映单位本年度政府性基金预算财政拨款收入支出及结转和结余情况。本单位无政府性基金收支，故本表无数据。</w:t>
      </w:r>
      <w:r>
        <w:rPr>
          <w:rFonts w:cs="宋体"/>
          <w:color w:val="auto"/>
          <w:sz w:val="20"/>
          <w:szCs w:val="20"/>
          <w:highlight w:val="none"/>
        </w:rPr>
        <w:br w:type="textWrapping"/>
      </w:r>
      <w:r>
        <w:rPr>
          <w:rFonts w:cs="宋体"/>
          <w:color w:val="auto"/>
          <w:sz w:val="20"/>
          <w:szCs w:val="20"/>
          <w:highlight w:val="none"/>
        </w:rPr>
        <w:br w:type="textWrapping"/>
      </w:r>
    </w:p>
    <w:p>
      <w:pPr>
        <w:rPr>
          <w:rFonts w:hint="default" w:cs="宋体"/>
          <w:color w:val="auto"/>
          <w:sz w:val="21"/>
          <w:szCs w:val="21"/>
          <w:highlight w:val="none"/>
        </w:rPr>
      </w:pPr>
      <w:r>
        <w:rPr>
          <w:rFonts w:cs="宋体"/>
          <w:color w:val="auto"/>
          <w:sz w:val="21"/>
          <w:szCs w:val="21"/>
          <w:highlight w:val="none"/>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公开单位：</w:t>
            </w:r>
            <w:r>
              <w:rPr>
                <w:color w:val="auto"/>
                <w:sz w:val="20"/>
                <w:highlight w:val="none"/>
                <w:u w:color="auto"/>
              </w:rPr>
              <w:t>重庆市秀山土家族苗族自治县龙凤坝镇文化服务中心</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auto"/>
                <w:sz w:val="20"/>
                <w:szCs w:val="20"/>
                <w:highlight w:val="none"/>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highlight w:val="none"/>
                <w:lang w:eastAsia="zh-CN"/>
              </w:rPr>
            </w:pPr>
          </w:p>
        </w:tc>
      </w:tr>
    </w:tbl>
    <w:p>
      <w:pPr>
        <w:rPr>
          <w:rFonts w:hint="default" w:cs="宋体"/>
          <w:color w:val="auto"/>
          <w:sz w:val="21"/>
          <w:szCs w:val="21"/>
          <w:highlight w:val="none"/>
        </w:rPr>
      </w:pPr>
      <w:r>
        <w:rPr>
          <w:rFonts w:cs="宋体"/>
          <w:color w:val="auto"/>
          <w:sz w:val="20"/>
          <w:szCs w:val="20"/>
          <w:highlight w:val="none"/>
        </w:rPr>
        <w:t>备注：本表反映单位本年度国有资本经营预算财政拨款支出情况。本单位无国有资本经营收支，故本表无数据。</w:t>
      </w:r>
      <w:r>
        <w:rPr>
          <w:rFonts w:cs="宋体"/>
          <w:color w:val="auto"/>
          <w:sz w:val="20"/>
          <w:szCs w:val="20"/>
          <w:highlight w:val="none"/>
        </w:rPr>
        <w:br w:type="textWrapping"/>
      </w:r>
      <w:r>
        <w:rPr>
          <w:rFonts w:cs="宋体"/>
          <w:color w:val="auto"/>
          <w:sz w:val="20"/>
          <w:szCs w:val="20"/>
          <w:highlight w:val="none"/>
        </w:rPr>
        <w:br w:type="textWrapping"/>
      </w:r>
    </w:p>
    <w:p>
      <w:pPr>
        <w:rPr>
          <w:rFonts w:hint="default" w:cs="宋体"/>
          <w:color w:val="auto"/>
          <w:sz w:val="21"/>
          <w:szCs w:val="21"/>
          <w:highlight w:val="none"/>
        </w:rPr>
      </w:pPr>
      <w:r>
        <w:rPr>
          <w:rFonts w:hint="default" w:cs="宋体"/>
          <w:color w:val="auto"/>
          <w:sz w:val="21"/>
          <w:szCs w:val="21"/>
          <w:highlight w:val="none"/>
        </w:rPr>
        <w:br w:type="page"/>
      </w:r>
    </w:p>
    <w:tbl>
      <w:tblPr>
        <w:tblStyle w:val="10"/>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highlight w:val="none"/>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auto"/>
                <w:sz w:val="20"/>
                <w:szCs w:val="20"/>
                <w:highlight w:val="none"/>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auto"/>
                <w:sz w:val="20"/>
                <w:szCs w:val="20"/>
                <w:highlight w:val="none"/>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highlight w:val="none"/>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auto"/>
                <w:sz w:val="20"/>
                <w:szCs w:val="20"/>
                <w:highlight w:val="none"/>
              </w:rPr>
            </w:pPr>
            <w:r>
              <w:rPr>
                <w:rFonts w:cs="宋体"/>
                <w:color w:val="auto"/>
                <w:sz w:val="20"/>
                <w:szCs w:val="20"/>
                <w:highlight w:val="none"/>
              </w:rPr>
              <w:t>公开单位：</w:t>
            </w:r>
            <w:r>
              <w:rPr>
                <w:color w:val="auto"/>
                <w:sz w:val="20"/>
                <w:highlight w:val="none"/>
                <w:u w:color="auto"/>
              </w:rPr>
              <w:t>重庆市秀山土家族苗族自治县龙凤坝镇文化服务中心</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auto"/>
                <w:sz w:val="20"/>
                <w:szCs w:val="20"/>
                <w:highlight w:val="none"/>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auto"/>
                <w:sz w:val="20"/>
                <w:szCs w:val="20"/>
                <w:highlight w:val="none"/>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highlight w:val="none"/>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highlight w:val="none"/>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auto"/>
                <w:sz w:val="20"/>
                <w:szCs w:val="20"/>
                <w:highlight w:val="none"/>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highlight w:val="none"/>
                <w:lang w:eastAsia="zh-CN"/>
              </w:rPr>
            </w:pPr>
            <w:r>
              <w:rPr>
                <w:rFonts w:cs="宋体"/>
                <w:color w:val="auto"/>
                <w:sz w:val="20"/>
                <w:szCs w:val="20"/>
                <w:highlight w:val="none"/>
              </w:rPr>
              <w:t>0.18</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highlight w:val="none"/>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auto"/>
                <w:sz w:val="20"/>
                <w:szCs w:val="20"/>
                <w:highlight w:val="none"/>
              </w:rPr>
            </w:pPr>
          </w:p>
        </w:tc>
      </w:tr>
    </w:tbl>
    <w:p>
      <w:pPr>
        <w:rPr>
          <w:rFonts w:cs="宋体"/>
          <w:color w:val="auto"/>
          <w:sz w:val="21"/>
          <w:szCs w:val="21"/>
          <w:highlight w:val="none"/>
        </w:rPr>
      </w:pPr>
      <w:r>
        <w:rPr>
          <w:rFonts w:cs="宋体"/>
          <w:color w:val="auto"/>
          <w:sz w:val="20"/>
          <w:szCs w:val="20"/>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highlight w:val="none"/>
        </w:rPr>
        <w:br w:type="textWrapping"/>
      </w:r>
      <w:r>
        <w:rPr>
          <w:rFonts w:cs="宋体"/>
          <w:color w:val="auto"/>
          <w:sz w:val="20"/>
          <w:szCs w:val="20"/>
          <w:highlight w:val="none"/>
        </w:rPr>
        <w:t>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4FE3AC5"/>
    <w:rsid w:val="05BC6D49"/>
    <w:rsid w:val="06194FF1"/>
    <w:rsid w:val="06A2550B"/>
    <w:rsid w:val="06F80EE2"/>
    <w:rsid w:val="07001CCA"/>
    <w:rsid w:val="075678DB"/>
    <w:rsid w:val="079D7CC7"/>
    <w:rsid w:val="08051BCA"/>
    <w:rsid w:val="086C12F4"/>
    <w:rsid w:val="08705944"/>
    <w:rsid w:val="08BA052C"/>
    <w:rsid w:val="08DB07BA"/>
    <w:rsid w:val="0969353F"/>
    <w:rsid w:val="098305D0"/>
    <w:rsid w:val="09DD113B"/>
    <w:rsid w:val="0A3317EA"/>
    <w:rsid w:val="0A5C4B69"/>
    <w:rsid w:val="0A86124A"/>
    <w:rsid w:val="0AB54CC0"/>
    <w:rsid w:val="0B9335CE"/>
    <w:rsid w:val="0BF2311A"/>
    <w:rsid w:val="0C7927C4"/>
    <w:rsid w:val="0C9B098C"/>
    <w:rsid w:val="0D673E11"/>
    <w:rsid w:val="0DDA54E4"/>
    <w:rsid w:val="0E3A5F83"/>
    <w:rsid w:val="0F836721"/>
    <w:rsid w:val="0FA25D96"/>
    <w:rsid w:val="104C4F50"/>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A234A2"/>
    <w:rsid w:val="163A6CEE"/>
    <w:rsid w:val="16FF3671"/>
    <w:rsid w:val="173708E3"/>
    <w:rsid w:val="17C374FC"/>
    <w:rsid w:val="182E4AB6"/>
    <w:rsid w:val="189079DC"/>
    <w:rsid w:val="189B0D0B"/>
    <w:rsid w:val="18B43F7C"/>
    <w:rsid w:val="194A1770"/>
    <w:rsid w:val="19B906A4"/>
    <w:rsid w:val="1B6F15B6"/>
    <w:rsid w:val="1BAA2EDC"/>
    <w:rsid w:val="1CA55E64"/>
    <w:rsid w:val="1D014A01"/>
    <w:rsid w:val="1D022362"/>
    <w:rsid w:val="1D0309AD"/>
    <w:rsid w:val="1D1B04B0"/>
    <w:rsid w:val="1DA52501"/>
    <w:rsid w:val="1DA945A8"/>
    <w:rsid w:val="1DBD6767"/>
    <w:rsid w:val="1DC52125"/>
    <w:rsid w:val="1DD26311"/>
    <w:rsid w:val="1E374ACB"/>
    <w:rsid w:val="1ECF0A66"/>
    <w:rsid w:val="1EF029C3"/>
    <w:rsid w:val="1EF67CA4"/>
    <w:rsid w:val="1F020D3A"/>
    <w:rsid w:val="1F2C5189"/>
    <w:rsid w:val="1F4B0B02"/>
    <w:rsid w:val="1F56699B"/>
    <w:rsid w:val="1FBB35CD"/>
    <w:rsid w:val="1FCD26AF"/>
    <w:rsid w:val="20642787"/>
    <w:rsid w:val="2080261D"/>
    <w:rsid w:val="21556F04"/>
    <w:rsid w:val="22403BD3"/>
    <w:rsid w:val="22CA1903"/>
    <w:rsid w:val="22E87D0A"/>
    <w:rsid w:val="24B92327"/>
    <w:rsid w:val="24C14514"/>
    <w:rsid w:val="2533755C"/>
    <w:rsid w:val="25791755"/>
    <w:rsid w:val="26396DF4"/>
    <w:rsid w:val="27167136"/>
    <w:rsid w:val="271B442C"/>
    <w:rsid w:val="27B23302"/>
    <w:rsid w:val="284F0FCD"/>
    <w:rsid w:val="29310A5F"/>
    <w:rsid w:val="29C37A35"/>
    <w:rsid w:val="2A076083"/>
    <w:rsid w:val="2A73162E"/>
    <w:rsid w:val="2B076E9A"/>
    <w:rsid w:val="2B167953"/>
    <w:rsid w:val="2B200583"/>
    <w:rsid w:val="2B8209DE"/>
    <w:rsid w:val="2C636760"/>
    <w:rsid w:val="2C6762A3"/>
    <w:rsid w:val="2FCA4B37"/>
    <w:rsid w:val="2FE029D7"/>
    <w:rsid w:val="2FF06E00"/>
    <w:rsid w:val="2FFE340A"/>
    <w:rsid w:val="30586FEC"/>
    <w:rsid w:val="315F0B22"/>
    <w:rsid w:val="319102C7"/>
    <w:rsid w:val="31C6241B"/>
    <w:rsid w:val="31D84415"/>
    <w:rsid w:val="32285F6F"/>
    <w:rsid w:val="32770556"/>
    <w:rsid w:val="329C0913"/>
    <w:rsid w:val="32AA0460"/>
    <w:rsid w:val="32DA5C01"/>
    <w:rsid w:val="3337290D"/>
    <w:rsid w:val="336705A6"/>
    <w:rsid w:val="33E31118"/>
    <w:rsid w:val="33EF7674"/>
    <w:rsid w:val="342D7BC6"/>
    <w:rsid w:val="352930DB"/>
    <w:rsid w:val="35573069"/>
    <w:rsid w:val="355F6038"/>
    <w:rsid w:val="358C217E"/>
    <w:rsid w:val="362C39A7"/>
    <w:rsid w:val="36B60B80"/>
    <w:rsid w:val="36C9128A"/>
    <w:rsid w:val="37841E99"/>
    <w:rsid w:val="37BF1123"/>
    <w:rsid w:val="383C3F15"/>
    <w:rsid w:val="38BE4696"/>
    <w:rsid w:val="3939115E"/>
    <w:rsid w:val="39B82A39"/>
    <w:rsid w:val="39C42CA8"/>
    <w:rsid w:val="39DC4FD6"/>
    <w:rsid w:val="39F03D7A"/>
    <w:rsid w:val="39F33306"/>
    <w:rsid w:val="3A2C1C67"/>
    <w:rsid w:val="3A5C0F11"/>
    <w:rsid w:val="3ADD7F09"/>
    <w:rsid w:val="3B1705E5"/>
    <w:rsid w:val="3B18334B"/>
    <w:rsid w:val="3B36794F"/>
    <w:rsid w:val="3B6F6EE0"/>
    <w:rsid w:val="3C566AD6"/>
    <w:rsid w:val="3C594871"/>
    <w:rsid w:val="3C6A5B02"/>
    <w:rsid w:val="3D2757A1"/>
    <w:rsid w:val="3D3D4FC4"/>
    <w:rsid w:val="3D6D248C"/>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A10ED9"/>
    <w:rsid w:val="48E36915"/>
    <w:rsid w:val="48EB6572"/>
    <w:rsid w:val="495C4A24"/>
    <w:rsid w:val="497135DF"/>
    <w:rsid w:val="49B3177F"/>
    <w:rsid w:val="49DC4279"/>
    <w:rsid w:val="4A263DF2"/>
    <w:rsid w:val="4A6F6675"/>
    <w:rsid w:val="4B135857"/>
    <w:rsid w:val="4B7951CB"/>
    <w:rsid w:val="4B7C315C"/>
    <w:rsid w:val="4DAC4ACA"/>
    <w:rsid w:val="4DBE01D2"/>
    <w:rsid w:val="4E4D4DD3"/>
    <w:rsid w:val="4F0C6BA3"/>
    <w:rsid w:val="4F186D58"/>
    <w:rsid w:val="4F4F161B"/>
    <w:rsid w:val="50E01809"/>
    <w:rsid w:val="50F06B6E"/>
    <w:rsid w:val="516540B8"/>
    <w:rsid w:val="51D21804"/>
    <w:rsid w:val="52234D33"/>
    <w:rsid w:val="522F6E0C"/>
    <w:rsid w:val="52463BA1"/>
    <w:rsid w:val="529F1C4F"/>
    <w:rsid w:val="52F163D4"/>
    <w:rsid w:val="531A2DB4"/>
    <w:rsid w:val="53C0244D"/>
    <w:rsid w:val="53DD4D4E"/>
    <w:rsid w:val="53E578CE"/>
    <w:rsid w:val="541330F0"/>
    <w:rsid w:val="54272666"/>
    <w:rsid w:val="543B029D"/>
    <w:rsid w:val="546D1E45"/>
    <w:rsid w:val="54861779"/>
    <w:rsid w:val="54B80375"/>
    <w:rsid w:val="552256E1"/>
    <w:rsid w:val="554E5773"/>
    <w:rsid w:val="555A3CBC"/>
    <w:rsid w:val="5582012B"/>
    <w:rsid w:val="558E4E05"/>
    <w:rsid w:val="55BE2E85"/>
    <w:rsid w:val="562276CA"/>
    <w:rsid w:val="56530F5D"/>
    <w:rsid w:val="567700D3"/>
    <w:rsid w:val="56FF7E9E"/>
    <w:rsid w:val="578867FC"/>
    <w:rsid w:val="5842572D"/>
    <w:rsid w:val="5A3B59D6"/>
    <w:rsid w:val="5AD134D8"/>
    <w:rsid w:val="5B40427A"/>
    <w:rsid w:val="5C263CE4"/>
    <w:rsid w:val="5C5D2777"/>
    <w:rsid w:val="5CF66BF3"/>
    <w:rsid w:val="5CFC7CA6"/>
    <w:rsid w:val="5D290C69"/>
    <w:rsid w:val="5DAB6C39"/>
    <w:rsid w:val="5E3D37C3"/>
    <w:rsid w:val="5EAD639F"/>
    <w:rsid w:val="5F2D4A41"/>
    <w:rsid w:val="60A159D7"/>
    <w:rsid w:val="60C74F6C"/>
    <w:rsid w:val="61025A59"/>
    <w:rsid w:val="613D5BBC"/>
    <w:rsid w:val="61536C39"/>
    <w:rsid w:val="619529AE"/>
    <w:rsid w:val="61F950BF"/>
    <w:rsid w:val="626837F0"/>
    <w:rsid w:val="62944DD7"/>
    <w:rsid w:val="6319381F"/>
    <w:rsid w:val="63C25DC5"/>
    <w:rsid w:val="63C62057"/>
    <w:rsid w:val="64571EF5"/>
    <w:rsid w:val="646207CF"/>
    <w:rsid w:val="64FB113D"/>
    <w:rsid w:val="656152C6"/>
    <w:rsid w:val="6587477F"/>
    <w:rsid w:val="658C3A08"/>
    <w:rsid w:val="65C031CA"/>
    <w:rsid w:val="65CE6852"/>
    <w:rsid w:val="66267C04"/>
    <w:rsid w:val="663F505A"/>
    <w:rsid w:val="66EE5541"/>
    <w:rsid w:val="678A0FEB"/>
    <w:rsid w:val="67924660"/>
    <w:rsid w:val="68407834"/>
    <w:rsid w:val="6883293E"/>
    <w:rsid w:val="688412AD"/>
    <w:rsid w:val="68EB1B71"/>
    <w:rsid w:val="6A6C7940"/>
    <w:rsid w:val="6A756C39"/>
    <w:rsid w:val="6AAD2300"/>
    <w:rsid w:val="6B474EF5"/>
    <w:rsid w:val="6C0A5AC5"/>
    <w:rsid w:val="6C560CAE"/>
    <w:rsid w:val="6C576495"/>
    <w:rsid w:val="6C5D7A30"/>
    <w:rsid w:val="6D903FF5"/>
    <w:rsid w:val="6DA955B8"/>
    <w:rsid w:val="6DE346AB"/>
    <w:rsid w:val="6DE5391A"/>
    <w:rsid w:val="6EFD1324"/>
    <w:rsid w:val="6EFE6DAC"/>
    <w:rsid w:val="6F5A53AC"/>
    <w:rsid w:val="6FAC003D"/>
    <w:rsid w:val="6FE55E12"/>
    <w:rsid w:val="6FFB2E76"/>
    <w:rsid w:val="708F6F7F"/>
    <w:rsid w:val="70D94BD3"/>
    <w:rsid w:val="714F2628"/>
    <w:rsid w:val="71C34D91"/>
    <w:rsid w:val="71C721C2"/>
    <w:rsid w:val="72D9459D"/>
    <w:rsid w:val="72DB435C"/>
    <w:rsid w:val="72E2613A"/>
    <w:rsid w:val="72F771F4"/>
    <w:rsid w:val="73807B77"/>
    <w:rsid w:val="73934AD2"/>
    <w:rsid w:val="73AD1653"/>
    <w:rsid w:val="750837F0"/>
    <w:rsid w:val="754758CF"/>
    <w:rsid w:val="764F62AB"/>
    <w:rsid w:val="765C45EC"/>
    <w:rsid w:val="768A7619"/>
    <w:rsid w:val="76E51EFC"/>
    <w:rsid w:val="772E1EBA"/>
    <w:rsid w:val="781926BC"/>
    <w:rsid w:val="796D60A4"/>
    <w:rsid w:val="79A031D5"/>
    <w:rsid w:val="7A1525F7"/>
    <w:rsid w:val="7B420052"/>
    <w:rsid w:val="7B7D287A"/>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character" w:customStyle="1" w:styleId="17">
    <w:name w:val="font61"/>
    <w:basedOn w:val="8"/>
    <w:qFormat/>
    <w:uiPriority w:val="0"/>
    <w:rPr>
      <w:rFonts w:ascii="方正仿宋_GBK" w:hAnsi="方正仿宋_GBK" w:eastAsia="方正仿宋_GBK" w:cs="方正仿宋_GBK"/>
      <w:b/>
      <w:color w:val="000000"/>
      <w:sz w:val="22"/>
      <w:szCs w:val="22"/>
      <w:u w:val="none"/>
    </w:rPr>
  </w:style>
  <w:style w:type="character" w:customStyle="1" w:styleId="18">
    <w:name w:val="font71"/>
    <w:basedOn w:val="8"/>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2024-09-18T04:49:50Z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