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重庆市秀山土家族苗族自治县龙凤坝镇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农业服务中心（特色产业发展中心）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2023年度决算公开说明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一、单位基本情况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（一）职能职责</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（二）机构设置</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农业服务中心。</w:t>
      </w:r>
      <w:r>
        <w:rPr>
          <w:rFonts w:hint="default" w:ascii="Times New Roman" w:hAnsi="Times New Roman" w:eastAsia="方正仿宋_GBK" w:cs="Times New Roman"/>
          <w:kern w:val="2"/>
          <w:sz w:val="32"/>
          <w:szCs w:val="22"/>
          <w:vertAlign w:val="baseline"/>
          <w:lang w:val="en-US" w:eastAsia="zh-CN" w:bidi="ar-SA"/>
        </w:rPr>
        <w:t>主要职责：承担农技、农机、畜牧、水利水产等方面的技术推广、信息服务、水土保持、灾害防治、土地规模经营管理、农产品质量安全监管，农业综合服务等工作。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二、单位决算情况说明</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（一）收入支出决算总体情况说明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1.总体情况。</w:t>
      </w:r>
      <w:r>
        <w:rPr>
          <w:rFonts w:hint="default" w:ascii="Times New Roman" w:hAnsi="Times New Roman" w:eastAsia="方正仿宋_GBK" w:cs="Times New Roman"/>
          <w:kern w:val="2"/>
          <w:sz w:val="32"/>
          <w:szCs w:val="22"/>
          <w:vertAlign w:val="baseline"/>
          <w:lang w:val="en-US" w:eastAsia="zh-CN" w:bidi="ar-SA"/>
        </w:rPr>
        <w:t>2023年度收入总计498.55万元，支出总计498.55万元。收支较上年决算数增加498.55万元，增长100.00%，主要原因是2022年度本单位与部门合并编报决算，按照市财政局要求，2023年度独立编报决算，故与上年对比增长100%。</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2.收入情况。</w:t>
      </w:r>
      <w:r>
        <w:rPr>
          <w:rFonts w:hint="default" w:ascii="Times New Roman" w:hAnsi="Times New Roman" w:eastAsia="方正仿宋_GBK" w:cs="Times New Roman"/>
          <w:kern w:val="2"/>
          <w:sz w:val="32"/>
          <w:szCs w:val="22"/>
          <w:vertAlign w:val="baseline"/>
          <w:lang w:val="en-US" w:eastAsia="zh-CN" w:bidi="ar-SA"/>
        </w:rPr>
        <w:t>2023年度收入合计498.55万元，较上年决算数增加498.55万元，增长100.00%，主要原因是2022年度本单位与部门合并编报决算，按照市财政局要求，2023年度独立编报决算，故与上年对比增长100%。其中：财政拨款收入498.55万元，占100.00%；事业收入0.00万元，占0.00%；经营收入0.00万元，占0.00%；其他收入0.00万元，占0.00%。此外，使用非财政拨款结余和专用结余0.00万元，年初结转和结余0.00万元。</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3.支出情况。</w:t>
      </w:r>
      <w:r>
        <w:rPr>
          <w:rFonts w:hint="default" w:ascii="Times New Roman" w:hAnsi="Times New Roman" w:eastAsia="方正仿宋_GBK" w:cs="Times New Roman"/>
          <w:kern w:val="2"/>
          <w:sz w:val="32"/>
          <w:szCs w:val="22"/>
          <w:vertAlign w:val="baseline"/>
          <w:lang w:val="en-US" w:eastAsia="zh-CN" w:bidi="ar-SA"/>
        </w:rPr>
        <w:t>2023年度支出合计498.55万元，较上年决算数增加498.55万元，增长100.00%，主要原因是2022年度本单位与部门合并编报决算，按照市财政局要求，2023年度独立编报决算，故与上年对比增长100%。其中：基本支出177.23万元，占35.55%；项目支出321.32万元，占64.45%；经营支出0.00万元，占0.00%。此外，结余分配0.00万元。</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4.结转结余情况。</w:t>
      </w:r>
      <w:r>
        <w:rPr>
          <w:rFonts w:hint="default" w:ascii="Times New Roman" w:hAnsi="Times New Roman" w:eastAsia="方正仿宋_GBK" w:cs="Times New Roman"/>
          <w:kern w:val="2"/>
          <w:sz w:val="32"/>
          <w:szCs w:val="22"/>
          <w:vertAlign w:val="baseline"/>
          <w:lang w:val="en-US" w:eastAsia="zh-CN" w:bidi="ar-SA"/>
        </w:rPr>
        <w:t>2023年度年末结转和结余0.00万元，较上年决算数无增减，主要原因是上年度实行预算一体化后执行了预算指标零结转的政策，故较上年决算数无增减。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（二）财政拨款收入支出决算总体情况说明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财政拨款收、支总计498.55万元。与2022年相比，财政拨款收、支总计各增加498.55万元，增长100.00%。主要原因是2022年度本单位与部门合并编报决算，按照市财政局要求，2023年度独立编报决算，故与上年对比增长100%。</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（三）一般公共预算财政拨款收入支出决算情况说明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1.收入情况。</w:t>
      </w:r>
      <w:r>
        <w:rPr>
          <w:rFonts w:hint="default" w:ascii="Times New Roman" w:hAnsi="Times New Roman" w:eastAsia="方正仿宋_GBK" w:cs="Times New Roman"/>
          <w:kern w:val="2"/>
          <w:sz w:val="32"/>
          <w:szCs w:val="22"/>
          <w:vertAlign w:val="baseline"/>
          <w:lang w:val="en-US" w:eastAsia="zh-CN" w:bidi="ar-SA"/>
        </w:rPr>
        <w:t>2023年度一般公共预算财政拨款收入498.55万元，较上年决算数增加498.55万元，增长100.00%。主要原因是2022年度本单位与部门合并编报决算，按照市财政局要求，2023年度独立编报决算，故与上年对比增长100%。较年初预算数减少25.43万元，下降4.85%。主要原因是参考线内超额绩效（年终考核）、职业年金等清算核减，导致下降4.85%。此外，年初财政拨款结转和结余0.00万元。</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2.支出情况。</w:t>
      </w:r>
      <w:r>
        <w:rPr>
          <w:rFonts w:hint="default" w:ascii="Times New Roman" w:hAnsi="Times New Roman" w:eastAsia="方正仿宋_GBK" w:cs="Times New Roman"/>
          <w:kern w:val="2"/>
          <w:sz w:val="32"/>
          <w:szCs w:val="22"/>
          <w:vertAlign w:val="baseline"/>
          <w:lang w:val="en-US" w:eastAsia="zh-CN" w:bidi="ar-SA"/>
        </w:rPr>
        <w:t>2023年度一般公共预算财政拨款支出498.55万元，较上年决算数增加498.55万元，增长100.00%。主要原因是2022年度本单位与部门合并编报决算，按照市财政局要求，2023年度独立编报决算，故与上年对比增长100%。较年初预算数减少62.44万元，下降11.13%。主要原因是参考线内超额绩效（年终考核）、职业年金等清算核减，导致下降11.13%。</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3.结转结余情况。</w:t>
      </w:r>
      <w:r>
        <w:rPr>
          <w:rFonts w:hint="default" w:ascii="Times New Roman" w:hAnsi="Times New Roman" w:eastAsia="方正仿宋_GBK" w:cs="Times New Roman"/>
          <w:kern w:val="2"/>
          <w:sz w:val="32"/>
          <w:szCs w:val="22"/>
          <w:vertAlign w:val="baseline"/>
          <w:lang w:val="en-US" w:eastAsia="zh-CN" w:bidi="ar-SA"/>
        </w:rPr>
        <w:t>2023年度年末一般公共预算财政拨款结转和结余0.00万元，较上年决算数无增减，主要原因是上年度实行预算一体化后执行了预算指标零结转的政策，故较上年决算数无增减。</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b/>
          <w:bCs/>
          <w:kern w:val="2"/>
          <w:sz w:val="32"/>
          <w:szCs w:val="22"/>
          <w:vertAlign w:val="baseline"/>
          <w:lang w:val="en-US" w:eastAsia="zh-CN" w:bidi="ar-SA"/>
        </w:rPr>
        <w:t>4.比较情况。</w:t>
      </w:r>
      <w:r>
        <w:rPr>
          <w:rFonts w:hint="default" w:ascii="Times New Roman" w:hAnsi="Times New Roman" w:eastAsia="方正仿宋_GBK" w:cs="Times New Roman"/>
          <w:kern w:val="2"/>
          <w:sz w:val="32"/>
          <w:szCs w:val="22"/>
          <w:vertAlign w:val="baseline"/>
          <w:lang w:val="en-US" w:eastAsia="zh-CN" w:bidi="ar-SA"/>
        </w:rPr>
        <w:t>本单位2023年度一般公共预算财政拨款支出主要用于以下几个方面：</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（1）社会保障与就业支出16.03万元，占3.21%，较年初预算数减少6.76万元，下降29.66%，主要原因是参考线内超额绩效（年终考核）、养老保险、职业年金等清算核减。</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（2）卫生健康支出6.98万元，占1.40%，较年初预算数无增减，主要原因是我单位严格按照年初预算执行。</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（3）农林水支出462.54万元，占92.78%，较年初预算数减少55.67万元，下降10.74%，主要原因是人员政策性增资、调整年初预算数。</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（4）住房保障支出13.00万元，占2.61%，较年初预算数无增减，主要原因是参考线内超额绩效（年终考核）、养老保险、职业年金等清算核减。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（四）一般公共预算财政拨款基本支出决算情况说明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一般公共财政拨款基本支出177.23万元。其中：人员经费170.25万元，较上年决算数增加170.25万元，增长100.00%，主要原因是2022年度本单位与部门合并编报决算，按照市财政局要求，2023年度独立编报决算，故与上年对比增长100%。人员经费用途主要包括基本工资、津贴补贴、社会保障缴费等。公用经费6.98万元，较上年决算数增加6.98万元，增长100.00%，主要原因是2022年度本单位与部门合并编报决算，按照市财政局要求，2023年度独立编报决算，故与上年对比增长100%。公用经费用途主要包括办公费、印刷费、差旅费、电费、水费等。</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（五）政府性基金预算收支决算情况说明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本单位2023年度无政府性基金预算财政拨款收支。</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（六）国有资本经营预算财政拨款支出决算情况说明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本单位2023年度无国有资本经营预算财政拨款支出。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三、“三公”经费情况说明</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（一）“三公”经费支出总体情况说明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我单位属于二级预算单位，“三公”经费由本级统一支出。</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2023年度</w:t>
      </w:r>
      <w:r>
        <w:rPr>
          <w:rFonts w:hint="eastAsia" w:ascii="Times New Roman" w:hAnsi="Times New Roman" w:eastAsia="方正仿宋_GBK" w:cs="Times New Roman"/>
          <w:b w:val="0"/>
          <w:bCs w:val="0"/>
          <w:sz w:val="32"/>
          <w:szCs w:val="32"/>
          <w:lang w:eastAsia="zh-CN"/>
        </w:rPr>
        <w:t>本单位</w:t>
      </w:r>
      <w:r>
        <w:rPr>
          <w:rFonts w:hint="default" w:ascii="Times New Roman" w:hAnsi="Times New Roman" w:eastAsia="方正仿宋_GBK" w:cs="Times New Roman"/>
          <w:b w:val="0"/>
          <w:bCs w:val="0"/>
          <w:sz w:val="32"/>
          <w:szCs w:val="32"/>
        </w:rPr>
        <w:t>因公出国（境）费用</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公务车购置费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公务车运行维护费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费用支出较年初预算数、上年支出数无增减。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公务接待费</w:t>
      </w:r>
      <w:r>
        <w:rPr>
          <w:rFonts w:hint="eastAsia"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万元，</w:t>
      </w:r>
      <w:r>
        <w:rPr>
          <w:rFonts w:hint="eastAsia" w:ascii="Times New Roman" w:hAnsi="Times New Roman" w:eastAsia="方正仿宋_GBK" w:cs="Times New Roman"/>
          <w:b w:val="0"/>
          <w:bCs w:val="0"/>
          <w:sz w:val="32"/>
          <w:szCs w:val="32"/>
          <w:lang w:eastAsia="zh-CN"/>
        </w:rPr>
        <w:t>费用支出较</w:t>
      </w:r>
      <w:bookmarkStart w:id="0" w:name="_GoBack"/>
      <w:bookmarkEnd w:id="0"/>
      <w:r>
        <w:rPr>
          <w:rFonts w:hint="eastAsia" w:ascii="Times New Roman" w:hAnsi="Times New Roman" w:eastAsia="方正仿宋_GBK" w:cs="Times New Roman"/>
          <w:b w:val="0"/>
          <w:bCs w:val="0"/>
          <w:sz w:val="32"/>
          <w:szCs w:val="32"/>
          <w:lang w:eastAsia="zh-CN"/>
        </w:rPr>
        <w:t>年初预算数、上年支出数无增减。</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（三）“三公”经费实物量情况</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四、其他需要说明的事项</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（一）财政拨款会议费和培训费情况说明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本年度会议费支出0.00万元，较上年决算数无增减，主要原因是我单位严格控制会议费等相关开支。本年度培训费支出0.03万元，较上年决算数增加0.03万元，增长100.00%，主要原因是2022年度本单位与部门合并编报决算，按照市财政局要求，2023年度独立编报决算，故与上年对比增长100%。</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（二）机关运行经费情况说明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本单位机关运行经费支出0.00万元，机关运行经费主要用于开支机关所产生的水费、电费、生活费等。机关运行经费较上年支出数无增减，主要原因是按照部门决算列报口径，我单位不在机关运行经费统计范围之内。</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（三）国有资产占用情况说明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（四）政府采购支出情况说明</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2023年度我单位未发生政府采购事项，无相关经费支出。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五、预算绩效管理情况说明</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（一）单位自评情况</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根据预算绩效管理要求，我单位对0个一级项目和10个二级项目开展了绩效自评，涉及财政拨款项目支出资金</w:t>
      </w:r>
      <w:r>
        <w:rPr>
          <w:rFonts w:hint="eastAsia" w:ascii="Times New Roman" w:hAnsi="Times New Roman" w:eastAsia="方正仿宋_GBK" w:cs="Times New Roman"/>
          <w:kern w:val="2"/>
          <w:sz w:val="32"/>
          <w:szCs w:val="22"/>
          <w:vertAlign w:val="baseline"/>
          <w:lang w:val="en-US" w:eastAsia="zh-CN" w:bidi="ar-SA"/>
        </w:rPr>
        <w:t>321.32</w:t>
      </w:r>
      <w:r>
        <w:rPr>
          <w:rFonts w:hint="default" w:ascii="Times New Roman" w:hAnsi="Times New Roman" w:eastAsia="方正仿宋_GBK" w:cs="Times New Roman"/>
          <w:kern w:val="2"/>
          <w:sz w:val="32"/>
          <w:szCs w:val="22"/>
          <w:vertAlign w:val="baseline"/>
          <w:lang w:val="en-US" w:eastAsia="zh-CN" w:bidi="ar-SA"/>
        </w:rPr>
        <w:t>万元。</w:t>
      </w:r>
    </w:p>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tbl>
      <w:tblPr>
        <w:tblStyle w:val="10"/>
        <w:tblW w:w="8345" w:type="dxa"/>
        <w:tblInd w:w="0" w:type="dxa"/>
        <w:shd w:val="clear" w:color="auto" w:fill="auto"/>
        <w:tblLayout w:type="fixed"/>
        <w:tblCellMar>
          <w:top w:w="0" w:type="dxa"/>
          <w:left w:w="0" w:type="dxa"/>
          <w:bottom w:w="0" w:type="dxa"/>
          <w:right w:w="0" w:type="dxa"/>
        </w:tblCellMar>
      </w:tblPr>
      <w:tblGrid>
        <w:gridCol w:w="331"/>
        <w:gridCol w:w="1150"/>
        <w:gridCol w:w="584"/>
        <w:gridCol w:w="783"/>
        <w:gridCol w:w="667"/>
        <w:gridCol w:w="1316"/>
        <w:gridCol w:w="884"/>
        <w:gridCol w:w="766"/>
        <w:gridCol w:w="634"/>
        <w:gridCol w:w="566"/>
        <w:gridCol w:w="664"/>
      </w:tblGrid>
      <w:tr>
        <w:tblPrEx>
          <w:shd w:val="clear" w:color="auto" w:fill="auto"/>
          <w:tblLayout w:type="fixed"/>
          <w:tblCellMar>
            <w:top w:w="0" w:type="dxa"/>
            <w:left w:w="0" w:type="dxa"/>
            <w:bottom w:w="0" w:type="dxa"/>
            <w:right w:w="0" w:type="dxa"/>
          </w:tblCellMar>
        </w:tblPrEx>
        <w:trPr>
          <w:trHeight w:val="800" w:hRule="atLeast"/>
        </w:trPr>
        <w:tc>
          <w:tcPr>
            <w:tcW w:w="83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_GBK" w:cs="Times New Roman"/>
                <w:b/>
                <w:i w:val="0"/>
                <w:color w:val="000000"/>
                <w:kern w:val="0"/>
                <w:sz w:val="36"/>
                <w:szCs w:val="36"/>
                <w:u w:val="none"/>
                <w:lang w:val="en-US" w:eastAsia="zh-CN" w:bidi="ar"/>
              </w:rPr>
            </w:pPr>
            <w:r>
              <w:rPr>
                <w:rFonts w:hint="default" w:ascii="Times New Roman" w:hAnsi="Times New Roman" w:eastAsia="方正小标宋_GBK" w:cs="Times New Roman"/>
                <w:b/>
                <w:i w:val="0"/>
                <w:color w:val="000000"/>
                <w:kern w:val="0"/>
                <w:sz w:val="32"/>
                <w:szCs w:val="32"/>
                <w:u w:val="none"/>
                <w:lang w:val="en-US" w:eastAsia="zh-CN" w:bidi="ar"/>
              </w:rPr>
              <w:t>龙凤坝镇农业服务中心（特色产业发展中心）2023年度</w:t>
            </w:r>
            <w:r>
              <w:rPr>
                <w:rFonts w:hint="eastAsia" w:ascii="Times New Roman" w:hAnsi="Times New Roman" w:eastAsia="方正小标宋_GBK" w:cs="Times New Roman"/>
                <w:b/>
                <w:i w:val="0"/>
                <w:color w:val="000000"/>
                <w:kern w:val="0"/>
                <w:sz w:val="32"/>
                <w:szCs w:val="32"/>
                <w:u w:val="none"/>
                <w:lang w:val="en-US" w:eastAsia="zh-CN" w:bidi="ar"/>
              </w:rPr>
              <w:t>项目支出</w:t>
            </w:r>
            <w:r>
              <w:rPr>
                <w:rFonts w:hint="default" w:ascii="Times New Roman" w:hAnsi="Times New Roman" w:eastAsia="方正小标宋_GBK" w:cs="Times New Roman"/>
                <w:b/>
                <w:i w:val="0"/>
                <w:color w:val="000000"/>
                <w:kern w:val="0"/>
                <w:sz w:val="32"/>
                <w:szCs w:val="32"/>
                <w:u w:val="none"/>
                <w:lang w:val="en-US" w:eastAsia="zh-CN" w:bidi="ar"/>
              </w:rPr>
              <w:t>绩效自评</w:t>
            </w:r>
            <w:r>
              <w:rPr>
                <w:rFonts w:hint="eastAsia" w:ascii="Times New Roman" w:hAnsi="Times New Roman" w:eastAsia="方正小标宋_GBK" w:cs="Times New Roman"/>
                <w:b/>
                <w:i w:val="0"/>
                <w:color w:val="000000"/>
                <w:kern w:val="0"/>
                <w:sz w:val="32"/>
                <w:szCs w:val="32"/>
                <w:u w:val="none"/>
                <w:lang w:val="en-US" w:eastAsia="zh-CN" w:bidi="ar"/>
              </w:rPr>
              <w:t>情况</w:t>
            </w:r>
            <w:r>
              <w:rPr>
                <w:rFonts w:hint="default" w:ascii="Times New Roman" w:hAnsi="Times New Roman" w:eastAsia="方正小标宋_GBK" w:cs="Times New Roman"/>
                <w:b/>
                <w:i w:val="0"/>
                <w:color w:val="000000"/>
                <w:kern w:val="0"/>
                <w:sz w:val="32"/>
                <w:szCs w:val="32"/>
                <w:u w:val="none"/>
                <w:lang w:val="en-US" w:eastAsia="zh-CN" w:bidi="ar"/>
              </w:rPr>
              <w:t>表</w:t>
            </w:r>
          </w:p>
        </w:tc>
      </w:tr>
      <w:tr>
        <w:tblPrEx>
          <w:tblLayout w:type="fixed"/>
          <w:tblCellMar>
            <w:top w:w="0" w:type="dxa"/>
            <w:left w:w="0" w:type="dxa"/>
            <w:bottom w:w="0" w:type="dxa"/>
            <w:right w:w="0" w:type="dxa"/>
          </w:tblCellMar>
        </w:tblPrEx>
        <w:trPr>
          <w:trHeight w:val="1075" w:hRule="atLeast"/>
        </w:trPr>
        <w:tc>
          <w:tcPr>
            <w:tcW w:w="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center"/>
              <w:rPr>
                <w:rFonts w:hint="eastAsia" w:ascii="Times New Roman" w:hAnsi="Times New Roman" w:eastAsia="宋体" w:cs="Times New Roman"/>
                <w:i w:val="0"/>
                <w:color w:val="auto"/>
                <w:sz w:val="22"/>
                <w:szCs w:val="22"/>
                <w:u w:val="none"/>
                <w:lang w:eastAsia="zh-CN"/>
              </w:rPr>
            </w:pPr>
            <w:r>
              <w:rPr>
                <w:rStyle w:val="17"/>
                <w:rFonts w:hint="eastAsia" w:ascii="Times New Roman" w:hAnsi="Times New Roman" w:cs="Times New Roman"/>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项目名称</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指标名称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指标性质</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指标值</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计量单位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指标权重</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default" w:ascii="Times New Roman" w:hAnsi="Times New Roman" w:cs="Times New Roman"/>
                <w:lang w:val="en-US" w:eastAsia="zh-CN" w:bidi="ar"/>
              </w:rPr>
            </w:pPr>
            <w:r>
              <w:rPr>
                <w:rStyle w:val="17"/>
                <w:rFonts w:hint="eastAsia" w:ascii="Times New Roman" w:hAnsi="Times New Roman" w:cs="Times New Roman"/>
                <w:lang w:val="en-US" w:eastAsia="zh-CN" w:bidi="ar"/>
              </w:rPr>
              <w:t>全年完成值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指标得分</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说明</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ind w:firstLine="0" w:firstLineChars="0"/>
              <w:jc w:val="center"/>
              <w:textAlignment w:val="center"/>
              <w:outlineLvl w:val="9"/>
              <w:rPr>
                <w:rStyle w:val="17"/>
                <w:rFonts w:hint="eastAsia" w:ascii="Times New Roman" w:hAnsi="Times New Roman" w:cs="Times New Roman"/>
                <w:lang w:val="en-US" w:eastAsia="zh-CN" w:bidi="ar"/>
              </w:rPr>
            </w:pPr>
            <w:r>
              <w:rPr>
                <w:rStyle w:val="17"/>
                <w:rFonts w:hint="eastAsia" w:ascii="Times New Roman" w:hAnsi="Times New Roman" w:cs="Times New Roman"/>
                <w:lang w:val="en-US" w:eastAsia="zh-CN" w:bidi="ar"/>
              </w:rPr>
              <w:t>自评得分</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在任村干部报酬</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村干部补助人数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137</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137</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补助发放到位率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default"/>
                <w:lang w:val="en-US" w:eastAsia="zh-CN"/>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lang w:val="en-US" w:eastAsia="zh-CN"/>
              </w:rPr>
            </w:pPr>
            <w:r>
              <w:rPr>
                <w:rStyle w:val="18"/>
                <w:rFonts w:hint="default"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六职干部每月增加收入</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900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元</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900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工资政策知晓率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w:t>
            </w:r>
            <w:r>
              <w:rPr>
                <w:rStyle w:val="18"/>
                <w:rFonts w:hint="default" w:ascii="Times New Roman" w:hAnsi="Times New Roman" w:cs="Times New Roman"/>
                <w:lang w:val="en-US" w:eastAsia="zh-CN" w:bidi="ar"/>
              </w:rPr>
              <w:t>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Fonts w:hint="eastAsia"/>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eastAsia="方正仿宋_GBK" w:cs="Times New Roman"/>
                <w:lang w:val="en-US" w:eastAsia="zh-CN" w:bidi="ar"/>
              </w:rPr>
            </w:pPr>
            <w:r>
              <w:rPr>
                <w:rFonts w:hint="eastAsia" w:eastAsia="方正仿宋_GBK"/>
                <w:lang w:val="en-US" w:eastAsia="zh-CN"/>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w:t>
            </w:r>
            <w:r>
              <w:rPr>
                <w:rStyle w:val="18"/>
                <w:rFonts w:hint="default" w:ascii="Times New Roman" w:hAnsi="Times New Roman" w:cs="Times New Roman"/>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w:t>
            </w:r>
            <w:r>
              <w:rPr>
                <w:rStyle w:val="18"/>
                <w:rFonts w:hint="default" w:ascii="Times New Roman" w:hAnsi="Times New Roman" w:cs="Times New Roman"/>
                <w:lang w:val="en-US" w:eastAsia="zh-CN" w:bidi="ar"/>
              </w:rPr>
              <w:t>0</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离任村干部报酬</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政策对象享受人数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69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69</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补助发放到位率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w:t>
            </w:r>
            <w:r>
              <w:rPr>
                <w:rStyle w:val="18"/>
                <w:rFonts w:hint="default" w:ascii="Times New Roman" w:hAnsi="Times New Roman" w:cs="Times New Roman"/>
                <w:lang w:val="en-US" w:eastAsia="zh-CN" w:bidi="ar"/>
              </w:rPr>
              <w:t>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每月增加离任村干部收入</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50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元/人·次</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50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rPr>
            </w:pPr>
            <w:r>
              <w:rPr>
                <w:rStyle w:val="18"/>
                <w:rFonts w:hint="eastAsia" w:ascii="Times New Roman" w:hAnsi="Times New Roman" w:cs="Times New Roman"/>
                <w:lang w:val="en-US" w:eastAsia="zh-CN" w:bidi="ar"/>
              </w:rPr>
              <w:t>10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受助人对政策满意度</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Fonts w:hint="eastAsia"/>
              </w:rPr>
            </w:pPr>
            <w:r>
              <w:rPr>
                <w:rStyle w:val="18"/>
                <w:rFonts w:hint="eastAsia" w:ascii="Times New Roman" w:hAnsi="Times New Roman" w:cs="Times New Roman"/>
                <w:lang w:val="en-US" w:eastAsia="zh-CN" w:bidi="ar"/>
              </w:rPr>
              <w:t>30</w:t>
            </w:r>
          </w:p>
        </w:tc>
      </w:tr>
      <w:tr>
        <w:tblPrEx>
          <w:tblLayout w:type="fixed"/>
          <w:tblCellMar>
            <w:top w:w="0" w:type="dxa"/>
            <w:left w:w="0" w:type="dxa"/>
            <w:bottom w:w="0" w:type="dxa"/>
            <w:right w:w="0" w:type="dxa"/>
          </w:tblCellMar>
        </w:tblPrEx>
        <w:trPr>
          <w:trHeight w:val="500" w:hRule="atLeast"/>
        </w:trPr>
        <w:tc>
          <w:tcPr>
            <w:tcW w:w="33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w:t>
            </w:r>
          </w:p>
        </w:tc>
        <w:tc>
          <w:tcPr>
            <w:tcW w:w="115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在村挂职本土人才补贴</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本土人才人数</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人</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11</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838"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资金支出合规率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补助发放到位率</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100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20</w:t>
            </w:r>
          </w:p>
        </w:tc>
      </w:tr>
      <w:tr>
        <w:tblPrEx>
          <w:tblLayout w:type="fixed"/>
          <w:tblCellMar>
            <w:top w:w="0" w:type="dxa"/>
            <w:left w:w="0" w:type="dxa"/>
            <w:bottom w:w="0" w:type="dxa"/>
            <w:right w:w="0" w:type="dxa"/>
          </w:tblCellMar>
        </w:tblPrEx>
        <w:trPr>
          <w:trHeight w:val="500" w:hRule="atLeast"/>
        </w:trPr>
        <w:tc>
          <w:tcPr>
            <w:tcW w:w="33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本土人才每月增收</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default" w:ascii="Times New Roman" w:hAnsi="Times New Roman" w:cs="Times New Roman"/>
                <w:lang w:val="en-US" w:eastAsia="zh-CN" w:bidi="ar"/>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2120</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eastAsia="方正仿宋_GBK" w:cs="Times New Roman"/>
                <w:lang w:val="en-US" w:eastAsia="zh-CN" w:bidi="ar"/>
              </w:rPr>
            </w:pPr>
            <w:r>
              <w:rPr>
                <w:rStyle w:val="18"/>
                <w:rFonts w:hint="eastAsia" w:ascii="Times New Roman" w:hAnsi="Times New Roman" w:eastAsia="方正仿宋_GBK" w:cs="Times New Roman"/>
                <w:lang w:val="en-US" w:eastAsia="zh-CN" w:bidi="ar"/>
              </w:rPr>
              <w:t>元</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r>
              <w:rPr>
                <w:rStyle w:val="18"/>
                <w:rFonts w:hint="eastAsia" w:ascii="Times New Roman" w:hAnsi="Times New Roman" w:cs="Times New Roman"/>
                <w:lang w:val="en-US" w:eastAsia="zh-CN" w:bidi="ar"/>
              </w:rPr>
              <w:t>2120</w:t>
            </w:r>
          </w:p>
        </w:tc>
        <w:tc>
          <w:tcPr>
            <w:tcW w:w="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default" w:ascii="Times New Roman" w:hAnsi="Times New Roman" w:cs="Times New Roman"/>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center"/>
              <w:outlineLvl w:val="9"/>
              <w:rPr>
                <w:rStyle w:val="18"/>
                <w:rFonts w:hint="eastAsia" w:ascii="Times New Roman" w:hAnsi="Times New Roman" w:cs="Times New Roman"/>
                <w:lang w:val="en-US" w:eastAsia="zh-CN" w:bidi="ar"/>
              </w:rPr>
            </w:pPr>
            <w:r>
              <w:rPr>
                <w:rStyle w:val="18"/>
                <w:rFonts w:hint="eastAsia" w:ascii="Times New Roman" w:hAnsi="Times New Roman" w:cs="Times New Roman"/>
                <w:lang w:val="en-US" w:eastAsia="zh-CN" w:bidi="ar"/>
              </w:rPr>
              <w:t>30</w:t>
            </w:r>
          </w:p>
        </w:tc>
      </w:tr>
    </w:tbl>
    <w:p>
      <w:pPr>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br w:type="page"/>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（二）单位绩效评价情况</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我单位未组织开展绩效评价。</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rPr>
      </w:pPr>
      <w:r>
        <w:rPr>
          <w:rStyle w:val="9"/>
          <w:rFonts w:hint="default" w:ascii="Times New Roman" w:hAnsi="Times New Roman" w:eastAsia="方正楷体_GBK" w:cs="Times New Roman"/>
          <w:b w:val="0"/>
          <w:bCs/>
          <w:sz w:val="32"/>
          <w:szCs w:val="32"/>
          <w:shd w:val="clear" w:color="auto" w:fill="FFFFFF"/>
          <w:lang w:val="en-US" w:eastAsia="zh-CN"/>
        </w:rPr>
        <w:t>（三）财政绩效评价情况</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Fonts w:hint="default" w:ascii="Times New Roman" w:hAnsi="Times New Roman" w:eastAsia="方正仿宋_GBK" w:cs="Times New Roman"/>
          <w:kern w:val="2"/>
          <w:sz w:val="32"/>
          <w:szCs w:val="22"/>
          <w:vertAlign w:val="baseline"/>
          <w:lang w:val="en-US" w:eastAsia="zh-CN" w:bidi="ar-SA"/>
        </w:rPr>
        <w:t>县财政局未委托第三方对我单位开展绩效评价。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六、专业名词解释</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（一）财政拨款收入：</w:t>
      </w:r>
      <w:r>
        <w:rPr>
          <w:rFonts w:hint="default" w:ascii="Times New Roman" w:hAnsi="Times New Roman" w:eastAsia="方正仿宋_GBK" w:cs="Times New Roman"/>
          <w:kern w:val="2"/>
          <w:sz w:val="32"/>
          <w:szCs w:val="22"/>
          <w:vertAlign w:val="baseline"/>
          <w:lang w:val="en-US" w:eastAsia="zh-CN" w:bidi="ar-SA"/>
        </w:rPr>
        <w:t>指本年度从本级财政部门取得的财政拨款，包括一般公共预算财政拨款和政府性基金预算财政拨款。</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（二）事业收入：</w:t>
      </w:r>
      <w:r>
        <w:rPr>
          <w:rFonts w:hint="default" w:ascii="Times New Roman" w:hAnsi="Times New Roman" w:eastAsia="方正仿宋_GBK" w:cs="Times New Roman"/>
          <w:kern w:val="2"/>
          <w:sz w:val="32"/>
          <w:szCs w:val="22"/>
          <w:vertAlign w:val="baseline"/>
          <w:lang w:val="en-US" w:eastAsia="zh-CN" w:bidi="ar-SA"/>
        </w:rPr>
        <w:t>指事业单位开展专业业务活动及其辅助活动取得的现金流入；事业单位收到的财政专户实际核拨的教育收费等资金在此反映。</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（三）经营收入：</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指事业单位在专业业务活动及其辅助活动之外开展非独立核算经营活动取得的现金流入。</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（四）其他收入：</w:t>
      </w:r>
      <w:r>
        <w:rPr>
          <w:rFonts w:hint="default" w:ascii="Times New Roman" w:hAnsi="Times New Roman" w:eastAsia="方正仿宋_GBK" w:cs="Times New Roman"/>
          <w:kern w:val="2"/>
          <w:sz w:val="32"/>
          <w:szCs w:val="22"/>
          <w:vertAlign w:val="baseline"/>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（五）使用非财政拨款结余：</w:t>
      </w:r>
      <w:r>
        <w:rPr>
          <w:rFonts w:hint="default" w:ascii="Times New Roman" w:hAnsi="Times New Roman" w:eastAsia="方正仿宋_GBK" w:cs="Times New Roman"/>
          <w:kern w:val="2"/>
          <w:sz w:val="32"/>
          <w:szCs w:val="22"/>
          <w:vertAlign w:val="baseline"/>
          <w:lang w:val="en-US" w:eastAsia="zh-CN" w:bidi="ar-SA"/>
        </w:rPr>
        <w:t>指单位在当年的“财政拨款收入”、“事业收入”、“经营收入”、“其他收入”等不足以安排当年支出的情况下，使用以前年度积累的非财政拨款结余弥补本年度收支缺口的资金。</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（六）年初结转和结余：</w:t>
      </w:r>
      <w:r>
        <w:rPr>
          <w:rFonts w:hint="default" w:ascii="Times New Roman" w:hAnsi="Times New Roman" w:eastAsia="方正仿宋_GBK" w:cs="Times New Roman"/>
          <w:kern w:val="2"/>
          <w:sz w:val="32"/>
          <w:szCs w:val="22"/>
          <w:vertAlign w:val="baseline"/>
          <w:lang w:val="en-US" w:eastAsia="zh-CN" w:bidi="ar-SA"/>
        </w:rPr>
        <w:t>指单位上年结转本年使用的基本支出结转、项目支出结转和结余、经营结余。</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（七）结余分配：</w:t>
      </w:r>
      <w:r>
        <w:rPr>
          <w:rFonts w:hint="default" w:ascii="Times New Roman" w:hAnsi="Times New Roman" w:eastAsia="方正仿宋_GBK" w:cs="Times New Roman"/>
          <w:kern w:val="2"/>
          <w:sz w:val="32"/>
          <w:szCs w:val="22"/>
          <w:vertAlign w:val="baseline"/>
          <w:lang w:val="en-US" w:eastAsia="zh-CN" w:bidi="ar-SA"/>
        </w:rPr>
        <w:t>指单位按照国家有关规定，缴纳所得税、提取专用基金、转入非财政拨款结余等当年结余的分配情况。</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（八）年末结转和结余：</w:t>
      </w:r>
      <w:r>
        <w:rPr>
          <w:rFonts w:hint="default" w:ascii="Times New Roman" w:hAnsi="Times New Roman" w:eastAsia="方正仿宋_GBK" w:cs="Times New Roman"/>
          <w:kern w:val="2"/>
          <w:sz w:val="32"/>
          <w:szCs w:val="22"/>
          <w:vertAlign w:val="baseline"/>
          <w:lang w:val="en-US" w:eastAsia="zh-CN" w:bidi="ar-SA"/>
        </w:rPr>
        <w:t>指单位结转下年的基本支出结转、项目支出结转和结余、经营结余。</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（九）基本支出：</w:t>
      </w:r>
      <w:r>
        <w:rPr>
          <w:rFonts w:hint="default" w:ascii="Times New Roman" w:hAnsi="Times New Roman" w:eastAsia="方正仿宋_GBK" w:cs="Times New Roman"/>
          <w:kern w:val="2"/>
          <w:sz w:val="32"/>
          <w:szCs w:val="22"/>
          <w:vertAlign w:val="baseline"/>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（十）项目支出：</w:t>
      </w:r>
      <w:r>
        <w:rPr>
          <w:rFonts w:hint="default" w:ascii="Times New Roman" w:hAnsi="Times New Roman" w:eastAsia="方正仿宋_GBK" w:cs="Times New Roman"/>
          <w:kern w:val="2"/>
          <w:sz w:val="32"/>
          <w:szCs w:val="22"/>
          <w:vertAlign w:val="baseline"/>
          <w:lang w:val="en-US" w:eastAsia="zh-CN" w:bidi="ar-SA"/>
        </w:rPr>
        <w:t>指在基本支出之外为完成特定行政任务和事业发展目标所发生的支出。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（十一）经营支出：</w:t>
      </w:r>
      <w:r>
        <w:rPr>
          <w:rFonts w:hint="default" w:ascii="Times New Roman" w:hAnsi="Times New Roman" w:eastAsia="方正仿宋_GBK" w:cs="Times New Roman"/>
          <w:kern w:val="2"/>
          <w:sz w:val="32"/>
          <w:szCs w:val="22"/>
          <w:vertAlign w:val="baseline"/>
          <w:lang w:val="en-US" w:eastAsia="zh-CN" w:bidi="ar-SA"/>
        </w:rPr>
        <w:t>指事业单位在专业业务活动及其辅助活动之外开展非独立核算经营活动发生的支出。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（十二）“三公”经费：</w:t>
      </w:r>
      <w:r>
        <w:rPr>
          <w:rFonts w:hint="default" w:ascii="Times New Roman" w:hAnsi="Times New Roman" w:eastAsia="方正仿宋_GBK" w:cs="Times New Roman"/>
          <w:kern w:val="2"/>
          <w:sz w:val="32"/>
          <w:szCs w:val="22"/>
          <w:vertAlign w:val="baseline"/>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（十三）机关运行经费：</w:t>
      </w:r>
      <w:r>
        <w:rPr>
          <w:rFonts w:hint="default" w:ascii="Times New Roman" w:hAnsi="Times New Roman" w:eastAsia="方正仿宋_GBK" w:cs="Times New Roman"/>
          <w:kern w:val="2"/>
          <w:sz w:val="32"/>
          <w:szCs w:val="22"/>
          <w:vertAlign w:val="baseline"/>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（十四）工资福利支出（支出经济分类科目类级）：</w:t>
      </w:r>
      <w:r>
        <w:rPr>
          <w:rFonts w:hint="default" w:ascii="Times New Roman" w:hAnsi="Times New Roman" w:eastAsia="方正仿宋_GBK" w:cs="Times New Roman"/>
          <w:kern w:val="2"/>
          <w:sz w:val="32"/>
          <w:szCs w:val="22"/>
          <w:vertAlign w:val="baseline"/>
          <w:lang w:val="en-US" w:eastAsia="zh-CN" w:bidi="ar-SA"/>
        </w:rPr>
        <w:t>反映单位开支的在职职工和编制外长期聘用人员的各类劳动报酬，以及为上述人员缴纳的各项社会保险费等。</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（十五）商品和服务支出（支出经济分类科目类级）：</w:t>
      </w:r>
      <w:r>
        <w:rPr>
          <w:rFonts w:hint="default" w:ascii="Times New Roman" w:hAnsi="Times New Roman" w:eastAsia="方正仿宋_GBK" w:cs="Times New Roman"/>
          <w:kern w:val="2"/>
          <w:sz w:val="32"/>
          <w:szCs w:val="22"/>
          <w:vertAlign w:val="baseline"/>
          <w:lang w:val="en-US" w:eastAsia="zh-CN" w:bidi="ar-SA"/>
        </w:rPr>
        <w:t>反映单位购买商品和服务的支出（不包括用于购置固定资产的支出、战略性和应急储备支出）。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（十六）对个人和家庭的补助（支出经济分类科目类级）：</w:t>
      </w:r>
      <w:r>
        <w:rPr>
          <w:rFonts w:hint="default" w:ascii="Times New Roman" w:hAnsi="Times New Roman" w:eastAsia="方正仿宋_GBK" w:cs="Times New Roman"/>
          <w:kern w:val="2"/>
          <w:sz w:val="32"/>
          <w:szCs w:val="22"/>
          <w:vertAlign w:val="baseline"/>
          <w:lang w:val="en-US" w:eastAsia="zh-CN" w:bidi="ar-SA"/>
        </w:rPr>
        <w:t>反映用于对个人和家庭的补助支出。</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rPr>
        <w:t>（十七）其他资本性支出（支出经济分类科目类级）：</w:t>
      </w:r>
      <w:r>
        <w:rPr>
          <w:rFonts w:hint="default" w:ascii="Times New Roman" w:hAnsi="Times New Roman" w:eastAsia="方正仿宋_GBK" w:cs="Times New Roman"/>
          <w:kern w:val="2"/>
          <w:sz w:val="32"/>
          <w:szCs w:val="22"/>
          <w:vertAlign w:val="baseline"/>
          <w:lang w:val="en-US" w:eastAsia="zh-CN" w:bidi="ar-SA"/>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08" w:firstLineChars="200"/>
        <w:jc w:val="both"/>
        <w:textAlignment w:val="auto"/>
        <w:outlineLvl w:val="9"/>
        <w:rPr>
          <w:rFonts w:hint="default" w:ascii="Times New Roman" w:hAnsi="Times New Roman" w:eastAsia="方正黑体_GBK" w:cs="Times New Roman"/>
          <w:w w:val="95"/>
          <w:kern w:val="2"/>
          <w:sz w:val="32"/>
          <w:szCs w:val="32"/>
          <w:lang w:val="en-US" w:eastAsia="zh-CN"/>
        </w:rPr>
      </w:pPr>
      <w:r>
        <w:rPr>
          <w:rFonts w:hint="default" w:ascii="Times New Roman" w:hAnsi="Times New Roman" w:eastAsia="方正黑体_GBK" w:cs="Times New Roman"/>
          <w:w w:val="95"/>
          <w:kern w:val="2"/>
          <w:sz w:val="32"/>
          <w:szCs w:val="32"/>
          <w:lang w:val="en-US" w:eastAsia="zh-CN"/>
        </w:rPr>
        <w:t>七、决算公开联系方式及信息反馈渠道</w:t>
      </w:r>
    </w:p>
    <w:p>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22"/>
          <w:vertAlign w:val="baseline"/>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kern w:val="2"/>
          <w:sz w:val="32"/>
          <w:szCs w:val="22"/>
          <w:vertAlign w:val="baseline"/>
          <w:lang w:val="en-US" w:eastAsia="zh-CN" w:bidi="ar-SA"/>
        </w:rPr>
        <w:t>本单位决算公开信息反馈和联系方式：龙吉</w:t>
      </w:r>
      <w:r>
        <w:rPr>
          <w:rFonts w:hint="eastAsia" w:ascii="Times New Roman" w:hAnsi="Times New Roman" w:eastAsia="方正仿宋_GBK" w:cs="Times New Roman"/>
          <w:kern w:val="2"/>
          <w:sz w:val="32"/>
          <w:szCs w:val="22"/>
          <w:vertAlign w:val="baseline"/>
          <w:lang w:val="en-US" w:eastAsia="zh-CN" w:bidi="ar-SA"/>
        </w:rPr>
        <w:t xml:space="preserve">  </w:t>
      </w:r>
      <w:r>
        <w:rPr>
          <w:rFonts w:hint="default" w:ascii="Times New Roman" w:hAnsi="Times New Roman" w:eastAsia="方正仿宋_GBK" w:cs="Times New Roman"/>
          <w:kern w:val="2"/>
          <w:sz w:val="32"/>
          <w:szCs w:val="22"/>
          <w:vertAlign w:val="baseline"/>
          <w:lang w:val="en-US" w:eastAsia="zh-CN" w:bidi="ar-SA"/>
        </w:rPr>
        <w:t>023-76865666</w:t>
      </w:r>
    </w:p>
    <w:p>
      <w:pPr>
        <w:rPr>
          <w:rFonts w:hint="default" w:ascii="Times New Roman" w:hAnsi="Times New Roman" w:cs="Times New Roman"/>
          <w:color w:val="auto"/>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auto"/>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498.55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16.03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6.98</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462.54</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13.00</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auto"/>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498.55</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498.55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498.55</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498.55</w:t>
            </w: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498.55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498.55</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11.33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11.33</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4.70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4.70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6.98</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462.54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462.54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142.54</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141.22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141.22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295.25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295.25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295.25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295.25</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11.49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11.49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11.49</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bl>
    <w:p>
      <w:pPr>
        <w:ind w:left="600" w:hanging="600" w:hangingChars="300"/>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备注：1.本表反映单位本年度取得的各项收入情况。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br w:type="page"/>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498.55</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177.23</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321.32</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16.03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11.33</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4.70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4.70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6.98</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462.54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321.32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142.54</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141.22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141.22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13.25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13.25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295.25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295.25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295.25</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295.25</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11.49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11.49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11.49</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11.49</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b/>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13.00</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color w:val="auto"/>
                <w:sz w:val="20"/>
                <w:szCs w:val="20"/>
                <w:lang w:eastAsia="zh-CN"/>
              </w:rPr>
            </w:pPr>
          </w:p>
        </w:tc>
      </w:tr>
    </w:tbl>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备注：1.本表反映单位本年度各项支出情况。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p>
      <w:pPr>
        <w:rPr>
          <w:rFonts w:hint="default" w:ascii="Times New Roman" w:hAnsi="Times New Roman" w:cs="Times New Roman"/>
          <w:color w:val="auto"/>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收入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支出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16.03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16.03</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6.98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6.98</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462.54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462.54</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13.00</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498.55</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bl>
    <w:p>
      <w:pPr>
        <w:spacing w:line="24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498.55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177.23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bCs/>
                <w:color w:val="auto"/>
                <w:sz w:val="20"/>
                <w:szCs w:val="20"/>
              </w:rPr>
              <w:t>321.32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16.03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11.33</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11.33</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4.70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4.70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6.98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6.98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6.98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6.98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6.98</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6.98</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462.54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141.22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321.32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142.54</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141.22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141.22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141.22</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1.32</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1.32</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13.25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13.25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13.25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13.25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295.25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295.25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295.25</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295.25</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21399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11.49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11.49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2139999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其他农林水支出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11.49</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11.49</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b/>
                <w:color w:val="auto"/>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b/>
                <w:color w:val="auto"/>
                <w:sz w:val="20"/>
                <w:szCs w:val="20"/>
              </w:rPr>
              <w:t>13.00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13.00</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r>
              <w:rPr>
                <w:rFonts w:hint="default" w:ascii="Times New Roman" w:hAnsi="Times New Roman" w:cs="Times New Roman"/>
                <w:color w:val="auto"/>
                <w:sz w:val="20"/>
                <w:szCs w:val="20"/>
              </w:rPr>
              <w:t>13.00</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备注：1.本表反映单位本年度一般公共预算财政拨款支出情况。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ind w:firstLine="630" w:firstLineChars="300"/>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auto"/>
                <w:sz w:val="18"/>
                <w:szCs w:val="18"/>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170.25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6.98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34.56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1.59</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18.03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6.84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73.42</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11.33</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4.70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2.50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6.98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0.11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0.52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13.00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1.28</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0.03</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0.51</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0.92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0.78</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0.12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auto"/>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auto"/>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auto"/>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170.25</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auto"/>
                <w:sz w:val="18"/>
                <w:szCs w:val="18"/>
              </w:rPr>
            </w:pPr>
            <w:r>
              <w:rPr>
                <w:rFonts w:hint="default" w:ascii="Times New Roman" w:hAnsi="Times New Roman" w:cs="Times New Roman"/>
                <w:b/>
                <w:color w:val="auto"/>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eastAsia"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6.98</w:t>
            </w:r>
          </w:p>
        </w:tc>
      </w:tr>
    </w:tbl>
    <w:p>
      <w:pPr>
        <w:spacing w:line="28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备注：1.本表反映单位本年度一般公共预算财政拨款基本支出明细情况。</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auto"/>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auto"/>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auto"/>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Times New Roman" w:hAnsi="Times New Roman" w:eastAsia="宋体" w:cs="Times New Roman"/>
                <w:b/>
                <w:color w:val="auto"/>
                <w:sz w:val="20"/>
                <w:szCs w:val="20"/>
                <w:lang w:eastAsia="zh-CN"/>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br w:type="textWrapping"/>
      </w:r>
    </w:p>
    <w:p>
      <w:pPr>
        <w:rPr>
          <w:rFonts w:hint="default" w:ascii="Times New Roman" w:hAnsi="Times New Roman" w:cs="Times New Roman"/>
          <w:color w:val="auto"/>
          <w:sz w:val="21"/>
          <w:szCs w:val="21"/>
        </w:rPr>
      </w:pPr>
      <w:r>
        <w:rPr>
          <w:rFonts w:hint="default" w:ascii="Times New Roman" w:hAnsi="Times New Roman" w:cs="Times New Roman"/>
          <w:color w:val="auto"/>
          <w:sz w:val="21"/>
          <w:szCs w:val="21"/>
        </w:rPr>
        <w:br w:type="page"/>
      </w:r>
    </w:p>
    <w:tbl>
      <w:tblPr>
        <w:tblStyle w:val="10"/>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公开单位：</w:t>
            </w:r>
            <w:r>
              <w:rPr>
                <w:rFonts w:hint="default" w:ascii="Times New Roman" w:hAnsi="Times New Roman" w:cs="Times New Roman"/>
                <w:color w:val="auto"/>
                <w:sz w:val="20"/>
                <w:u w:color="auto"/>
              </w:rPr>
              <w:t>重庆市秀山土家族苗族自治县龙凤坝镇农业服务中心（特色产业发展中心）</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auto"/>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auto"/>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auto"/>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单位：万元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项目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auto"/>
                <w:sz w:val="20"/>
                <w:szCs w:val="20"/>
              </w:rPr>
            </w:pPr>
            <w:r>
              <w:rPr>
                <w:rFonts w:hint="default" w:ascii="Times New Roman" w:hAnsi="Times New Roman" w:cs="Times New Roman"/>
                <w:b/>
                <w:color w:val="auto"/>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eastAsia" w:ascii="Times New Roman" w:hAnsi="Times New Roman" w:eastAsia="宋体" w:cs="Times New Roman"/>
                <w:color w:val="auto"/>
                <w:sz w:val="20"/>
                <w:szCs w:val="20"/>
                <w:lang w:eastAsia="zh-CN"/>
              </w:rPr>
            </w:pPr>
            <w:r>
              <w:rPr>
                <w:rFonts w:hint="default" w:ascii="Times New Roman" w:hAnsi="Times New Roman" w:cs="Times New Roman"/>
                <w:color w:val="auto"/>
                <w:sz w:val="20"/>
                <w:szCs w:val="20"/>
              </w:rPr>
              <w:t>0.03</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auto"/>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auto"/>
                <w:sz w:val="20"/>
                <w:szCs w:val="20"/>
              </w:rPr>
            </w:pPr>
          </w:p>
        </w:tc>
      </w:tr>
    </w:tbl>
    <w:p>
      <w:pPr>
        <w:rPr>
          <w:rFonts w:hint="default" w:ascii="Times New Roman" w:hAnsi="Times New Roman" w:cs="Times New Roman"/>
          <w:color w:val="auto"/>
          <w:sz w:val="21"/>
          <w:szCs w:val="21"/>
        </w:rPr>
      </w:pPr>
      <w:r>
        <w:rPr>
          <w:rFonts w:hint="default" w:ascii="Times New Roman" w:hAnsi="Times New Roman" w:cs="Times New Roman"/>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rPr>
        <w:br w:type="textWrapping"/>
      </w:r>
      <w:r>
        <w:rPr>
          <w:rFonts w:hint="default" w:ascii="Times New Roman" w:hAnsi="Times New Roman" w:cs="Times New Roman"/>
          <w:color w:val="auto"/>
          <w:sz w:val="20"/>
          <w:szCs w:val="20"/>
        </w:rPr>
        <w:t>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5"/>
                      <w:rPr>
                        <w:rFonts w:hint="eastAsia" w:eastAsia="宋体"/>
                        <w:lang w:eastAsia="zh-CN"/>
                      </w:rPr>
                    </w:pP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5"/>
                            <w:jc w:val="both"/>
                            <w:rPr>
                              <w:rFonts w:hint="default" w:cs="宋体"/>
                            </w:rPr>
                          </w:pPr>
                          <w:r>
                            <w:rPr>
                              <w:rFonts w:cs="宋体"/>
                            </w:rPr>
                            <w:t>—27.1—</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5"/>
                      <w:jc w:val="both"/>
                      <w:rPr>
                        <w:rFonts w:hint="default" w:cs="宋体"/>
                      </w:rPr>
                    </w:pPr>
                    <w:r>
                      <w:rPr>
                        <w:rFonts w:cs="宋体"/>
                      </w:rPr>
                      <w:t>—27.1—</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A6004C"/>
    <w:rsid w:val="05BC6D49"/>
    <w:rsid w:val="06194FF1"/>
    <w:rsid w:val="06A2550B"/>
    <w:rsid w:val="06AD20BE"/>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559CF"/>
    <w:rsid w:val="0B4903ED"/>
    <w:rsid w:val="0B9335CE"/>
    <w:rsid w:val="0BF2311A"/>
    <w:rsid w:val="0C2B2CC6"/>
    <w:rsid w:val="0C7927C4"/>
    <w:rsid w:val="0C9B098C"/>
    <w:rsid w:val="0D673E11"/>
    <w:rsid w:val="0DDA54E4"/>
    <w:rsid w:val="0E3A5F83"/>
    <w:rsid w:val="0F836721"/>
    <w:rsid w:val="0FA25D96"/>
    <w:rsid w:val="100A5F0D"/>
    <w:rsid w:val="107B59E5"/>
    <w:rsid w:val="10D0542B"/>
    <w:rsid w:val="10EC0126"/>
    <w:rsid w:val="10F70B9A"/>
    <w:rsid w:val="111445C7"/>
    <w:rsid w:val="114278C6"/>
    <w:rsid w:val="1158083A"/>
    <w:rsid w:val="11643A4B"/>
    <w:rsid w:val="11ED0F98"/>
    <w:rsid w:val="11F03528"/>
    <w:rsid w:val="12C921C4"/>
    <w:rsid w:val="1371470A"/>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FF254E"/>
    <w:rsid w:val="23EA210F"/>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203E18"/>
    <w:rsid w:val="2FCA4B37"/>
    <w:rsid w:val="2FE029D7"/>
    <w:rsid w:val="2FF06E00"/>
    <w:rsid w:val="30586FEC"/>
    <w:rsid w:val="315F0B22"/>
    <w:rsid w:val="31D84415"/>
    <w:rsid w:val="32285F6F"/>
    <w:rsid w:val="3242633C"/>
    <w:rsid w:val="32770556"/>
    <w:rsid w:val="32974D2E"/>
    <w:rsid w:val="329C0913"/>
    <w:rsid w:val="32AA0460"/>
    <w:rsid w:val="3337290D"/>
    <w:rsid w:val="33E31118"/>
    <w:rsid w:val="33EF7674"/>
    <w:rsid w:val="342D7BC6"/>
    <w:rsid w:val="352930DB"/>
    <w:rsid w:val="35573069"/>
    <w:rsid w:val="355F6038"/>
    <w:rsid w:val="358C217E"/>
    <w:rsid w:val="360B403F"/>
    <w:rsid w:val="36C9128A"/>
    <w:rsid w:val="37841E99"/>
    <w:rsid w:val="37BF1123"/>
    <w:rsid w:val="383C3F15"/>
    <w:rsid w:val="38BE4696"/>
    <w:rsid w:val="393867F7"/>
    <w:rsid w:val="3939115E"/>
    <w:rsid w:val="39B82A39"/>
    <w:rsid w:val="39C42CA8"/>
    <w:rsid w:val="39DC4FD6"/>
    <w:rsid w:val="39EC4EE2"/>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D1468C"/>
    <w:rsid w:val="3F032E93"/>
    <w:rsid w:val="3F0527E5"/>
    <w:rsid w:val="3F694D83"/>
    <w:rsid w:val="3F855800"/>
    <w:rsid w:val="3F885DCC"/>
    <w:rsid w:val="3FCD675E"/>
    <w:rsid w:val="4004000C"/>
    <w:rsid w:val="40BD5482"/>
    <w:rsid w:val="40EA6353"/>
    <w:rsid w:val="411B6CE5"/>
    <w:rsid w:val="412070D7"/>
    <w:rsid w:val="41314E40"/>
    <w:rsid w:val="41686B6F"/>
    <w:rsid w:val="41E0734B"/>
    <w:rsid w:val="4215029A"/>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BB411CA"/>
    <w:rsid w:val="4DAC4ACA"/>
    <w:rsid w:val="4DBE01D2"/>
    <w:rsid w:val="4E9667C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47BD9"/>
    <w:rsid w:val="567700D3"/>
    <w:rsid w:val="56FF7E9E"/>
    <w:rsid w:val="578867FC"/>
    <w:rsid w:val="5842572D"/>
    <w:rsid w:val="595110D6"/>
    <w:rsid w:val="5A3B59D6"/>
    <w:rsid w:val="5AD134D8"/>
    <w:rsid w:val="5C263CE4"/>
    <w:rsid w:val="5C5D2777"/>
    <w:rsid w:val="5CF66BF3"/>
    <w:rsid w:val="5D290C69"/>
    <w:rsid w:val="5F2D4A41"/>
    <w:rsid w:val="60C74F6C"/>
    <w:rsid w:val="61025A59"/>
    <w:rsid w:val="613D5BBC"/>
    <w:rsid w:val="61536C39"/>
    <w:rsid w:val="61934E31"/>
    <w:rsid w:val="6293475A"/>
    <w:rsid w:val="62944DD7"/>
    <w:rsid w:val="6319381F"/>
    <w:rsid w:val="63C25DC5"/>
    <w:rsid w:val="63C62057"/>
    <w:rsid w:val="64571EF5"/>
    <w:rsid w:val="64FB113D"/>
    <w:rsid w:val="656152C6"/>
    <w:rsid w:val="6587477F"/>
    <w:rsid w:val="658C3A08"/>
    <w:rsid w:val="65C031CA"/>
    <w:rsid w:val="65CE6852"/>
    <w:rsid w:val="65D77542"/>
    <w:rsid w:val="66267C04"/>
    <w:rsid w:val="663F505A"/>
    <w:rsid w:val="66EE5541"/>
    <w:rsid w:val="67924660"/>
    <w:rsid w:val="68407834"/>
    <w:rsid w:val="684645BC"/>
    <w:rsid w:val="6877329C"/>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775377"/>
    <w:rsid w:val="73934AD2"/>
    <w:rsid w:val="750837F0"/>
    <w:rsid w:val="754758CF"/>
    <w:rsid w:val="756E23A2"/>
    <w:rsid w:val="764F62AB"/>
    <w:rsid w:val="765C45EC"/>
    <w:rsid w:val="768A7619"/>
    <w:rsid w:val="772E1EBA"/>
    <w:rsid w:val="781926BC"/>
    <w:rsid w:val="796D60A4"/>
    <w:rsid w:val="79A031D5"/>
    <w:rsid w:val="7A1525F7"/>
    <w:rsid w:val="7A5768A6"/>
    <w:rsid w:val="7B420052"/>
    <w:rsid w:val="7B453617"/>
    <w:rsid w:val="7BD06A28"/>
    <w:rsid w:val="7BF56CB9"/>
    <w:rsid w:val="7C3A7C0B"/>
    <w:rsid w:val="7C5248E4"/>
    <w:rsid w:val="7C566698"/>
    <w:rsid w:val="7C5866A3"/>
    <w:rsid w:val="7D075490"/>
    <w:rsid w:val="7D7406BB"/>
    <w:rsid w:val="7DE94331"/>
    <w:rsid w:val="7E2706C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Normal (Web)"/>
    <w:basedOn w:val="1"/>
    <w:unhideWhenUsed/>
    <w:qFormat/>
    <w:uiPriority w:val="0"/>
    <w:pPr>
      <w:spacing w:before="100" w:beforeAutospacing="1" w:after="100" w:afterAutospacing="1"/>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4"/>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0</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2024-09-18T04:48:47Z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