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Autospacing="0" w:line="56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重庆市秀山土家族苗族自治县宋农镇人民政府2023年度决算公开说明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一、部门基本情况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（一）职能职责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负责组织和管理乡镇财政收入和支出，编制执行乡镇年度财政预算，监督乡镇单位预算执行，编制财政预决算； 负责对乡镇国有资产的购置、登记、处置进行管理；贯彻执行上级的各项方针政策，抓好基层党建及乡村振兴工作，稳定和完善政府各项决策部署；抓好本乡镇领域农业、第三产业的发展、安全生产、经济可持续发展、信访维稳等工作，落实计划生育基本国策，推动优生优育，加强计划生育奖扶政策的落实；做好民政行政工作的管理，发展社会福利事业，做好社会保障工作，及时发放、兑现义务兵优待金及其他优抚对象等补贴，进一步做好征兵工作，激励广大士兵安心服役、献身国防；保障村（社区）组织的正常运转，维护社会稳定，落实党的政策和法律法规，促进村（社区）各项事业的发展，提高群众幸福指数；保障辖区内道路正常通行，提高群众交通便捷性，按时发放背街小巷清运人员的工资，维护辖区内环境卫生；认真完成上级主管部门交办的其他事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widowControl w:val="0"/>
        <w:shd w:val="clear" w:color="auto" w:fill="FFFFFF"/>
        <w:kinsoku/>
        <w:wordWrap/>
        <w:overflowPunct/>
        <w:topLinePunct w:val="0"/>
        <w:autoSpaceDE/>
        <w:autoSpaceDN/>
        <w:bidi w:val="0"/>
        <w:adjustRightInd/>
        <w:spacing w:beforeAutospacing="0" w:after="180" w:line="560" w:lineRule="exact"/>
        <w:ind w:firstLine="643" w:firstLineChars="200"/>
        <w:jc w:val="both"/>
        <w:textAlignment w:val="auto"/>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default" w:ascii="Times New Roman" w:hAnsi="Times New Roman" w:eastAsia="方正仿宋_GBK" w:cs="Times New Roman"/>
          <w:b/>
          <w:bCs/>
          <w:color w:val="333333"/>
          <w:kern w:val="0"/>
          <w:sz w:val="32"/>
          <w:szCs w:val="32"/>
        </w:rPr>
        <w:t>1.</w:t>
      </w:r>
      <w:r>
        <w:rPr>
          <w:rFonts w:hint="default" w:ascii="Times New Roman" w:hAnsi="Times New Roman" w:eastAsia="方正仿宋" w:cs="Times New Roman"/>
          <w:b/>
          <w:bCs/>
          <w:i w:val="0"/>
          <w:caps w:val="0"/>
          <w:color w:val="333333"/>
          <w:spacing w:val="0"/>
          <w:sz w:val="32"/>
          <w:szCs w:val="32"/>
          <w:shd w:val="clear" w:fill="FFFFFF"/>
          <w:lang w:val="en-US" w:eastAsia="zh-CN" w:bidi="ar-SA"/>
        </w:rPr>
        <w:t>党政办公室。</w:t>
      </w:r>
      <w:r>
        <w:rPr>
          <w:rFonts w:hint="default" w:ascii="方正仿宋_GBK" w:hAnsi="方正仿宋_GBK" w:eastAsia="方正仿宋_GBK" w:cs="方正仿宋_GBK"/>
          <w:i w:val="0"/>
          <w:caps w:val="0"/>
          <w:color w:val="333333"/>
          <w:spacing w:val="0"/>
          <w:sz w:val="32"/>
          <w:szCs w:val="32"/>
          <w:shd w:val="clear" w:fill="FFFFFF"/>
          <w:lang w:val="en-US" w:eastAsia="zh-CN" w:bidi="ar-SA"/>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180" w:line="560" w:lineRule="exact"/>
        <w:ind w:firstLine="643" w:firstLineChars="200"/>
        <w:jc w:val="both"/>
        <w:textAlignment w:val="auto"/>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default" w:ascii="Times New Roman" w:hAnsi="Times New Roman" w:eastAsia="方正仿宋_GBK" w:cs="Times New Roman"/>
          <w:b/>
          <w:bCs/>
          <w:color w:val="333333"/>
          <w:kern w:val="0"/>
          <w:sz w:val="32"/>
          <w:szCs w:val="32"/>
        </w:rPr>
        <w:t>2.</w:t>
      </w:r>
      <w:r>
        <w:rPr>
          <w:rFonts w:hint="default" w:ascii="Times New Roman" w:hAnsi="Times New Roman" w:eastAsia="方正仿宋_GBK" w:cs="Times New Roman"/>
          <w:b/>
          <w:bCs/>
          <w:color w:val="333333"/>
          <w:kern w:val="0"/>
          <w:sz w:val="32"/>
          <w:szCs w:val="32"/>
          <w:lang w:val="en-US" w:eastAsia="zh-CN"/>
        </w:rPr>
        <w:t>宋农镇财政办。</w:t>
      </w:r>
      <w:r>
        <w:rPr>
          <w:rFonts w:hint="default" w:ascii="方正仿宋_GBK" w:hAnsi="方正仿宋_GBK" w:eastAsia="方正仿宋_GBK" w:cs="方正仿宋_GBK"/>
          <w:i w:val="0"/>
          <w:caps w:val="0"/>
          <w:color w:val="333333"/>
          <w:spacing w:val="0"/>
          <w:sz w:val="32"/>
          <w:szCs w:val="32"/>
          <w:shd w:val="clear" w:fill="FFFFFF"/>
          <w:lang w:val="en-US" w:eastAsia="zh-CN" w:bidi="ar-SA"/>
        </w:rPr>
        <w:t>主要负责：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180" w:line="560" w:lineRule="exact"/>
        <w:ind w:firstLine="643" w:firstLineChars="200"/>
        <w:jc w:val="both"/>
        <w:textAlignment w:val="auto"/>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default" w:ascii="Times New Roman" w:hAnsi="Times New Roman" w:eastAsia="方正仿宋_GBK" w:cs="Times New Roman"/>
          <w:b/>
          <w:bCs/>
          <w:color w:val="333333"/>
          <w:kern w:val="0"/>
          <w:sz w:val="32"/>
          <w:szCs w:val="32"/>
        </w:rPr>
        <w:t>3.</w:t>
      </w:r>
      <w:r>
        <w:rPr>
          <w:rFonts w:hint="default" w:ascii="Times New Roman" w:hAnsi="Times New Roman" w:eastAsia="方正仿宋_GBK" w:cs="Times New Roman"/>
          <w:b/>
          <w:bCs/>
          <w:color w:val="333333"/>
          <w:kern w:val="0"/>
          <w:sz w:val="32"/>
          <w:szCs w:val="32"/>
          <w:lang w:val="en-US" w:eastAsia="zh-CN"/>
        </w:rPr>
        <w:t>宋农镇农业服务中心（特色产业中心）。</w:t>
      </w:r>
      <w:r>
        <w:rPr>
          <w:rFonts w:hint="default" w:ascii="方正仿宋_GBK" w:hAnsi="方正仿宋_GBK" w:eastAsia="方正仿宋_GBK" w:cs="方正仿宋_GBK"/>
          <w:i w:val="0"/>
          <w:caps w:val="0"/>
          <w:color w:val="333333"/>
          <w:spacing w:val="0"/>
          <w:sz w:val="32"/>
          <w:szCs w:val="32"/>
          <w:shd w:val="clear" w:fill="FFFFFF"/>
          <w:lang w:val="en-US" w:eastAsia="zh-CN" w:bidi="ar-SA"/>
        </w:rPr>
        <w:t>主要职责：承担本乡镇特色产业项目的发展规划拟订并组织实施等服务职能。</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180" w:line="560" w:lineRule="exact"/>
        <w:ind w:firstLine="643" w:firstLineChars="200"/>
        <w:jc w:val="both"/>
        <w:textAlignment w:val="auto"/>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default" w:ascii="Times New Roman" w:hAnsi="Times New Roman" w:eastAsia="方正仿宋_GBK" w:cs="Times New Roman"/>
          <w:b/>
          <w:bCs/>
          <w:color w:val="333333"/>
          <w:kern w:val="0"/>
          <w:sz w:val="32"/>
          <w:szCs w:val="32"/>
        </w:rPr>
        <w:t>4.</w:t>
      </w:r>
      <w:r>
        <w:rPr>
          <w:rFonts w:hint="default" w:ascii="Times New Roman" w:hAnsi="Times New Roman" w:eastAsia="方正仿宋_GBK" w:cs="Times New Roman"/>
          <w:b/>
          <w:bCs/>
          <w:color w:val="333333"/>
          <w:kern w:val="0"/>
          <w:sz w:val="32"/>
          <w:szCs w:val="32"/>
          <w:lang w:val="en-US" w:eastAsia="zh-CN"/>
        </w:rPr>
        <w:t>宋农镇文化服务中心。</w:t>
      </w:r>
      <w:r>
        <w:rPr>
          <w:rFonts w:hint="default" w:ascii="方正仿宋_GBK" w:hAnsi="方正仿宋_GBK" w:eastAsia="方正仿宋_GBK" w:cs="方正仿宋_GBK"/>
          <w:i w:val="0"/>
          <w:caps w:val="0"/>
          <w:color w:val="333333"/>
          <w:spacing w:val="0"/>
          <w:sz w:val="32"/>
          <w:szCs w:val="32"/>
          <w:shd w:val="clear" w:fill="FFFFFF"/>
          <w:lang w:val="en-US" w:eastAsia="zh-CN" w:bidi="ar-SA"/>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180" w:line="560" w:lineRule="exact"/>
        <w:ind w:firstLine="643" w:firstLineChars="200"/>
        <w:jc w:val="both"/>
        <w:textAlignment w:val="auto"/>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default" w:ascii="Times New Roman" w:hAnsi="Times New Roman" w:eastAsia="方正仿宋_GBK" w:cs="Times New Roman"/>
          <w:b/>
          <w:bCs/>
          <w:color w:val="333333"/>
          <w:kern w:val="0"/>
          <w:sz w:val="32"/>
          <w:szCs w:val="32"/>
        </w:rPr>
        <w:t>5.</w:t>
      </w:r>
      <w:r>
        <w:rPr>
          <w:rFonts w:hint="default" w:ascii="Times New Roman" w:hAnsi="Times New Roman" w:eastAsia="方正仿宋_GBK" w:cs="Times New Roman"/>
          <w:b/>
          <w:bCs/>
          <w:color w:val="333333"/>
          <w:kern w:val="0"/>
          <w:sz w:val="32"/>
          <w:szCs w:val="32"/>
          <w:lang w:val="en-US" w:eastAsia="zh-CN"/>
        </w:rPr>
        <w:t>宋农镇社保所。</w:t>
      </w:r>
      <w:r>
        <w:rPr>
          <w:rFonts w:hint="default" w:ascii="方正仿宋_GBK" w:hAnsi="方正仿宋_GBK" w:eastAsia="方正仿宋_GBK" w:cs="方正仿宋_GBK"/>
          <w:i w:val="0"/>
          <w:caps w:val="0"/>
          <w:color w:val="333333"/>
          <w:spacing w:val="0"/>
          <w:sz w:val="32"/>
          <w:szCs w:val="32"/>
          <w:shd w:val="clear" w:fill="FFFFFF"/>
          <w:lang w:val="en-US" w:eastAsia="zh-CN" w:bidi="ar-SA"/>
        </w:rPr>
        <w:t>主要职责：承担就业、再就业、农村富余劳动力转移，劳动和社会保障、城镇居民最低生活保障、社保救济、医疗保障服务等社会保障相关具体工作。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180" w:line="560" w:lineRule="exact"/>
        <w:ind w:firstLine="643" w:firstLineChars="200"/>
        <w:jc w:val="both"/>
        <w:textAlignment w:val="auto"/>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default" w:ascii="Times New Roman" w:hAnsi="Times New Roman" w:eastAsia="方正仿宋_GBK" w:cs="Times New Roman"/>
          <w:b/>
          <w:bCs/>
          <w:color w:val="333333"/>
          <w:kern w:val="0"/>
          <w:sz w:val="32"/>
          <w:szCs w:val="32"/>
        </w:rPr>
        <w:t>6.</w:t>
      </w:r>
      <w:r>
        <w:rPr>
          <w:rFonts w:hint="default" w:ascii="Times New Roman" w:hAnsi="Times New Roman" w:eastAsia="方正仿宋_GBK" w:cs="Times New Roman"/>
          <w:b/>
          <w:bCs/>
          <w:color w:val="333333"/>
          <w:kern w:val="0"/>
          <w:sz w:val="32"/>
          <w:szCs w:val="32"/>
          <w:lang w:val="en-US" w:eastAsia="zh-CN"/>
        </w:rPr>
        <w:t>宋农镇退役军人服务站。</w:t>
      </w:r>
      <w:r>
        <w:rPr>
          <w:rFonts w:hint="default" w:ascii="方正仿宋_GBK" w:hAnsi="方正仿宋_GBK" w:eastAsia="方正仿宋_GBK" w:cs="方正仿宋_GBK"/>
          <w:i w:val="0"/>
          <w:caps w:val="0"/>
          <w:color w:val="333333"/>
          <w:spacing w:val="0"/>
          <w:sz w:val="32"/>
          <w:szCs w:val="32"/>
          <w:shd w:val="clear" w:fill="FFFFFF"/>
          <w:lang w:val="en-US" w:eastAsia="zh-CN" w:bidi="ar-SA"/>
        </w:rPr>
        <w:t>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180" w:line="560" w:lineRule="exact"/>
        <w:ind w:firstLine="643" w:firstLineChars="200"/>
        <w:jc w:val="both"/>
        <w:textAlignment w:val="auto"/>
        <w:rPr>
          <w:rFonts w:hint="default" w:ascii="方正仿宋_GBK" w:hAnsi="方正仿宋_GBK" w:eastAsia="方正仿宋_GBK" w:cs="方正仿宋_GBK"/>
          <w:i w:val="0"/>
          <w:caps w:val="0"/>
          <w:color w:val="333333"/>
          <w:spacing w:val="0"/>
          <w:sz w:val="32"/>
          <w:szCs w:val="32"/>
          <w:shd w:val="clear" w:fill="FFFFFF"/>
          <w:lang w:val="en-US" w:eastAsia="zh-CN" w:bidi="ar-SA"/>
        </w:rPr>
      </w:pPr>
      <w:r>
        <w:rPr>
          <w:rFonts w:hint="default" w:ascii="Times New Roman" w:hAnsi="Times New Roman" w:eastAsia="方正仿宋_GBK" w:cs="Times New Roman"/>
          <w:b/>
          <w:bCs/>
          <w:color w:val="333333"/>
          <w:kern w:val="0"/>
          <w:sz w:val="32"/>
          <w:szCs w:val="32"/>
        </w:rPr>
        <w:t>7.</w:t>
      </w:r>
      <w:r>
        <w:rPr>
          <w:rFonts w:hint="default" w:ascii="Times New Roman" w:hAnsi="Times New Roman" w:eastAsia="方正仿宋_GBK" w:cs="Times New Roman"/>
          <w:b/>
          <w:bCs/>
          <w:color w:val="333333"/>
          <w:kern w:val="0"/>
          <w:sz w:val="32"/>
          <w:szCs w:val="32"/>
          <w:lang w:val="en-US" w:eastAsia="zh-CN"/>
        </w:rPr>
        <w:t>宋农镇综合执法大队。</w:t>
      </w:r>
      <w:r>
        <w:rPr>
          <w:rFonts w:hint="default" w:ascii="方正仿宋_GBK" w:hAnsi="方正仿宋_GBK" w:eastAsia="方正仿宋_GBK" w:cs="方正仿宋_GBK"/>
          <w:i w:val="0"/>
          <w:caps w:val="0"/>
          <w:color w:val="333333"/>
          <w:spacing w:val="0"/>
          <w:sz w:val="32"/>
          <w:szCs w:val="32"/>
          <w:shd w:val="clear" w:fill="FFFFFF"/>
          <w:lang w:val="en-US" w:eastAsia="zh-CN" w:bidi="ar-SA"/>
        </w:rPr>
        <w:t>集中行使依法授权或委托乡镇政府承担的各项行政执法权；协调、配合县级有关单位及派驻机构开展其他领域的联合执法。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二、部门决算情况说明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（一）收入支出决算总体情况说明</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b/>
          <w:bCs/>
          <w:i w:val="0"/>
          <w:caps w:val="0"/>
          <w:color w:val="333333"/>
          <w:spacing w:val="0"/>
          <w:sz w:val="32"/>
          <w:szCs w:val="32"/>
          <w:shd w:val="clear" w:fill="FFFFFF"/>
          <w:lang w:val="en-US" w:eastAsia="zh-CN" w:bidi="ar-SA"/>
        </w:rPr>
        <w:t>1.总体情况</w:t>
      </w:r>
      <w:r>
        <w:rPr>
          <w:rFonts w:hint="default" w:ascii="Times New Roman" w:hAnsi="Times New Roman" w:eastAsia="方正仿宋" w:cs="Times New Roman"/>
          <w:i w:val="0"/>
          <w:caps w:val="0"/>
          <w:color w:val="333333"/>
          <w:spacing w:val="0"/>
          <w:sz w:val="32"/>
          <w:szCs w:val="32"/>
          <w:shd w:val="clear" w:fill="FFFFFF"/>
          <w:lang w:val="en-US" w:eastAsia="zh-CN" w:bidi="ar-SA"/>
        </w:rPr>
        <w:t>。</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收入总计2230.18万元，支出总计2230.18万元，主要用于保障在职人员工资福利及社会保险缴费、离退休人员健康休养费、民政优抚对象及低保对象补贴开支等。收支较上年决算数减少248.93万元，下降10.04%，主要原因是一般公共预算收支、政府性基金预算财政拨款收支、公共基础设施建设投入等减少。</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b/>
          <w:bCs/>
          <w:i w:val="0"/>
          <w:caps w:val="0"/>
          <w:color w:val="333333"/>
          <w:spacing w:val="0"/>
          <w:sz w:val="32"/>
          <w:szCs w:val="32"/>
          <w:shd w:val="clear" w:fill="FFFFFF"/>
          <w:lang w:val="en-US" w:eastAsia="zh-CN"/>
        </w:rPr>
        <w:t>2.收入情况。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收入合计2192.37万元，较上年决算数减少85.76万元，下降3.76%，主要原因是落实政府过紧日子政策。其中：财政拨款收入2192.37万元，占100.00%；事业收入0.00万元，占0.00%；经营收入0.00万元，占0.00%；其他收入0.00万元，占0.00%。此外，使用非财政拨款结余和专用结余0.00万元，年初结转和结余37.80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b/>
          <w:bCs/>
          <w:i w:val="0"/>
          <w:caps w:val="0"/>
          <w:color w:val="333333"/>
          <w:spacing w:val="0"/>
          <w:sz w:val="32"/>
          <w:szCs w:val="32"/>
          <w:shd w:val="clear" w:fill="FFFFFF"/>
          <w:lang w:val="en-US" w:eastAsia="zh-CN"/>
        </w:rPr>
        <w:t>3.支出情况。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支出合计2202.95万元，较上年决算数减少276.16万元，下降11.14%，主要原因是扶贫整合项目资金减少。其中：基本支出947.05万元，占42.99%；项目支出1255.90万元，占57.01%；经营支出0.00万元，占0.00%。此外，结余分配0.00万元。</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b/>
          <w:bCs/>
          <w:i w:val="0"/>
          <w:caps w:val="0"/>
          <w:color w:val="333333"/>
          <w:spacing w:val="0"/>
          <w:sz w:val="32"/>
          <w:szCs w:val="32"/>
          <w:shd w:val="clear" w:fill="FFFFFF"/>
          <w:lang w:val="en-US" w:eastAsia="zh-CN"/>
        </w:rPr>
        <w:t>4.结转结余情况。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2023年度年末结转和结余27.23万元，较上年决算数增加27.23万元，增长100.00%，主要原因是2022年度事业人员超额绩效清算结转至2023年发放。</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2023年度财政拨款收、支总计2230.18万元。与2022年相比，财政拨款收、支总计各减少47.95万元，下降2.10%。主要原因是落实政府过紧日子政策。</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b/>
          <w:bCs/>
          <w:i w:val="0"/>
          <w:caps w:val="0"/>
          <w:color w:val="333333"/>
          <w:spacing w:val="0"/>
          <w:sz w:val="32"/>
          <w:szCs w:val="32"/>
          <w:shd w:val="clear" w:fill="FFFFFF"/>
          <w:lang w:val="en-US" w:eastAsia="zh-CN"/>
        </w:rPr>
        <w:t>1.收入情况。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一般公共预算财政拨款收入2171.89万元，较上年决算数减少105.60万元，下降4.64%。主要原因是财政安排的项目资金减少，财政拨款收入减少。较年初预算数增加1049.85万元，增长93.57%。主要原因是人员政策性增资、优抚对象补贴增加等。此外，年初财政拨款结转和结余37.80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b/>
          <w:bCs/>
          <w:i w:val="0"/>
          <w:caps w:val="0"/>
          <w:color w:val="333333"/>
          <w:spacing w:val="0"/>
          <w:sz w:val="32"/>
          <w:szCs w:val="32"/>
          <w:shd w:val="clear" w:fill="FFFFFF"/>
          <w:lang w:val="en-US" w:eastAsia="zh-CN"/>
        </w:rPr>
        <w:t>2.支出情况。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一般公共预算财政拨款支出2182.46万元，较上年决算数减少95.03万元，下降4.17%。主要原因是人员减少，扶贫项目减少。较年初预算数增加622.74万元，增长39.93%。主要原因是人员政策性增资、优抚对象补贴增加等。</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b/>
          <w:bCs/>
          <w:i w:val="0"/>
          <w:caps w:val="0"/>
          <w:color w:val="333333"/>
          <w:spacing w:val="0"/>
          <w:sz w:val="32"/>
          <w:szCs w:val="32"/>
          <w:shd w:val="clear" w:fill="FFFFFF"/>
          <w:lang w:val="en-US" w:eastAsia="zh-CN"/>
        </w:rPr>
        <w:t>3.结转结余情况。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2023年度年末一般公共预算财政拨款结转和结余27.23万元，较上年决算数增加27.23万元，增长100.00%，主要原因是2022年度事业人员超额绩效清算结转至2023年发放。</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b/>
          <w:bCs/>
          <w:i w:val="0"/>
          <w:caps w:val="0"/>
          <w:color w:val="333333"/>
          <w:spacing w:val="0"/>
          <w:sz w:val="32"/>
          <w:szCs w:val="32"/>
          <w:shd w:val="clear" w:fill="FFFFFF"/>
          <w:lang w:val="en-US" w:eastAsia="zh-CN"/>
        </w:rPr>
        <w:t>4.比较情况。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本部门2023年度一般公共预算财政拨款支出主要用于以下几个方面：</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（1）一般公共服务支出522.83万元，占23.96%，较年初预算数增加38.34万元，增长7.91%，主要原因是2023年基层政权建设补助资金等，未纳入年初预算。</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（2）国防支出3.00万元，占0.14%，较年初预算数增加3.00万元，增长100.00%，主要原因是民政购买服务未纳入年初预算，增加开支。</w:t>
      </w:r>
    </w:p>
    <w:p>
      <w:pPr>
        <w:keepNext w:val="0"/>
        <w:keepLines w:val="0"/>
        <w:pageBreakBefore w:val="0"/>
        <w:widowControl w:val="0"/>
        <w:shd w:val="clear" w:color="auto" w:fill="FFFFFF"/>
        <w:kinsoku/>
        <w:wordWrap/>
        <w:overflowPunct/>
        <w:topLinePunct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（3）公共安全支出19.49万元，占0.89%，较年初预算数增加14.37万元，增长280.66%，主要原因是用于平安建设、开展群防群治和网格化服务管理工作，未纳入年初预算。</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（4）教育支出18.00万元，占0.82%，较年初预算数无增减，主要原因是社区教育专项经费增加，未纳入年初预算。</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（5）文化旅游体育与传媒支出37.62万元，占1.72%，较年初预算数增加8.16万元，增长27.70%，主要原因是美术馆、图书馆、文化馆(站)免费开放专项增加，未纳入年初预算。</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（6）社会保障与就业支出255.10万元，占11.69%，较年初预算数增加21.26万元，增长9.09%，主要原因是社会救济增加、民政供养人员增加。</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（7）卫生健康支出54.34万元，占2.49%，较年初预算数增加21.30万元，增长64.47%，主要原因是医疗保障能力提升资金增加。</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（8）节能环保支出96.82万元，占4.44%，较年初预算数减少74.12万元，下降43.36%，主要原因是临时人员工资待遇调整。</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（9）城乡社区支出33.33万元，占1.53%，较年初预算数增加2.28万元，增长7.34%，主要原因是综合环境治理增加。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（10）农林水支出1008.05万元，占46.19%，较年初预算数增加513.50万元，增长103.83%，主要原因是涉农补助项目减少。</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11）自然资源海洋气象等支出22.38万元，占1.03%，较年初预算数增加22.38万元，增长100.00%，主要原因是应对自然环境变化。（12）住房保障支出60.56万元，占2.77%，较年初预算数增加1.34万元，增长2.26%，主要原因是人员变动使得公积金支出变动。</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（13）灾害防治及应急管理支出50.96万元，占2.33%，较年初预算数增加50.96万元，增长100.00%，主要原因是年中追加安排应急预算。</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一般公共财政拨款基本支出947.05万元。其中：人员经费811.22万元，较上年决算数减少12.48万元，下降1.52%，主要原因是人员减少。人员经费用途主要包括基本工资、津贴补贴、奖金、社会保障缴费。公用经费135.83万元，较上年决算数增加23.32万元，增长20.73%，主要原因是人员增减变动。公用经费用途主要包括办公费、水电费、邮电费、差旅费、会议费、培训费、劳务费、其他商品和服务等。</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政府性基金预算财政拨款年初结转结余0.00万元，年末结转结余0.00万元。本年收入20.48万元，较上年决算数增加19.84万元，增长3100.00%，主要原因是彩票公益金安排的支出增加。本年支出20.48万元，较上年决算数增加19.84万元，增长3100.00%，主要原因是彩票公益金安排的支出增加。</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本部门2023年度无国有资本经营预算财政拨款支出。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三、“三公”经费情况说明</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2023年度“三公”经费支出共计2.59万元，较年初预算数减少7.41万元，下降74.10%，主要原因是公务用车运行维护</w:t>
      </w:r>
      <w:r>
        <w:rPr>
          <w:rFonts w:hint="eastAsia" w:ascii="Times New Roman" w:hAnsi="Times New Roman" w:eastAsia="方正仿宋_GBK" w:cs="Times New Roman"/>
          <w:i w:val="0"/>
          <w:caps w:val="0"/>
          <w:color w:val="333333"/>
          <w:spacing w:val="0"/>
          <w:sz w:val="32"/>
          <w:szCs w:val="32"/>
          <w:shd w:val="clear" w:fill="FFFFFF"/>
          <w:lang w:val="en-US" w:eastAsia="zh-CN" w:bidi="ar-SA"/>
        </w:rPr>
        <w:t>支出减少。</w:t>
      </w:r>
      <w:r>
        <w:rPr>
          <w:rFonts w:hint="default" w:ascii="Times New Roman" w:hAnsi="Times New Roman" w:eastAsia="方正仿宋_GBK" w:cs="Times New Roman"/>
          <w:i w:val="0"/>
          <w:caps w:val="0"/>
          <w:color w:val="333333"/>
          <w:spacing w:val="0"/>
          <w:sz w:val="32"/>
          <w:szCs w:val="32"/>
          <w:shd w:val="clear" w:fill="FFFFFF"/>
          <w:lang w:val="en-US" w:eastAsia="zh-CN" w:bidi="ar-SA"/>
        </w:rPr>
        <w:t>较上年支出数减少4.15万元，下降61.57%，主要原因是公务车维修费减少。</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（二）“三公”经费分项支出情况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w:t>
      </w:r>
      <w:r>
        <w:rPr>
          <w:rFonts w:hint="eastAsia" w:ascii="Times New Roman" w:hAnsi="Times New Roman" w:eastAsia="方正仿宋_GBK" w:cs="Times New Roman"/>
          <w:i w:val="0"/>
          <w:caps w:val="0"/>
          <w:color w:val="333333"/>
          <w:spacing w:val="0"/>
          <w:sz w:val="32"/>
          <w:szCs w:val="32"/>
          <w:shd w:val="clear" w:fill="FFFFFF"/>
          <w:lang w:val="en-US" w:eastAsia="zh-CN" w:bidi="ar-SA"/>
        </w:rPr>
        <w:t>部门</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2023年度未发生部门因公出国（境）费用支出。2023年度本部门因公出国（境）费用0.00万元。费用支出较年初预算数增加0.00万元，增长0.00%。较上年支出数增加0.00万元，增长0.00%。</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w:t>
      </w:r>
      <w:r>
        <w:rPr>
          <w:rFonts w:hint="eastAsia" w:ascii="Times New Roman" w:hAnsi="Times New Roman" w:eastAsia="方正仿宋_GBK" w:cs="Times New Roman"/>
          <w:i w:val="0"/>
          <w:caps w:val="0"/>
          <w:color w:val="333333"/>
          <w:spacing w:val="0"/>
          <w:sz w:val="32"/>
          <w:szCs w:val="32"/>
          <w:shd w:val="clear" w:fill="FFFFFF"/>
          <w:lang w:val="en-US" w:eastAsia="zh-CN" w:bidi="ar-SA"/>
        </w:rPr>
        <w:t>部门</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2023年度未发生公务车购置费支出。公务车购置费0.00万元。费用支出较年初预算数增加0.00万元，增长0.00%。较上年支出数增加0.00万元，增长0.00%。</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公务车运行维护费2.59万元，主要用于公务用车运行维护费和公务车保险费用。费用支出较年初预算数减少7.41万元，下降74.10%，主要原因是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公务车维修支出减少。</w:t>
      </w:r>
      <w:r>
        <w:rPr>
          <w:rFonts w:hint="default" w:ascii="Times New Roman" w:hAnsi="Times New Roman" w:eastAsia="方正仿宋_GBK" w:cs="Times New Roman"/>
          <w:i w:val="0"/>
          <w:caps w:val="0"/>
          <w:color w:val="333333"/>
          <w:spacing w:val="0"/>
          <w:sz w:val="32"/>
          <w:szCs w:val="32"/>
          <w:shd w:val="clear" w:fill="FFFFFF"/>
          <w:lang w:val="en-US" w:eastAsia="zh-CN" w:bidi="ar-SA"/>
        </w:rPr>
        <w:t>较上年支出数减少4.15万元，下降61.57%，主要原因是公务车运行维护费减少。</w:t>
      </w:r>
    </w:p>
    <w:p>
      <w:pPr>
        <w:keepNext w:val="0"/>
        <w:keepLines w:val="0"/>
        <w:pageBreakBefore w:val="0"/>
        <w:widowControl w:val="0"/>
        <w:shd w:val="clear" w:color="auto" w:fill="FFFFFF"/>
        <w:kinsoku/>
        <w:wordWrap/>
        <w:overflowPunct/>
        <w:topLinePunct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w:t>
      </w:r>
      <w:r>
        <w:rPr>
          <w:rFonts w:hint="eastAsia" w:ascii="Times New Roman" w:hAnsi="Times New Roman" w:eastAsia="方正仿宋_GBK" w:cs="Times New Roman"/>
          <w:i w:val="0"/>
          <w:caps w:val="0"/>
          <w:color w:val="333333"/>
          <w:spacing w:val="0"/>
          <w:sz w:val="32"/>
          <w:szCs w:val="32"/>
          <w:shd w:val="clear" w:fill="FFFFFF"/>
          <w:lang w:val="en-US" w:eastAsia="zh-CN" w:bidi="ar-SA"/>
        </w:rPr>
        <w:t>部门</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2023年度未发生公务接待费支出。公务接待费0.00万元，费用支出较年初预算数增加0.00万元，增长0.00%，较上年支出数增加0.00万元，增长0.00%。</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 2023年度本部门因公出国（境）共计0个团组，0人；公务用车购置0辆，公务车保有量为2辆；国内公务接待0批次0人，其中：国内外事接待0批次，0人；国（境）外公务接待0批次，0人。2023年本部门人均接待费0元，车均购置费0万元，车均维护费1.30万元。</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年度会议费支出0.02万元，主要用于人代会、安排会议等会议。较上年决算数减少1.90万元，下降98.96%，主要原因是会议次数减少。本年度培训费支出1.67万元，较上年决算数增加1.36万元，增长438.71%，主要原因是人员增加，培训费支出增加。</w:t>
      </w:r>
    </w:p>
    <w:p>
      <w:pPr>
        <w:pStyle w:val="12"/>
        <w:keepNext w:val="0"/>
        <w:keepLines w:val="0"/>
        <w:pageBreakBefore w:val="0"/>
        <w:widowControl w:val="0"/>
        <w:kinsoku/>
        <w:wordWrap/>
        <w:overflowPunct/>
        <w:topLinePunct w:val="0"/>
        <w:autoSpaceDE w:val="0"/>
        <w:autoSpaceDN/>
        <w:bidi w:val="0"/>
        <w:adjustRightInd/>
        <w:spacing w:before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部门机关运行经费支出106.85万元，机关运行经费主要用于开支购置办公用品、消防器材、电脑及打印机等。机关运行经费较上年支出数减少5.66万元，下降5.03%，主要原因是落实过紧日子政策，削减开支。</w:t>
      </w:r>
    </w:p>
    <w:p>
      <w:pPr>
        <w:pStyle w:val="12"/>
        <w:keepNext w:val="0"/>
        <w:keepLines w:val="0"/>
        <w:pageBreakBefore w:val="0"/>
        <w:widowControl w:val="0"/>
        <w:kinsoku/>
        <w:wordWrap/>
        <w:overflowPunct/>
        <w:topLinePunct w:val="0"/>
        <w:autoSpaceDE w:val="0"/>
        <w:autoSpaceDN/>
        <w:bidi w:val="0"/>
        <w:adjustRightInd/>
        <w:spacing w:before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截至2023年12月31日，本部门共有车辆2辆，其中，副部（省）级及以上领导用车0辆、主要负责人用车0辆、机要通信用车0辆、应急保障用车2辆、执法执勤用车0辆，特种专业技术用车0辆，离退休干部用车0辆。单价100万元（含）以上专用设备0台（套）。</w:t>
      </w:r>
    </w:p>
    <w:p>
      <w:pPr>
        <w:pStyle w:val="12"/>
        <w:keepNext w:val="0"/>
        <w:keepLines w:val="0"/>
        <w:pageBreakBefore w:val="0"/>
        <w:widowControl w:val="0"/>
        <w:kinsoku/>
        <w:wordWrap/>
        <w:overflowPunct/>
        <w:topLinePunct w:val="0"/>
        <w:autoSpaceDE w:val="0"/>
        <w:autoSpaceDN/>
        <w:bidi w:val="0"/>
        <w:adjustRightInd/>
        <w:spacing w:before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2023年度我</w:t>
      </w:r>
      <w:r>
        <w:rPr>
          <w:rFonts w:hint="eastAsia" w:ascii="Times New Roman" w:hAnsi="Times New Roman" w:eastAsia="方正仿宋_GBK" w:cs="Times New Roman"/>
          <w:i w:val="0"/>
          <w:caps w:val="0"/>
          <w:color w:val="333333"/>
          <w:spacing w:val="0"/>
          <w:sz w:val="32"/>
          <w:szCs w:val="32"/>
          <w:shd w:val="clear" w:fill="FFFFFF"/>
          <w:lang w:val="en-US" w:eastAsia="zh-CN" w:bidi="ar-SA"/>
        </w:rPr>
        <w:t>部门</w:t>
      </w:r>
      <w:r>
        <w:rPr>
          <w:rFonts w:hint="default" w:ascii="Times New Roman" w:hAnsi="Times New Roman" w:eastAsia="方正仿宋_GBK" w:cs="Times New Roman"/>
          <w:i w:val="0"/>
          <w:caps w:val="0"/>
          <w:color w:val="333333"/>
          <w:spacing w:val="0"/>
          <w:sz w:val="32"/>
          <w:szCs w:val="32"/>
          <w:shd w:val="clear" w:fill="FFFFFF"/>
          <w:lang w:val="en-US" w:eastAsia="zh-CN" w:bidi="ar-SA"/>
        </w:rPr>
        <w:t>未发生政府采购事项，无相关经费支出。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五、</w:t>
      </w:r>
      <w:r>
        <w:rPr>
          <w:rStyle w:val="9"/>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（一）部门自评情况</w:t>
      </w:r>
    </w:p>
    <w:p>
      <w:pPr>
        <w:pStyle w:val="13"/>
        <w:keepNext w:val="0"/>
        <w:keepLines w:val="0"/>
        <w:pageBreakBefore w:val="0"/>
        <w:widowControl w:val="0"/>
        <w:kinsoku/>
        <w:wordWrap/>
        <w:overflowPunct/>
        <w:topLinePunct w:val="0"/>
        <w:autoSpaceDE w:val="0"/>
        <w:autoSpaceDN/>
        <w:bidi w:val="0"/>
        <w:adjustRightInd/>
        <w:snapToGrid/>
        <w:spacing w:before="0" w:beforeAutospacing="0" w:line="560" w:lineRule="exact"/>
        <w:ind w:firstLine="640" w:firstLineChars="200"/>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i w:val="0"/>
          <w:caps w:val="0"/>
          <w:color w:val="333333"/>
          <w:spacing w:val="0"/>
          <w:sz w:val="32"/>
          <w:szCs w:val="32"/>
          <w:shd w:val="clear" w:fill="FFFFFF"/>
          <w:lang w:val="en-US" w:eastAsia="zh-CN" w:bidi="ar-SA"/>
        </w:rPr>
        <w:t>根据预算绩效管理要求，我部门对部门整体绩效目标评价1个和93个二级项目开展了绩效自评，涉及财政拨款项目支出资金</w:t>
      </w:r>
      <w:r>
        <w:rPr>
          <w:rFonts w:hint="eastAsia" w:ascii="Times New Roman" w:hAnsi="Times New Roman" w:eastAsia="方正仿宋_GBK" w:cs="Times New Roman"/>
          <w:i w:val="0"/>
          <w:caps w:val="0"/>
          <w:color w:val="333333"/>
          <w:spacing w:val="0"/>
          <w:sz w:val="32"/>
          <w:szCs w:val="32"/>
          <w:shd w:val="clear" w:fill="FFFFFF"/>
          <w:lang w:val="en-US" w:eastAsia="zh-CN" w:bidi="ar-SA"/>
        </w:rPr>
        <w:t>1255.90万</w:t>
      </w:r>
      <w:r>
        <w:rPr>
          <w:rFonts w:hint="default" w:ascii="Times New Roman" w:hAnsi="Times New Roman" w:eastAsia="方正仿宋_GBK" w:cs="Times New Roman"/>
          <w:i w:val="0"/>
          <w:caps w:val="0"/>
          <w:color w:val="333333"/>
          <w:spacing w:val="0"/>
          <w:sz w:val="32"/>
          <w:szCs w:val="32"/>
          <w:shd w:val="clear" w:fill="FFFFFF"/>
          <w:lang w:val="en-US" w:eastAsia="zh-CN" w:bidi="ar-SA"/>
        </w:rPr>
        <w:t>元</w:t>
      </w:r>
      <w:r>
        <w:rPr>
          <w:rFonts w:hint="eastAsia" w:ascii="Times New Roman" w:hAnsi="Times New Roman" w:eastAsia="方正仿宋_GBK" w:cs="Times New Roman"/>
          <w:i w:val="0"/>
          <w:caps w:val="0"/>
          <w:color w:val="333333"/>
          <w:spacing w:val="0"/>
          <w:sz w:val="32"/>
          <w:szCs w:val="32"/>
          <w:shd w:val="clear" w:fill="FFFFFF"/>
          <w:lang w:val="en-US" w:eastAsia="zh-CN" w:bidi="ar-SA"/>
        </w:rPr>
        <w:t>。本部门2023年度部门整体绩效自评表详见附件1，2023年项目支出绩效自评表（二级项目）详见附件2。</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（二）部门绩效评价情况</w:t>
      </w:r>
    </w:p>
    <w:p>
      <w:pPr>
        <w:pStyle w:val="15"/>
        <w:keepNext w:val="0"/>
        <w:keepLines w:val="0"/>
        <w:pageBreakBefore w:val="0"/>
        <w:widowControl w:val="0"/>
        <w:kinsoku/>
        <w:wordWrap/>
        <w:overflowPunct/>
        <w:topLinePunct w:val="0"/>
        <w:autoSpaceDE w:val="0"/>
        <w:autoSpaceDN/>
        <w:bidi w:val="0"/>
        <w:adjustRightInd/>
        <w:snapToGrid/>
        <w:spacing w:before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eastAsia" w:ascii="Times New Roman" w:hAnsi="Times New Roman" w:eastAsia="方正仿宋_GBK" w:cs="Times New Roman"/>
          <w:i w:val="0"/>
          <w:caps w:val="0"/>
          <w:color w:val="333333"/>
          <w:spacing w:val="0"/>
          <w:sz w:val="32"/>
          <w:szCs w:val="32"/>
          <w:shd w:val="clear" w:fill="FFFFFF"/>
          <w:lang w:val="en-US" w:eastAsia="zh-CN" w:bidi="ar-SA"/>
        </w:rPr>
        <w:t>我部门对农村饮水维修养护工程开展了绩效评价，涉及财政拨款项目资金25万元，评价得分90分，评价等次为优，绩效评价未发现问题；对宋农镇2023年中山橙岛产业发展配套设施建设项目开展了绩效评价，涉及财政拨款项目资金170万元，评价得分90分，评价等次为优，绩效评价未发现问题；</w:t>
      </w:r>
      <w:r>
        <w:rPr>
          <w:rFonts w:hint="default" w:ascii="Times New Roman" w:hAnsi="Times New Roman" w:eastAsia="方正仿宋_GBK" w:cs="Times New Roman"/>
          <w:i w:val="0"/>
          <w:caps w:val="0"/>
          <w:color w:val="333333"/>
          <w:spacing w:val="0"/>
          <w:sz w:val="32"/>
          <w:szCs w:val="32"/>
          <w:shd w:val="clear" w:fill="FFFFFF"/>
          <w:lang w:val="en-US" w:eastAsia="zh-CN" w:bidi="ar-SA"/>
        </w:rPr>
        <w:t>我部门对秀山县2023年油茶生产建设</w:t>
      </w:r>
      <w:r>
        <w:rPr>
          <w:rFonts w:hint="eastAsia" w:ascii="Times New Roman" w:hAnsi="Times New Roman" w:eastAsia="方正仿宋_GBK" w:cs="Times New Roman"/>
          <w:i w:val="0"/>
          <w:caps w:val="0"/>
          <w:color w:val="333333"/>
          <w:spacing w:val="0"/>
          <w:sz w:val="32"/>
          <w:szCs w:val="32"/>
          <w:shd w:val="clear" w:fill="FFFFFF"/>
          <w:lang w:val="en-US" w:eastAsia="zh-CN" w:bidi="ar-SA"/>
        </w:rPr>
        <w:t>开</w:t>
      </w:r>
      <w:r>
        <w:rPr>
          <w:rFonts w:hint="default" w:ascii="Times New Roman" w:hAnsi="Times New Roman" w:eastAsia="方正仿宋_GBK" w:cs="Times New Roman"/>
          <w:i w:val="0"/>
          <w:caps w:val="0"/>
          <w:color w:val="333333"/>
          <w:spacing w:val="0"/>
          <w:sz w:val="32"/>
          <w:szCs w:val="32"/>
          <w:shd w:val="clear" w:fill="FFFFFF"/>
          <w:lang w:val="en-US" w:eastAsia="zh-CN" w:bidi="ar-SA"/>
        </w:rPr>
        <w:t>展了绩效评价，涉及财政拨款项目资金</w:t>
      </w:r>
      <w:r>
        <w:rPr>
          <w:rFonts w:hint="eastAsia" w:ascii="Times New Roman" w:hAnsi="Times New Roman" w:eastAsia="方正仿宋_GBK" w:cs="Times New Roman"/>
          <w:i w:val="0"/>
          <w:caps w:val="0"/>
          <w:color w:val="333333"/>
          <w:spacing w:val="0"/>
          <w:sz w:val="32"/>
          <w:szCs w:val="32"/>
          <w:shd w:val="clear" w:fill="FFFFFF"/>
          <w:lang w:val="en-US" w:eastAsia="zh-CN" w:bidi="ar-SA"/>
        </w:rPr>
        <w:t>55</w:t>
      </w:r>
      <w:r>
        <w:rPr>
          <w:rFonts w:hint="default" w:ascii="Times New Roman" w:hAnsi="Times New Roman" w:eastAsia="方正仿宋_GBK" w:cs="Times New Roman"/>
          <w:i w:val="0"/>
          <w:caps w:val="0"/>
          <w:color w:val="333333"/>
          <w:spacing w:val="0"/>
          <w:sz w:val="32"/>
          <w:szCs w:val="32"/>
          <w:shd w:val="clear" w:fill="FFFFFF"/>
          <w:lang w:val="en-US" w:eastAsia="zh-CN" w:bidi="ar-SA"/>
        </w:rPr>
        <w:t>万元，评价得分</w:t>
      </w:r>
      <w:r>
        <w:rPr>
          <w:rFonts w:hint="eastAsia" w:ascii="Times New Roman" w:hAnsi="Times New Roman" w:eastAsia="方正仿宋_GBK" w:cs="Times New Roman"/>
          <w:i w:val="0"/>
          <w:caps w:val="0"/>
          <w:color w:val="333333"/>
          <w:spacing w:val="0"/>
          <w:sz w:val="32"/>
          <w:szCs w:val="32"/>
          <w:shd w:val="clear" w:fill="FFFFFF"/>
          <w:lang w:val="en-US" w:eastAsia="zh-CN" w:bidi="ar-SA"/>
        </w:rPr>
        <w:t>90</w:t>
      </w:r>
      <w:r>
        <w:rPr>
          <w:rFonts w:hint="default" w:ascii="Times New Roman" w:hAnsi="Times New Roman" w:eastAsia="方正仿宋_GBK" w:cs="Times New Roman"/>
          <w:i w:val="0"/>
          <w:caps w:val="0"/>
          <w:color w:val="333333"/>
          <w:spacing w:val="0"/>
          <w:sz w:val="32"/>
          <w:szCs w:val="32"/>
          <w:shd w:val="clear" w:fill="FFFFFF"/>
          <w:lang w:val="en-US" w:eastAsia="zh-CN" w:bidi="ar-SA"/>
        </w:rPr>
        <w:t>分，评价等</w:t>
      </w:r>
      <w:r>
        <w:rPr>
          <w:rFonts w:hint="eastAsia" w:ascii="Times New Roman" w:hAnsi="Times New Roman" w:eastAsia="方正仿宋_GBK" w:cs="Times New Roman"/>
          <w:i w:val="0"/>
          <w:caps w:val="0"/>
          <w:color w:val="333333"/>
          <w:spacing w:val="0"/>
          <w:sz w:val="32"/>
          <w:szCs w:val="32"/>
          <w:shd w:val="clear" w:fill="FFFFFF"/>
          <w:lang w:val="en-US" w:eastAsia="zh-CN" w:bidi="ar-SA"/>
        </w:rPr>
        <w:t>次</w:t>
      </w:r>
      <w:r>
        <w:rPr>
          <w:rFonts w:hint="default" w:ascii="Times New Roman" w:hAnsi="Times New Roman" w:eastAsia="方正仿宋_GBK" w:cs="Times New Roman"/>
          <w:i w:val="0"/>
          <w:caps w:val="0"/>
          <w:color w:val="333333"/>
          <w:spacing w:val="0"/>
          <w:sz w:val="32"/>
          <w:szCs w:val="32"/>
          <w:shd w:val="clear" w:fill="FFFFFF"/>
          <w:lang w:val="en-US" w:eastAsia="zh-CN" w:bidi="ar-SA"/>
        </w:rPr>
        <w:t>为优。绩效评价发现了绩效目标设置不合理。部分项目的绩效目标设置存在使用定性指标，导致无法更加精确的进行结果量化，评价过程中容易受到主观性影响等主要问题，提出继续加强系统化学习，严格把握项目资金投向和建设内容，围绕目标任务尽可能设置科学、合理的可量化指标等下一步工作建议。</w:t>
      </w:r>
    </w:p>
    <w:p>
      <w:pPr>
        <w:pStyle w:val="12"/>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7"/>
        <w:keepNext w:val="0"/>
        <w:keepLines w:val="0"/>
        <w:pageBreakBefore w:val="0"/>
        <w:widowControl w:val="0"/>
        <w:shd w:val="clear" w:color="auto" w:fill="FFFFFF"/>
        <w:kinsoku/>
        <w:wordWrap/>
        <w:overflowPunct/>
        <w:topLinePunct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eastAsia" w:ascii="Times New Roman" w:hAnsi="Times New Roman" w:eastAsia="方正仿宋_GBK" w:cs="Times New Roman"/>
          <w:i w:val="0"/>
          <w:caps w:val="0"/>
          <w:color w:val="333333"/>
          <w:spacing w:val="0"/>
          <w:sz w:val="32"/>
          <w:szCs w:val="32"/>
          <w:shd w:val="clear" w:fill="FFFFFF"/>
          <w:lang w:val="en-US" w:eastAsia="zh-CN" w:bidi="ar-SA"/>
        </w:rPr>
        <w:t>县</w:t>
      </w:r>
      <w:r>
        <w:rPr>
          <w:rFonts w:hint="default" w:ascii="Times New Roman" w:hAnsi="Times New Roman" w:eastAsia="方正仿宋_GBK" w:cs="Times New Roman"/>
          <w:i w:val="0"/>
          <w:caps w:val="0"/>
          <w:color w:val="333333"/>
          <w:spacing w:val="0"/>
          <w:sz w:val="32"/>
          <w:szCs w:val="32"/>
          <w:shd w:val="clear" w:fill="FFFFFF"/>
          <w:lang w:val="en-US" w:eastAsia="zh-CN" w:bidi="ar-SA"/>
        </w:rPr>
        <w:t>财政局未委托第三方对我部门开展绩效评价。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六、专业名词解释</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指单位上年结转本年使用的基本支出结转、项目支出结转和结余、经营结余。</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指单位结转下年的基本支出结转、项目支出结转和结余、经营结余。</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i w:val="0"/>
          <w:caps w:val="0"/>
          <w:color w:val="333333"/>
          <w:spacing w:val="0"/>
          <w:sz w:val="32"/>
          <w:szCs w:val="32"/>
          <w:shd w:val="clear"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 （十）项目支出：</w:t>
      </w:r>
      <w:r>
        <w:rPr>
          <w:rFonts w:hint="default" w:ascii="Times New Roman" w:hAnsi="Times New Roman" w:eastAsia="方正仿宋_GBK" w:cs="Times New Roman"/>
          <w:i w:val="0"/>
          <w:caps w:val="0"/>
          <w:color w:val="333333"/>
          <w:spacing w:val="0"/>
          <w:sz w:val="32"/>
          <w:szCs w:val="32"/>
          <w:shd w:val="clear" w:fill="FFFFFF"/>
          <w:lang w:val="en-US" w:eastAsia="zh-CN" w:bidi="ar-SA"/>
        </w:rPr>
        <w:t>指在基本支出之外为完成特定行政任务和事业发展目标所发生的支出。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i w:val="0"/>
          <w:caps w:val="0"/>
          <w:color w:val="333333"/>
          <w:spacing w:val="0"/>
          <w:sz w:val="32"/>
          <w:szCs w:val="32"/>
          <w:shd w:val="clear" w:fill="FFFFFF"/>
          <w:lang w:val="en-US" w:eastAsia="zh-CN" w:bidi="ar-SA"/>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9"/>
          <w:rFonts w:hint="default" w:ascii="Times New Roman" w:hAnsi="Times New Roman" w:eastAsia="方正仿宋_GBK" w:cs="Times New Roman"/>
          <w:sz w:val="32"/>
          <w:szCs w:val="32"/>
          <w:shd w:val="clear" w:color="auto" w:fill="FFFFFF"/>
        </w:rPr>
        <w:t> </w:t>
      </w:r>
      <w:r>
        <w:rPr>
          <w:rStyle w:val="9"/>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i w:val="0"/>
          <w:caps w:val="0"/>
          <w:color w:val="333333"/>
          <w:spacing w:val="0"/>
          <w:sz w:val="32"/>
          <w:szCs w:val="32"/>
          <w:shd w:val="clear"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 （十三）机关运行经费：</w:t>
      </w:r>
      <w:r>
        <w:rPr>
          <w:rFonts w:hint="default" w:ascii="Times New Roman" w:hAnsi="Times New Roman" w:eastAsia="方正仿宋_GBK" w:cs="Times New Roman"/>
          <w:i w:val="0"/>
          <w:caps w:val="0"/>
          <w:color w:val="333333"/>
          <w:spacing w:val="0"/>
          <w:sz w:val="32"/>
          <w:szCs w:val="32"/>
          <w:shd w:val="clear"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 （十四）工资福利支出（支出经济分类科目类级）：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 w:cs="Times New Roman"/>
          <w:i w:val="0"/>
          <w:caps w:val="0"/>
          <w:color w:val="333333"/>
          <w:spacing w:val="0"/>
          <w:sz w:val="32"/>
          <w:szCs w:val="32"/>
          <w:shd w:val="clear" w:fill="FFFFFF"/>
          <w:lang w:val="en-US" w:eastAsia="zh-CN" w:bidi="ar-SA"/>
        </w:rPr>
        <w:t>反</w:t>
      </w:r>
      <w:r>
        <w:rPr>
          <w:rFonts w:hint="default" w:ascii="Times New Roman" w:hAnsi="Times New Roman" w:eastAsia="方正仿宋_GBK" w:cs="Times New Roman"/>
          <w:i w:val="0"/>
          <w:caps w:val="0"/>
          <w:color w:val="333333"/>
          <w:spacing w:val="0"/>
          <w:sz w:val="32"/>
          <w:szCs w:val="32"/>
          <w:shd w:val="clear" w:fill="FFFFFF"/>
          <w:lang w:val="en-US" w:eastAsia="zh-CN" w:bidi="ar-SA"/>
        </w:rPr>
        <w:t>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反映用于对个人和家庭的补助支出。</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9"/>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val="0"/>
        <w:shd w:val="clear" w:color="auto" w:fill="FFFFFF"/>
        <w:kinsoku/>
        <w:wordWrap/>
        <w:overflowPunct/>
        <w:topLinePunct w:val="0"/>
        <w:autoSpaceDN/>
        <w:bidi w:val="0"/>
        <w:adjustRightInd/>
        <w:spacing w:beforeAutospacing="0" w:line="560" w:lineRule="exact"/>
        <w:ind w:firstLine="640" w:firstLineChars="200"/>
        <w:jc w:val="both"/>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七、决算公开联系方式及信息反馈渠道</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本单位决算公开信息反馈和联系方式：</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sectPr>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i w:val="0"/>
          <w:caps w:val="0"/>
          <w:color w:val="333333"/>
          <w:spacing w:val="0"/>
          <w:sz w:val="32"/>
          <w:szCs w:val="32"/>
          <w:shd w:val="clear" w:fill="FFFFFF"/>
          <w:lang w:val="en-US" w:eastAsia="zh-CN" w:bidi="ar-SA"/>
        </w:rPr>
        <w:t>刘亭沅 023-7662382</w:t>
      </w: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jc w:val="both"/>
        <w:rPr>
          <w:rFonts w:hint="eastAsia" w:ascii="仿宋" w:hAnsi="仿宋" w:eastAsia="仿宋" w:cs="仿宋"/>
          <w:sz w:val="32"/>
          <w:szCs w:val="32"/>
          <w:shd w:val="clear" w:color="auto" w:fill="FFFFFF"/>
          <w:lang w:val="en-US" w:eastAsia="zh-CN" w:bidi="ar-SA"/>
        </w:rPr>
      </w:pPr>
      <w:r>
        <w:rPr>
          <w:rFonts w:hint="eastAsia" w:ascii="仿宋" w:hAnsi="仿宋" w:eastAsia="仿宋" w:cs="仿宋"/>
          <w:sz w:val="32"/>
          <w:szCs w:val="32"/>
          <w:shd w:val="clear" w:color="auto" w:fill="FFFFFF"/>
          <w:lang w:val="en-US" w:eastAsia="zh-CN" w:bidi="ar-SA"/>
        </w:rPr>
        <w:t>附件1</w:t>
      </w:r>
    </w:p>
    <w:tbl>
      <w:tblPr>
        <w:tblStyle w:val="10"/>
        <w:tblW w:w="14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1"/>
        <w:gridCol w:w="1815"/>
        <w:gridCol w:w="750"/>
        <w:gridCol w:w="840"/>
        <w:gridCol w:w="930"/>
        <w:gridCol w:w="1080"/>
        <w:gridCol w:w="1140"/>
        <w:gridCol w:w="1050"/>
        <w:gridCol w:w="1110"/>
        <w:gridCol w:w="1485"/>
        <w:gridCol w:w="1770"/>
        <w:gridCol w:w="13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3" w:hRule="atLeast"/>
        </w:trPr>
        <w:tc>
          <w:tcPr>
            <w:tcW w:w="14670"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i w:val="0"/>
                <w:color w:val="000000"/>
                <w:sz w:val="20"/>
                <w:szCs w:val="20"/>
                <w:u w:val="none"/>
              </w:rPr>
            </w:pPr>
            <w:r>
              <w:rPr>
                <w:rFonts w:hint="default" w:ascii="Times New Roman" w:hAnsi="Times New Roman" w:eastAsia="方正楷体_GBK" w:cs="Times New Roman"/>
                <w:kern w:val="2"/>
                <w:sz w:val="32"/>
                <w:szCs w:val="32"/>
                <w:lang w:val="en-US" w:eastAsia="zh-CN" w:bidi="ar-SA"/>
              </w:rPr>
              <w:t>宋农镇2023年度部门整</w:t>
            </w:r>
            <w:r>
              <w:rPr>
                <w:rFonts w:hint="eastAsia" w:ascii="Times New Roman" w:hAnsi="Times New Roman" w:eastAsia="方正楷体_GBK" w:cs="Times New Roman"/>
                <w:kern w:val="2"/>
                <w:sz w:val="32"/>
                <w:szCs w:val="32"/>
                <w:lang w:val="en-US" w:eastAsia="zh-CN" w:bidi="ar-SA"/>
              </w:rPr>
              <w:t>体绩效自</w:t>
            </w:r>
            <w:r>
              <w:rPr>
                <w:rFonts w:hint="default" w:ascii="Times New Roman" w:hAnsi="Times New Roman" w:eastAsia="方正楷体_GBK" w:cs="Times New Roman"/>
                <w:kern w:val="2"/>
                <w:sz w:val="32"/>
                <w:szCs w:val="32"/>
                <w:lang w:val="en-US" w:eastAsia="zh-CN" w:bidi="ar-SA"/>
              </w:rPr>
              <w:t>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主管部门</w:t>
            </w:r>
          </w:p>
        </w:tc>
        <w:tc>
          <w:tcPr>
            <w:tcW w:w="340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kern w:val="2"/>
                <w:sz w:val="20"/>
                <w:szCs w:val="20"/>
                <w:lang w:val="en-US" w:eastAsia="zh-CN" w:bidi="ar-SA"/>
              </w:rPr>
              <w:t>秀山土家族苗族自治县宋农镇人民政府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部门编码</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819</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自评总分</w:t>
            </w:r>
          </w:p>
        </w:tc>
        <w:tc>
          <w:tcPr>
            <w:tcW w:w="57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exac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部门联系人</w:t>
            </w:r>
          </w:p>
        </w:tc>
        <w:tc>
          <w:tcPr>
            <w:tcW w:w="6555" w:type="dxa"/>
            <w:gridSpan w:val="6"/>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Style w:val="17"/>
                <w:rFonts w:hint="default" w:ascii="Times New Roman" w:hAnsi="Times New Roman" w:cs="Times New Roman"/>
                <w:lang w:val="en-US" w:eastAsia="zh-CN" w:bidi="ar"/>
              </w:rPr>
              <w:t>刘亭沅</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联系电话</w:t>
            </w:r>
          </w:p>
        </w:tc>
        <w:tc>
          <w:tcPr>
            <w:tcW w:w="57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Style w:val="17"/>
                <w:rFonts w:hint="default" w:ascii="Times New Roman" w:hAnsi="Times New Roman" w:cs="Times New Roman"/>
                <w:lang w:val="en-US" w:eastAsia="zh-CN" w:bidi="ar"/>
              </w:rPr>
              <w:t>023-76623822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7"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3405" w:type="dxa"/>
            <w:gridSpan w:val="3"/>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年初预算数</w:t>
            </w:r>
          </w:p>
        </w:tc>
        <w:tc>
          <w:tcPr>
            <w:tcW w:w="31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全年（调整）预算数</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全年执行数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执行率权重</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年度总金额</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15,80</w:t>
            </w:r>
            <w:r>
              <w:rPr>
                <w:rFonts w:hint="eastAsia" w:ascii="Times New Roman" w:hAnsi="Times New Roman" w:cs="Times New Roman"/>
                <w:i w:val="0"/>
                <w:color w:val="000000"/>
                <w:kern w:val="0"/>
                <w:sz w:val="22"/>
                <w:szCs w:val="22"/>
                <w:u w:val="none"/>
                <w:lang w:val="en-US" w:eastAsia="zh-CN" w:bidi="ar"/>
              </w:rPr>
              <w:t>.22</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25,04</w:t>
            </w:r>
            <w:r>
              <w:rPr>
                <w:rFonts w:hint="eastAsia" w:ascii="Times New Roman" w:hAnsi="Times New Roman" w:cs="Times New Roman"/>
                <w:i w:val="0"/>
                <w:color w:val="000000"/>
                <w:kern w:val="0"/>
                <w:sz w:val="22"/>
                <w:szCs w:val="22"/>
                <w:u w:val="none"/>
                <w:lang w:val="en-US" w:eastAsia="zh-CN" w:bidi="ar"/>
              </w:rPr>
              <w:t>.06</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22,30</w:t>
            </w:r>
            <w:r>
              <w:rPr>
                <w:rFonts w:hint="eastAsia" w:ascii="Times New Roman" w:hAnsi="Times New Roman" w:cs="Times New Roman"/>
                <w:i w:val="0"/>
                <w:color w:val="000000"/>
                <w:kern w:val="0"/>
                <w:sz w:val="22"/>
                <w:szCs w:val="22"/>
                <w:u w:val="none"/>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 xml:space="preserve">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其中：财政拨款</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15,80</w:t>
            </w:r>
            <w:r>
              <w:rPr>
                <w:rFonts w:hint="eastAsia" w:ascii="Times New Roman" w:hAnsi="Times New Roman" w:cs="Times New Roman"/>
                <w:i w:val="0"/>
                <w:color w:val="000000"/>
                <w:kern w:val="0"/>
                <w:sz w:val="22"/>
                <w:szCs w:val="22"/>
                <w:u w:val="none"/>
                <w:lang w:val="en-US" w:eastAsia="zh-CN" w:bidi="ar"/>
              </w:rPr>
              <w:t>.22</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25,04</w:t>
            </w:r>
            <w:r>
              <w:rPr>
                <w:rFonts w:hint="eastAsia" w:ascii="Times New Roman" w:hAnsi="Times New Roman" w:cs="Times New Roman"/>
                <w:i w:val="0"/>
                <w:color w:val="000000"/>
                <w:kern w:val="0"/>
                <w:sz w:val="22"/>
                <w:szCs w:val="22"/>
                <w:u w:val="none"/>
                <w:lang w:val="en-US" w:eastAsia="zh-CN" w:bidi="ar"/>
              </w:rPr>
              <w:t>.06</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22,30</w:t>
            </w:r>
            <w:r>
              <w:rPr>
                <w:rFonts w:hint="eastAsia" w:ascii="Times New Roman" w:hAnsi="Times New Roman" w:cs="Times New Roman"/>
                <w:i w:val="0"/>
                <w:color w:val="000000"/>
                <w:kern w:val="0"/>
                <w:sz w:val="22"/>
                <w:szCs w:val="22"/>
                <w:u w:val="none"/>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89.06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8.90</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 xml:space="preserve">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一般公共预算</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15,59</w:t>
            </w:r>
            <w:r>
              <w:rPr>
                <w:rFonts w:hint="eastAsia" w:ascii="Times New Roman" w:hAnsi="Times New Roman" w:cs="Times New Roman"/>
                <w:i w:val="0"/>
                <w:color w:val="000000"/>
                <w:kern w:val="0"/>
                <w:sz w:val="22"/>
                <w:szCs w:val="22"/>
                <w:u w:val="none"/>
                <w:lang w:val="en-US" w:eastAsia="zh-CN" w:bidi="ar"/>
              </w:rPr>
              <w:t>.72</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24,83</w:t>
            </w:r>
            <w:r>
              <w:rPr>
                <w:rFonts w:hint="eastAsia" w:ascii="Times New Roman" w:hAnsi="Times New Roman" w:cs="Times New Roman"/>
                <w:i w:val="0"/>
                <w:color w:val="000000"/>
                <w:kern w:val="0"/>
                <w:sz w:val="22"/>
                <w:szCs w:val="22"/>
                <w:u w:val="none"/>
                <w:lang w:val="en-US" w:eastAsia="zh-CN" w:bidi="ar"/>
              </w:rPr>
              <w:t>.58</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22,09</w:t>
            </w:r>
            <w:r>
              <w:rPr>
                <w:rFonts w:hint="eastAsia" w:ascii="Times New Roman" w:hAnsi="Times New Roman" w:cs="Times New Roman"/>
                <w:i w:val="0"/>
                <w:color w:val="000000"/>
                <w:kern w:val="0"/>
                <w:sz w:val="22"/>
                <w:szCs w:val="22"/>
                <w:u w:val="none"/>
                <w:lang w:val="en-US" w:eastAsia="zh-CN" w:bidi="ar"/>
              </w:rPr>
              <w:t>.69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89.06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 xml:space="preserve">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当年绩效目标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年初绩效目标</w:t>
            </w:r>
          </w:p>
        </w:tc>
        <w:tc>
          <w:tcPr>
            <w:tcW w:w="438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全年（调整）绩效目标</w:t>
            </w:r>
          </w:p>
        </w:tc>
        <w:tc>
          <w:tcPr>
            <w:tcW w:w="45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4"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确保按照县委、县政府工作时间安排，按时提交并公开预决算报告；除涉密信息外，政府预决算在批准后20日内向社会公开；严格按照相关国库集中支付制度的要求，确保拨付完成率达百分之百；按照中央统一部署，坚决贯彻落实中央出台的各项减税降费措施；本级“三公”经费预决算金额只减不增；全面实施预算绩效管理。  </w:t>
            </w:r>
            <w:r>
              <w:rPr>
                <w:rStyle w:val="17"/>
                <w:rFonts w:hint="eastAsia"/>
                <w:lang w:val="en-US" w:eastAsia="zh-CN" w:bidi="ar"/>
              </w:rPr>
              <w:t xml:space="preserve"> </w:t>
            </w:r>
          </w:p>
        </w:tc>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确保按照县委、县政府工作时间安排，按时提交并公开预决算报告；除涉密信息外，政府预决算在批准后20日内向社会公开；严格按照相关国库集中支付制度的要求，确保拨付完成率达百分之百；按照中央统一部署，坚决贯彻落实中央出台的各项减税降费措施；本级“三公”经费预决算金额只减不增；全面实施预算绩效管理。 </w:t>
            </w:r>
          </w:p>
        </w:tc>
        <w:tc>
          <w:tcPr>
            <w:tcW w:w="459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已完成。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确保按照县委、县政府工作时间安排，按时提交并公开预决算报告；除涉密信息外，政府预决算在批准后20日内向社会公开；严格按照相关国库集中支付制度的要求，确保拨付完成率达百分之百；按照中央统一部署，坚决贯彻落实中央出台的各项减税降费措施；本级“三公”经费预决算金额只减不增；全面实施预算绩效管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3" w:hRule="atLeast"/>
        </w:trPr>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绩效指标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偏离度（%）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得分系数（%）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各事项工作开展率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98</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Style w:val="17"/>
                <w:lang w:val="en-US" w:eastAsia="zh-CN" w:bidi="ar"/>
              </w:rPr>
              <w:t>重点项目数量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Style w:val="17"/>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Style w:val="17"/>
                <w:lang w:val="en-US" w:eastAsia="zh-CN" w:bidi="ar"/>
              </w:rPr>
              <w:t>工作完成时效性</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8"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Style w:val="17"/>
                <w:lang w:val="en-US" w:eastAsia="zh-CN" w:bidi="ar"/>
              </w:rPr>
              <w:t>改善人居环境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方正仿宋_GBK" w:cs="Times New Roman"/>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Style w:val="17"/>
                <w:lang w:val="en-US" w:eastAsia="zh-CN" w:bidi="ar"/>
              </w:rPr>
              <w:t>定性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Style w:val="17"/>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2"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Style w:val="17"/>
                <w:lang w:val="en-US" w:eastAsia="zh-CN" w:bidi="ar"/>
              </w:rPr>
              <w:t>提高居民办事效率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方正仿宋_GBK" w:cs="Times New Roman"/>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Style w:val="17"/>
                <w:lang w:val="en-US" w:eastAsia="zh-CN" w:bidi="ar"/>
              </w:rPr>
              <w:t>定性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Style w:val="17"/>
                <w:lang w:val="en-US" w:eastAsia="zh-CN" w:bidi="ar"/>
              </w:rPr>
              <w:t>定性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 xml:space="preserve">10 </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 xml:space="preserve">10 </w:t>
            </w:r>
          </w:p>
        </w:tc>
        <w:tc>
          <w:tcPr>
            <w:tcW w:w="31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7" w:hRule="atLeast"/>
        </w:trPr>
        <w:tc>
          <w:tcPr>
            <w:tcW w:w="136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总体说明</w:t>
            </w:r>
          </w:p>
        </w:tc>
        <w:tc>
          <w:tcPr>
            <w:tcW w:w="1330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jc w:val="both"/>
        <w:rPr>
          <w:rFonts w:hint="default" w:ascii="仿宋" w:hAnsi="仿宋" w:eastAsia="仿宋" w:cs="仿宋"/>
          <w:sz w:val="32"/>
          <w:szCs w:val="32"/>
          <w:shd w:val="clear" w:color="auto"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eastAsia" w:ascii="仿宋" w:hAnsi="仿宋" w:eastAsia="仿宋" w:cs="仿宋"/>
          <w:sz w:val="32"/>
          <w:szCs w:val="32"/>
          <w:shd w:val="clear" w:color="auto" w:fill="FFFFFF"/>
          <w:lang w:val="en-US" w:eastAsia="zh-CN" w:bidi="ar-SA"/>
        </w:rPr>
        <w:t>附件2</w:t>
      </w:r>
    </w:p>
    <w:tbl>
      <w:tblPr>
        <w:tblStyle w:val="10"/>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default" w:ascii="Times New Roman" w:hAnsi="Times New Roman" w:eastAsia="方正楷体_GBK" w:cs="Times New Roman"/>
                <w:kern w:val="2"/>
                <w:sz w:val="32"/>
                <w:szCs w:val="32"/>
                <w:lang w:val="en-US" w:eastAsia="zh-CN" w:bidi="ar-SA"/>
              </w:rPr>
              <w:t>宋农镇2023年度项目支出绩效自评表（二级项目）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8"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宋农镇2023年龙凤社区新店子组可视化智慧生态土鸡养殖建设项目（2023年德州帮扶）</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养鸡场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处</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8"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养殖数量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只</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8"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资金及时发放率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ascii="宋体" w:hAnsi="宋体" w:eastAsia="宋体" w:cs="宋体"/>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8363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增加当地收入</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有所增加</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基本完成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5"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宋农镇2023年凤凰寨村洞溪沟2023年油茶基地管护项目（第二年）〔-〕-渝财农〔2022〕155号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带动农户劳动就业数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油茶基地建设数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个</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6"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洞溪沟油茶基地建设质量合格率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90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4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完善洞溪沟油茶基地建设项目，保障洞溪沟油茶基地有效运行</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优</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bl>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p>
      <w:pPr>
        <w:pStyle w:val="7"/>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bidi="ar-SA"/>
        </w:rPr>
      </w:pPr>
    </w:p>
    <w:tbl>
      <w:tblPr>
        <w:tblStyle w:val="10"/>
        <w:tblpPr w:leftFromText="180" w:rightFromText="180" w:vertAnchor="text" w:horzAnchor="page" w:tblpX="934" w:tblpY="407"/>
        <w:tblOverlap w:val="never"/>
        <w:tblW w:w="15322" w:type="dxa"/>
        <w:tblInd w:w="0" w:type="dxa"/>
        <w:tblLayout w:type="fixed"/>
        <w:tblCellMar>
          <w:top w:w="0" w:type="dxa"/>
          <w:left w:w="0" w:type="dxa"/>
          <w:bottom w:w="0" w:type="dxa"/>
          <w:right w:w="0" w:type="dxa"/>
        </w:tblCellMar>
      </w:tblPr>
      <w:tblGrid>
        <w:gridCol w:w="7846"/>
        <w:gridCol w:w="1139"/>
        <w:gridCol w:w="4729"/>
        <w:gridCol w:w="1608"/>
      </w:tblGrid>
      <w:tr>
        <w:tblPrEx>
          <w:tblLayout w:type="fixed"/>
          <w:tblCellMar>
            <w:top w:w="0" w:type="dxa"/>
            <w:left w:w="0" w:type="dxa"/>
            <w:bottom w:w="0" w:type="dxa"/>
            <w:right w:w="0" w:type="dxa"/>
          </w:tblCellMar>
        </w:tblPrEx>
        <w:trPr>
          <w:cantSplit/>
          <w:trHeight w:val="521" w:hRule="atLeast"/>
        </w:trPr>
        <w:tc>
          <w:tcPr>
            <w:tcW w:w="15322"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bottom"/>
              <w:rPr>
                <w:rFonts w:hint="default" w:ascii="Times New Roman" w:hAnsi="Times New Roman" w:cs="Times New Roman"/>
                <w:b/>
                <w:color w:val="000000"/>
                <w:sz w:val="22"/>
                <w:szCs w:val="22"/>
              </w:rPr>
            </w:pPr>
            <w:r>
              <w:rPr>
                <w:rFonts w:hint="default" w:ascii="宋体" w:hAnsi="宋体" w:eastAsia="宋体" w:cs="宋体"/>
                <w:b/>
                <w:i w:val="0"/>
                <w:color w:val="000000"/>
                <w:kern w:val="0"/>
                <w:sz w:val="44"/>
                <w:szCs w:val="44"/>
                <w:u w:val="none"/>
                <w:lang w:val="en-US" w:eastAsia="zh-CN" w:bidi="ar"/>
              </w:rPr>
              <w:t>收入支出决算总表</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2"/>
                <w:szCs w:val="22"/>
              </w:rPr>
            </w:pPr>
          </w:p>
        </w:tc>
        <w:tc>
          <w:tcPr>
            <w:tcW w:w="11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2"/>
                <w:szCs w:val="22"/>
              </w:rPr>
            </w:pPr>
          </w:p>
        </w:tc>
        <w:tc>
          <w:tcPr>
            <w:tcW w:w="47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2"/>
                <w:szCs w:val="22"/>
              </w:rPr>
            </w:pPr>
          </w:p>
        </w:tc>
        <w:tc>
          <w:tcPr>
            <w:tcW w:w="16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公开01表</w:t>
            </w:r>
          </w:p>
        </w:tc>
      </w:tr>
      <w:tr>
        <w:tblPrEx>
          <w:tblLayout w:type="fixed"/>
          <w:tblCellMar>
            <w:top w:w="0" w:type="dxa"/>
            <w:left w:w="0" w:type="dxa"/>
            <w:bottom w:w="0" w:type="dxa"/>
            <w:right w:w="0" w:type="dxa"/>
          </w:tblCellMar>
        </w:tblPrEx>
        <w:trPr>
          <w:cantSplit/>
          <w:trHeight w:val="315" w:hRule="atLeast"/>
        </w:trPr>
        <w:tc>
          <w:tcPr>
            <w:tcW w:w="784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bottom"/>
              <w:rPr>
                <w:rFonts w:hint="default" w:ascii="Times New Roman" w:hAnsi="Times New Roman" w:cs="Times New Roman"/>
                <w:color w:val="000000"/>
                <w:sz w:val="22"/>
                <w:szCs w:val="22"/>
              </w:rPr>
            </w:pPr>
            <w:r>
              <w:rPr>
                <w:rFonts w:hint="default" w:ascii="Times New Roman" w:hAnsi="Times New Roman" w:cs="Times New Roman"/>
                <w:sz w:val="21"/>
                <w:szCs w:val="21"/>
              </w:rPr>
              <w:t>公开部门：重庆市秀山土</w:t>
            </w:r>
            <w:r>
              <w:rPr>
                <w:rFonts w:hint="default" w:ascii="Times New Roman" w:hAnsi="Times New Roman" w:eastAsia="宋体" w:cs="Times New Roman"/>
                <w:sz w:val="21"/>
                <w:szCs w:val="21"/>
              </w:rPr>
              <w:t>家族苗族自治县</w:t>
            </w:r>
            <w:r>
              <w:rPr>
                <w:rFonts w:hint="default" w:ascii="Times New Roman" w:hAnsi="Times New Roman" w:cs="Times New Roman"/>
                <w:sz w:val="21"/>
                <w:szCs w:val="21"/>
              </w:rPr>
              <w:t>宋农镇人民政府</w:t>
            </w:r>
          </w:p>
        </w:tc>
        <w:tc>
          <w:tcPr>
            <w:tcW w:w="11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2"/>
                <w:szCs w:val="22"/>
              </w:rPr>
            </w:pPr>
          </w:p>
        </w:tc>
        <w:tc>
          <w:tcPr>
            <w:tcW w:w="47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2"/>
                <w:szCs w:val="22"/>
              </w:rPr>
            </w:pPr>
          </w:p>
        </w:tc>
        <w:tc>
          <w:tcPr>
            <w:tcW w:w="16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r>
              <w:rPr>
                <w:rFonts w:hint="default" w:ascii="Times New Roman" w:hAnsi="Times New Roman" w:cs="Times New Roman"/>
                <w:sz w:val="21"/>
                <w:szCs w:val="21"/>
              </w:rPr>
              <w:t>万元</w:t>
            </w:r>
          </w:p>
        </w:tc>
      </w:tr>
      <w:tr>
        <w:tblPrEx>
          <w:tblLayout w:type="fixed"/>
          <w:tblCellMar>
            <w:top w:w="0" w:type="dxa"/>
            <w:left w:w="0" w:type="dxa"/>
            <w:bottom w:w="0" w:type="dxa"/>
            <w:right w:w="0" w:type="dxa"/>
          </w:tblCellMar>
        </w:tblPrEx>
        <w:trPr>
          <w:cantSplit/>
          <w:trHeight w:val="0" w:hRule="atLeast"/>
        </w:trPr>
        <w:tc>
          <w:tcPr>
            <w:tcW w:w="898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left"/>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收入</w:t>
            </w:r>
          </w:p>
        </w:tc>
        <w:tc>
          <w:tcPr>
            <w:tcW w:w="633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left"/>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支出</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w:t>
            </w:r>
          </w:p>
        </w:tc>
        <w:tc>
          <w:tcPr>
            <w:tcW w:w="113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决算数</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功能分类科目</w:t>
            </w:r>
          </w:p>
        </w:tc>
        <w:tc>
          <w:tcPr>
            <w:tcW w:w="16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决算数</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一、一般公共预算财政拨款收入</w:t>
            </w: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2,171.89</w:t>
            </w: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一、一般公共服务支出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522.83</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二、政府性基金预算财政拨款收入</w:t>
            </w: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20.48</w:t>
            </w: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二、外交支出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三、国有资本经营预算财政拨款收入</w:t>
            </w: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三、国防支出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四、上级补助收入</w:t>
            </w: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eastAsia"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四、公共安全支出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19.49</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五、事业收入</w:t>
            </w: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五、教育支出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18.00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六、经营收入</w:t>
            </w: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六、科学技术支出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七、附属单位上缴收入</w:t>
            </w: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七、文化旅游体育与传媒支出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37.62</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八、其他收入</w:t>
            </w:r>
          </w:p>
        </w:tc>
        <w:tc>
          <w:tcPr>
            <w:tcW w:w="1139"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八、社会保障和就业支出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255.10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九、卫生健康支出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54.34</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十、节能环保支出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96.82</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十一、城乡社区支出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33.33</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十二、农林水支出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1,008.05</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十三、交通运输支出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十四、资源勘探工业信息等支出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十五、商业服务业等支出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十六、金融支出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十七、援助其他地区支出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十八、自然资源海洋气象等支出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22.38</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十九、住房保障支出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60.56</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二十、粮油物资储备支出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二十一、国有资本经营预算支出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二十二、灾害防治及应急管理支出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50.96</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二十三、其他支出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20.48</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b/>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二十四、债务还本支出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二十五、债务付息支出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二十六、抗疫特别国债安排的支出</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本年收入合计</w:t>
            </w: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2,192.37</w:t>
            </w: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本年支出合计</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2,202.95</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使用非财政拨款结余和专用结余</w:t>
            </w: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结余分配</w:t>
            </w:r>
          </w:p>
        </w:tc>
        <w:tc>
          <w:tcPr>
            <w:tcW w:w="16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年初结转和结余</w:t>
            </w:r>
          </w:p>
        </w:tc>
        <w:tc>
          <w:tcPr>
            <w:tcW w:w="11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37.80</w:t>
            </w: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年末结转和结余</w:t>
            </w:r>
          </w:p>
        </w:tc>
        <w:tc>
          <w:tcPr>
            <w:tcW w:w="160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27.23</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cantSplit/>
          <w:trHeight w:val="0" w:hRule="atLeast"/>
        </w:trPr>
        <w:tc>
          <w:tcPr>
            <w:tcW w:w="784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总计</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2,230.18</w:t>
            </w:r>
            <w:r>
              <w:rPr>
                <w:rFonts w:hint="default" w:ascii="Times New Roman" w:hAnsi="Times New Roman" w:cs="Times New Roman"/>
                <w:color w:val="000000"/>
                <w:sz w:val="21"/>
                <w:szCs w:val="21"/>
                <w:u w:color="auto"/>
              </w:rPr>
              <w:t xml:space="preserve"> </w:t>
            </w:r>
          </w:p>
        </w:tc>
        <w:tc>
          <w:tcPr>
            <w:tcW w:w="472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总计</w:t>
            </w:r>
          </w:p>
        </w:tc>
        <w:tc>
          <w:tcPr>
            <w:tcW w:w="16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2,230.18</w:t>
            </w:r>
            <w:r>
              <w:rPr>
                <w:rFonts w:hint="default" w:ascii="Times New Roman" w:hAnsi="Times New Roman" w:cs="Times New Roman"/>
                <w:color w:val="000000"/>
                <w:sz w:val="21"/>
                <w:szCs w:val="21"/>
                <w:u w:color="auto"/>
              </w:rPr>
              <w:t xml:space="preserve"> </w:t>
            </w:r>
          </w:p>
        </w:tc>
      </w:tr>
    </w:tbl>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tbl>
      <w:tblPr>
        <w:tblStyle w:val="10"/>
        <w:tblW w:w="15322" w:type="dxa"/>
        <w:tblInd w:w="0" w:type="dxa"/>
        <w:tblLayout w:type="fixed"/>
        <w:tblCellMar>
          <w:top w:w="0" w:type="dxa"/>
          <w:left w:w="0" w:type="dxa"/>
          <w:bottom w:w="0" w:type="dxa"/>
          <w:right w:w="0" w:type="dxa"/>
        </w:tblCellMar>
      </w:tblPr>
      <w:tblGrid>
        <w:gridCol w:w="1694"/>
        <w:gridCol w:w="4223"/>
        <w:gridCol w:w="1088"/>
        <w:gridCol w:w="937"/>
        <w:gridCol w:w="825"/>
        <w:gridCol w:w="1002"/>
        <w:gridCol w:w="1548"/>
        <w:gridCol w:w="1115"/>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bottom"/>
              <w:rPr>
                <w:rFonts w:hint="default" w:ascii="Times New Roman" w:hAnsi="Times New Roman" w:cs="Times New Roman"/>
                <w:b/>
                <w:color w:val="000000"/>
                <w:sz w:val="21"/>
                <w:szCs w:val="21"/>
              </w:rPr>
            </w:pPr>
            <w:r>
              <w:rPr>
                <w:rFonts w:hint="default" w:ascii="Times New Roman" w:hAnsi="Times New Roman" w:cs="Times New Roman"/>
                <w:b/>
                <w:color w:val="000000"/>
                <w:sz w:val="44"/>
                <w:szCs w:val="44"/>
              </w:rPr>
              <w:t>收入决算表</w:t>
            </w:r>
          </w:p>
        </w:tc>
      </w:tr>
      <w:tr>
        <w:tblPrEx>
          <w:tblLayout w:type="fixed"/>
          <w:tblCellMar>
            <w:top w:w="0" w:type="dxa"/>
            <w:left w:w="0" w:type="dxa"/>
            <w:bottom w:w="0" w:type="dxa"/>
            <w:right w:w="0" w:type="dxa"/>
          </w:tblCellMar>
        </w:tblPrEx>
        <w:trPr>
          <w:trHeight w:val="380" w:hRule="atLeast"/>
        </w:trPr>
        <w:tc>
          <w:tcPr>
            <w:tcW w:w="5917"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r>
              <w:rPr>
                <w:rFonts w:hint="default" w:ascii="Times New Roman" w:hAnsi="Times New Roman" w:cs="Times New Roman"/>
                <w:sz w:val="21"/>
                <w:szCs w:val="21"/>
              </w:rPr>
              <w:t>公开部门：重庆市秀山土家族苗族自治县宋农镇人民政府</w:t>
            </w:r>
          </w:p>
        </w:tc>
        <w:tc>
          <w:tcPr>
            <w:tcW w:w="10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93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00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54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4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4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公开02表</w:t>
            </w:r>
          </w:p>
        </w:tc>
      </w:tr>
      <w:tr>
        <w:tblPrEx>
          <w:tblLayout w:type="fixed"/>
          <w:tblCellMar>
            <w:top w:w="0" w:type="dxa"/>
            <w:left w:w="0" w:type="dxa"/>
            <w:bottom w:w="0" w:type="dxa"/>
            <w:right w:w="0" w:type="dxa"/>
          </w:tblCellMar>
        </w:tblPrEx>
        <w:trPr>
          <w:trHeight w:val="328" w:hRule="atLeast"/>
        </w:trPr>
        <w:tc>
          <w:tcPr>
            <w:tcW w:w="5917"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08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93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82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00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54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1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4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rPr>
                <w:rFonts w:hint="default" w:ascii="Times New Roman" w:hAnsi="Times New Roman" w:cs="Times New Roman"/>
                <w:color w:val="000000"/>
                <w:sz w:val="21"/>
                <w:szCs w:val="21"/>
              </w:rPr>
            </w:pPr>
          </w:p>
        </w:tc>
        <w:tc>
          <w:tcPr>
            <w:tcW w:w="14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20" w:lineRule="exact"/>
              <w:jc w:val="both"/>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r>
              <w:rPr>
                <w:rFonts w:hint="default" w:ascii="Times New Roman" w:hAnsi="Times New Roman" w:cs="Times New Roman"/>
                <w:sz w:val="21"/>
                <w:szCs w:val="21"/>
              </w:rPr>
              <w:t>万元</w:t>
            </w:r>
          </w:p>
        </w:tc>
      </w:tr>
      <w:tr>
        <w:tblPrEx>
          <w:tblLayout w:type="fixed"/>
          <w:tblCellMar>
            <w:top w:w="0" w:type="dxa"/>
            <w:left w:w="0" w:type="dxa"/>
            <w:bottom w:w="0" w:type="dxa"/>
            <w:right w:w="0" w:type="dxa"/>
          </w:tblCellMar>
        </w:tblPrEx>
        <w:trPr>
          <w:trHeight w:val="431" w:hRule="atLeast"/>
        </w:trPr>
        <w:tc>
          <w:tcPr>
            <w:tcW w:w="5917"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本年收入合计</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财政拨款收入</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上级补助收入</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事业收入</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功能分类科目编码</w:t>
            </w:r>
          </w:p>
        </w:tc>
        <w:tc>
          <w:tcPr>
            <w:tcW w:w="422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项目（按“项”级功能分类科目）</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0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小计</w:t>
            </w:r>
          </w:p>
        </w:tc>
        <w:tc>
          <w:tcPr>
            <w:tcW w:w="15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其中：教育收费</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422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422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422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5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r>
      <w:tr>
        <w:tblPrEx>
          <w:tblLayout w:type="fixed"/>
          <w:tblCellMar>
            <w:top w:w="0" w:type="dxa"/>
            <w:left w:w="0" w:type="dxa"/>
            <w:bottom w:w="0" w:type="dxa"/>
            <w:right w:w="0" w:type="dxa"/>
          </w:tblCellMar>
        </w:tblPrEx>
        <w:trPr>
          <w:trHeight w:val="338" w:hRule="atLeast"/>
        </w:trPr>
        <w:tc>
          <w:tcPr>
            <w:tcW w:w="59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合计</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bCs/>
                <w:color w:val="000000"/>
                <w:sz w:val="21"/>
                <w:szCs w:val="21"/>
              </w:rPr>
              <w:t>2,192.37</w:t>
            </w:r>
            <w:r>
              <w:rPr>
                <w:rFonts w:hint="default" w:ascii="Times New Roman" w:hAnsi="Times New Roman" w:cs="Times New Roman"/>
                <w:b/>
                <w:color w:val="000000"/>
                <w:sz w:val="21"/>
                <w:szCs w:val="21"/>
                <w:u w:color="auto"/>
              </w:rPr>
              <w:t xml:space="preserve"> </w:t>
            </w:r>
          </w:p>
        </w:tc>
        <w:tc>
          <w:tcPr>
            <w:tcW w:w="9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bCs/>
                <w:color w:val="000000"/>
                <w:sz w:val="21"/>
                <w:szCs w:val="21"/>
              </w:rPr>
              <w:t>2,192.37</w:t>
            </w:r>
            <w:r>
              <w:rPr>
                <w:rFonts w:hint="default" w:ascii="Times New Roman" w:hAnsi="Times New Roman" w:cs="Times New Roman"/>
                <w:b/>
                <w:color w:val="000000"/>
                <w:sz w:val="21"/>
                <w:szCs w:val="21"/>
                <w:u w:color="auto"/>
              </w:rPr>
              <w:t xml:space="preserve"> </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u w:color="auto"/>
              </w:rPr>
              <w:t xml:space="preserve"> </w:t>
            </w:r>
          </w:p>
        </w:tc>
        <w:tc>
          <w:tcPr>
            <w:tcW w:w="10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u w:color="auto"/>
              </w:rPr>
              <w:t xml:space="preserve"> </w:t>
            </w:r>
          </w:p>
        </w:tc>
        <w:tc>
          <w:tcPr>
            <w:tcW w:w="15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u w:color="auto"/>
              </w:rPr>
              <w:t xml:space="preserve"> </w:t>
            </w:r>
          </w:p>
        </w:tc>
        <w:tc>
          <w:tcPr>
            <w:tcW w:w="11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一般公共服务支出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522.83</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522.83</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人大事务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59.99</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59.99</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2010101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行政运行</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51.00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51.00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2010108</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代表工作</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8.99</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8.99</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20103</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政府办公厅（室）及相关机构事务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415.67</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415.67</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2010301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行政运行</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399.23</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399.23</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2010302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一般行政管理事务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0.93</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0.93</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2010399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其他政府办公厅（室）及相关机构事务支出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15.51</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15.51</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20106</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财政事务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44.85</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44.85</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2010601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行政运行</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44.85</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44.85</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20132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组织事务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2.32</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2.32</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2013202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一般行政管理事务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2.32</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2.32</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203</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国防支出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20306</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国防动员</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2030607</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民兵</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公共安全支出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19.49</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19.49</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20402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公安</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3.84</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3.84</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2040299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其他公安支出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3.84</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3.84</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其他公共安全支出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15.65</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15.65</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2049999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其他公共安全支出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15.65</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15.65</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教育支出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20599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其他教育支出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2059999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其他教育支出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207</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文化旅游体育与传媒支出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37.62</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37.62</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20701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文化和旅游</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37.62</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37.62</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2070109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群众文化</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26.92</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26.92</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2070111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文化创作与保护</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6.85</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6.85</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2070199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其他文化和旅游支出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3.85</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3.85</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社会保障和就业支出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255.10</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255.10</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人力资源和社会保障管理事务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37.01</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37.01</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2080109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社会保险经办机构</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32.88</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32.88</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2080199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其他人力资源和社会保障管理事务支出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4.14</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4.14</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行政事业单位养老支出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137.37</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137.37</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行政单位离退休</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23.22</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23.22</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事业单位离退休</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9.26</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9.26</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机关事业单位基本养老保险缴费支出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69.93</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69.93</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2080506</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机关事业单位职业年金缴费支出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34.96</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34.96</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20808</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抚恤</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18.73</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18.73</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2080805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义务兵优待</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18.73</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18.73</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20811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残疾人事业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9.99</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9.99</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2081199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其他残疾人事业支出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9.99</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9.99</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20821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特困人员救助供养</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10.79</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10.79</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2082102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农村特困人员救助供养支出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10.79</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10.79</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20828</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退役军人管理事务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41.21</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41.21</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2082850</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事业运行</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40.90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40.90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2082899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其他退役军人事务管理支出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0.31</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0.31</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卫生健康支出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52.29</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52.29</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21004</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公共卫生</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14.00</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14.00</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2100410</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突发公共卫生事件应急处理</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21011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行政事业单位医疗</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30.32</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30.32</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2101101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行政单位医疗</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18.30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18.30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2101102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事业单位医疗</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12.01</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12.01</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21015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医疗保障管理事务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7.97</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7.97</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2101505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医疗保障政策管理</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5.24</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5.24</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2101506</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医疗保障经办事务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2.73</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2.73</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节能环保支出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91.83</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91.83</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天然林保护</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38.21</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38.21</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2110501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森林管护</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13.07</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13.07</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2110599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其他天然林保护支出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25.14</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25.14</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其他节能环保支出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53.62</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53.62</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2119999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其他节能环保支出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53.62</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53.62</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城乡社区支出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33.33</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33.33</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21201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城乡社区管理事务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28.33</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28.33</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2120199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其他城乡社区管理事务支出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28.33</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28.33</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21205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城乡社区环境卫生</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5.00</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5.00</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2120501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城乡社区环境卫生</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农林水支出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1,004.52</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1,004.52</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农业农村</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177.01</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177.01</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2130104</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事业运行</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118.10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118.10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2130108</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病虫害控制</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1.44</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1.44</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2130122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农业生产发展</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55.47</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55.47</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2130135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农业资源保护修复与利用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林业和草原</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95.27</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95.27</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2130205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森林资源培育</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2130207</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森林资源管理</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84.27</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84.27</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21303</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水利</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33.92</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33.92</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2130315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抗旱</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8.92</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8.92</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2130335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农村供水</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巩固脱贫攻坚成果衔接乡村振兴</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528.84</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528.84</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2130504</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农村基础设施建设</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191.62</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191.62</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2130505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生产发展</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22.98</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22.98</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2130599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其他巩固脱贫攻坚成果衔接乡村振兴支出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314.24</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314.24</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21307</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农村综合改革</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162.49</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162.49</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2130705</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对村民委员会和村党支部的补助</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162.49</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162.49</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其他农林水支出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7.00</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7.00</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2139999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其他农林水支出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220</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自然资源海洋气象等支出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22001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自然资源事务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2200106</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自然资源利用与保护</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22.38</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22.38</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住房保障支出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22102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住房改革支出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2210201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住房公积金</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60.56</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60.56</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224</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灾害防治及应急管理支出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50.96</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50.96</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22401</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应急管理事务</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30.96</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30.96</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2240108</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应急救援</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2240199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其他应急管理支出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4.96</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4.96</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22407</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自然灾害救灾及恢复重建支出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20.00</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20.00</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2240703</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自然灾害救灾补助</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20.00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20.00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229</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20.48</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20.48</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22960</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彩票公益金安排的支出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20.48</w:t>
            </w:r>
            <w:r>
              <w:rPr>
                <w:rFonts w:hint="default" w:ascii="Times New Roman" w:hAnsi="Times New Roman" w:cs="Times New Roman"/>
                <w:b/>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20.48</w:t>
            </w:r>
            <w:r>
              <w:rPr>
                <w:rFonts w:hint="default" w:ascii="Times New Roman" w:hAnsi="Times New Roman" w:cs="Times New Roman"/>
                <w:b/>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2296002</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用于社会福利的彩票公益金支出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9.50</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9.50</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2296003</w:t>
            </w:r>
          </w:p>
        </w:tc>
        <w:tc>
          <w:tcPr>
            <w:tcW w:w="42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用于体育事业的彩票公益金支出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10.98</w:t>
            </w:r>
            <w:r>
              <w:rPr>
                <w:rFonts w:hint="default" w:ascii="Times New Roman" w:hAnsi="Times New Roman" w:cs="Times New Roman"/>
                <w:color w:val="000000"/>
                <w:sz w:val="21"/>
                <w:szCs w:val="21"/>
                <w:u w:color="auto"/>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10.98</w:t>
            </w:r>
            <w:r>
              <w:rPr>
                <w:rFonts w:hint="default" w:ascii="Times New Roman" w:hAnsi="Times New Roman" w:cs="Times New Roman"/>
                <w:color w:val="000000"/>
                <w:sz w:val="21"/>
                <w:szCs w:val="21"/>
                <w:u w:color="auto"/>
              </w:rPr>
              <w:t xml:space="preserve"> </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bl>
    <w:p>
      <w:pPr>
        <w:keepNext w:val="0"/>
        <w:keepLines w:val="0"/>
        <w:pageBreakBefore w:val="0"/>
        <w:widowControl w:val="0"/>
        <w:kinsoku/>
        <w:wordWrap/>
        <w:overflowPunct/>
        <w:topLinePunct w:val="0"/>
        <w:autoSpaceDN/>
        <w:bidi w:val="0"/>
        <w:adjustRightInd/>
        <w:spacing w:beforeAutospacing="0" w:line="560" w:lineRule="exact"/>
        <w:ind w:left="600" w:hanging="600" w:hangingChars="300"/>
        <w:jc w:val="both"/>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10"/>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bottom"/>
              <w:rPr>
                <w:rFonts w:hint="default" w:ascii="Times New Roman" w:hAnsi="Times New Roman" w:cs="Times New Roman"/>
                <w:b/>
                <w:color w:val="000000"/>
                <w:sz w:val="21"/>
                <w:szCs w:val="21"/>
              </w:rPr>
            </w:pPr>
            <w:r>
              <w:rPr>
                <w:rFonts w:hint="default" w:ascii="Times New Roman" w:hAnsi="Times New Roman" w:cs="Times New Roman"/>
                <w:b/>
                <w:color w:val="000000"/>
                <w:sz w:val="44"/>
                <w:szCs w:val="44"/>
              </w:rPr>
              <w:t>支出决算表</w:t>
            </w:r>
          </w:p>
        </w:tc>
      </w:tr>
      <w:tr>
        <w:tblPrEx>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r>
              <w:rPr>
                <w:rFonts w:hint="default" w:ascii="Times New Roman" w:hAnsi="Times New Roman" w:cs="Times New Roman"/>
                <w:sz w:val="21"/>
                <w:szCs w:val="21"/>
              </w:rPr>
              <w:t>公开部门</w:t>
            </w:r>
            <w:r>
              <w:rPr>
                <w:rFonts w:hint="default" w:ascii="Times New Roman" w:hAnsi="Times New Roman" w:cs="Times New Roman"/>
                <w:color w:val="000000"/>
                <w:sz w:val="21"/>
                <w:szCs w:val="21"/>
              </w:rPr>
              <w:t xml:space="preserve">： </w:t>
            </w:r>
            <w:r>
              <w:rPr>
                <w:rFonts w:hint="default" w:ascii="Times New Roman" w:hAnsi="Times New Roman" w:cs="Times New Roman"/>
                <w:color w:val="000000"/>
                <w:sz w:val="21"/>
                <w:szCs w:val="21"/>
                <w:u w:color="auto"/>
              </w:rPr>
              <w:t xml:space="preserve">重庆市秀山土家族苗族自治县宋农镇人民政府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67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67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公开03表</w:t>
            </w:r>
          </w:p>
        </w:tc>
      </w:tr>
      <w:tr>
        <w:tblPrEx>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6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67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67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r>
              <w:rPr>
                <w:rFonts w:hint="default" w:ascii="Times New Roman" w:hAnsi="Times New Roman" w:cs="Times New Roman"/>
                <w:sz w:val="21"/>
                <w:szCs w:val="21"/>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r>
      <w:tr>
        <w:tblPrEx>
          <w:tblLayout w:type="fixed"/>
          <w:tblCellMar>
            <w:top w:w="0" w:type="dxa"/>
            <w:left w:w="0" w:type="dxa"/>
            <w:bottom w:w="0" w:type="dxa"/>
            <w:right w:w="0" w:type="dxa"/>
          </w:tblCellMar>
        </w:tblPrEx>
        <w:trPr>
          <w:trHeight w:val="312"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bCs/>
                <w:color w:val="000000"/>
                <w:sz w:val="21"/>
                <w:szCs w:val="21"/>
              </w:rPr>
              <w:t>2,202.95</w:t>
            </w:r>
            <w:r>
              <w:rPr>
                <w:rFonts w:hint="default" w:ascii="Times New Roman" w:hAnsi="Times New Roman" w:cs="Times New Roman"/>
                <w:b/>
                <w:color w:val="000000"/>
                <w:sz w:val="21"/>
                <w:szCs w:val="21"/>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bCs/>
                <w:color w:val="000000"/>
                <w:sz w:val="21"/>
                <w:szCs w:val="21"/>
              </w:rPr>
              <w:t>947.05</w:t>
            </w:r>
            <w:r>
              <w:rPr>
                <w:rFonts w:hint="default" w:ascii="Times New Roman" w:hAnsi="Times New Roman" w:cs="Times New Roman"/>
                <w:b/>
                <w:color w:val="000000"/>
                <w:sz w:val="21"/>
                <w:szCs w:val="21"/>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bCs/>
                <w:color w:val="000000"/>
                <w:sz w:val="21"/>
                <w:szCs w:val="21"/>
              </w:rPr>
              <w:t>1,255.90</w:t>
            </w:r>
            <w:r>
              <w:rPr>
                <w:rFonts w:hint="default" w:ascii="Times New Roman" w:hAnsi="Times New Roman" w:cs="Times New Roman"/>
                <w:b/>
                <w:color w:val="000000"/>
                <w:sz w:val="21"/>
                <w:szCs w:val="21"/>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522.83</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495.08</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27.75</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59.99</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51.00</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8.99</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51.00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51.00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8.99</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8.99</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415.67</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399.23</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16.44</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399.23</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399.23</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0.93</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0.93</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15.51</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15.51</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44.85</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44.85</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44.85</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44.85</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2.32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2.32</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2.32</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2.32</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2030607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19.49</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19.49</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3.84</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3.84</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3.84</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3.84</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15.65</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15.65</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15.65</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15.65</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2059999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其他教育支出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18.00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18.00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37.62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26.92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10.70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37.62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26.92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10.70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26.92</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26.92</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2070111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文化创作与保护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6.85</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6.85</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3.85</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3.85</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255.10</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214.98</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40.12</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37.01</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36.71</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0.30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32.88</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32.88</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4.14</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3.84</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137.37</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137.37</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23.22</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23.22</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9.26</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9.26</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69.93</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69.93</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34.96</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34.96</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18.73</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18.73</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18.73</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18.73</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9.99</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9.99</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9.99</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9.99</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10.79</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10.79</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10.79</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10.79</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41.21</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40.90</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0.31</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40.90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40.90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2082899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0.31</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0.31</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54.34</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30.32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24.03</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16.06</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16.06</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16.06</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16.06</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30.32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30.32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18.30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18.30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12.01</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12.01</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7.97</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7.97</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5.24</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5.24</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医疗保障经办事务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2.73</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2.73</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96.82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96.82</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4.99</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4.99</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农村环境保护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4.99</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4.99</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天然林保护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38.21</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38.21</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森林管护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13.07</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13.07</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其他天然林保护支出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25.14</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25.14</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53.62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53.62</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53.62</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53.62</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33.33</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28.33</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5.00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28.33</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28.33</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28.33</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28.33</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5.00</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5.00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1,008.05</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90.87</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917.18</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153.53</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90.87</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62.67</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90.87</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90.87</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1.44</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1.44</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55.47</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55.47</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农村合作经济</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1.84</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1.84</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3.02</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3.02</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0.90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95.27</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95.27</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11.00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11.00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84.27</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84.27</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33.92</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33.92</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8.92</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8.92</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2130335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25.00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25.00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555.84</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555.84</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218.62</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218.62</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22.98</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22.98</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314.24</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314.24</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162.49</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162.49</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162.49</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162.49</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7.00</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7.00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7.00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22.38</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22.38</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60.56</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60.56</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50.96</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50.96</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30.96</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30.96</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26.00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26.00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2240199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4.96</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4.96</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20.00</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20.00</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2240703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20.00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20.00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20.48</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20.48</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20.48</w:t>
            </w:r>
            <w:r>
              <w:rPr>
                <w:rFonts w:hint="default" w:ascii="Times New Roman" w:hAnsi="Times New Roman" w:cs="Times New Roman"/>
                <w:b/>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20.48</w:t>
            </w:r>
            <w:r>
              <w:rPr>
                <w:rFonts w:hint="default" w:ascii="Times New Roman" w:hAnsi="Times New Roman" w:cs="Times New Roman"/>
                <w:b/>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9.50</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9.50</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2296003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用于体育事业的彩票公益金支出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10.98</w:t>
            </w: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10.98</w:t>
            </w: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bl>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00" w:type="dxa"/>
        <w:tblInd w:w="0" w:type="dxa"/>
        <w:tblLayout w:type="fixed"/>
        <w:tblCellMar>
          <w:top w:w="0" w:type="dxa"/>
          <w:left w:w="0" w:type="dxa"/>
          <w:bottom w:w="0" w:type="dxa"/>
          <w:right w:w="0" w:type="dxa"/>
        </w:tblCellMar>
      </w:tblPr>
      <w:tblGrid>
        <w:gridCol w:w="3092"/>
        <w:gridCol w:w="1587"/>
        <w:gridCol w:w="3314"/>
        <w:gridCol w:w="1765"/>
        <w:gridCol w:w="1766"/>
        <w:gridCol w:w="1"/>
        <w:gridCol w:w="1764"/>
        <w:gridCol w:w="1"/>
        <w:gridCol w:w="2010"/>
      </w:tblGrid>
      <w:tr>
        <w:tblPrEx>
          <w:tblLayout w:type="fixed"/>
          <w:tblCellMar>
            <w:top w:w="0" w:type="dxa"/>
            <w:left w:w="0" w:type="dxa"/>
            <w:bottom w:w="0" w:type="dxa"/>
            <w:right w:w="0" w:type="dxa"/>
          </w:tblCellMar>
        </w:tblPrEx>
        <w:trPr>
          <w:trHeight w:val="849" w:hRule="atLeast"/>
        </w:trPr>
        <w:tc>
          <w:tcPr>
            <w:tcW w:w="1530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21"/>
                <w:szCs w:val="21"/>
              </w:rPr>
            </w:pPr>
            <w:r>
              <w:rPr>
                <w:rFonts w:hint="default" w:ascii="Times New Roman" w:hAnsi="Times New Roman" w:cs="Times New Roman"/>
                <w:b/>
                <w:color w:val="000000"/>
                <w:sz w:val="44"/>
                <w:szCs w:val="44"/>
              </w:rPr>
              <w:t>财政拨款收入支出决算总表</w:t>
            </w:r>
          </w:p>
        </w:tc>
      </w:tr>
      <w:tr>
        <w:tblPrEx>
          <w:tblLayout w:type="fixed"/>
          <w:tblCellMar>
            <w:top w:w="0" w:type="dxa"/>
            <w:left w:w="0" w:type="dxa"/>
            <w:bottom w:w="0" w:type="dxa"/>
            <w:right w:w="0" w:type="dxa"/>
          </w:tblCellMar>
        </w:tblPrEx>
        <w:trPr>
          <w:trHeight w:val="342" w:hRule="atLeast"/>
        </w:trPr>
        <w:tc>
          <w:tcPr>
            <w:tcW w:w="4679"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r>
              <w:rPr>
                <w:rFonts w:hint="default" w:ascii="Times New Roman" w:hAnsi="Times New Roman" w:cs="Times New Roman"/>
                <w:sz w:val="21"/>
                <w:szCs w:val="21"/>
              </w:rPr>
              <w:t>公开部门</w:t>
            </w:r>
            <w:r>
              <w:rPr>
                <w:rFonts w:hint="default" w:ascii="Times New Roman" w:hAnsi="Times New Roman" w:cs="Times New Roman"/>
                <w:color w:val="000000"/>
                <w:sz w:val="21"/>
                <w:szCs w:val="21"/>
              </w:rPr>
              <w:t xml:space="preserve">： </w:t>
            </w:r>
            <w:r>
              <w:rPr>
                <w:rFonts w:hint="default" w:ascii="Times New Roman" w:hAnsi="Times New Roman" w:cs="Times New Roman"/>
                <w:color w:val="000000"/>
                <w:sz w:val="21"/>
                <w:szCs w:val="21"/>
                <w:u w:color="auto"/>
              </w:rPr>
              <w:t>重庆市秀山土家族苗族自治县宋农镇人民政府</w:t>
            </w:r>
          </w:p>
        </w:tc>
        <w:tc>
          <w:tcPr>
            <w:tcW w:w="33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2011"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公开04表</w:t>
            </w:r>
          </w:p>
        </w:tc>
      </w:tr>
      <w:tr>
        <w:tblPrEx>
          <w:tblLayout w:type="fixed"/>
          <w:tblCellMar>
            <w:top w:w="0" w:type="dxa"/>
            <w:left w:w="0" w:type="dxa"/>
            <w:bottom w:w="0" w:type="dxa"/>
            <w:right w:w="0" w:type="dxa"/>
          </w:tblCellMar>
        </w:tblPrEx>
        <w:trPr>
          <w:trHeight w:val="342" w:hRule="atLeast"/>
        </w:trPr>
        <w:tc>
          <w:tcPr>
            <w:tcW w:w="4679"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5"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2011"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r>
              <w:rPr>
                <w:rFonts w:hint="default" w:ascii="Times New Roman" w:hAnsi="Times New Roman" w:cs="Times New Roman"/>
                <w:sz w:val="21"/>
                <w:szCs w:val="21"/>
              </w:rPr>
              <w:t>万元</w:t>
            </w:r>
          </w:p>
        </w:tc>
      </w:tr>
      <w:tr>
        <w:tblPrEx>
          <w:tblLayout w:type="fixed"/>
          <w:tblCellMar>
            <w:top w:w="0" w:type="dxa"/>
            <w:left w:w="0" w:type="dxa"/>
            <w:bottom w:w="0" w:type="dxa"/>
            <w:right w:w="0" w:type="dxa"/>
          </w:tblCellMar>
        </w:tblPrEx>
        <w:trPr>
          <w:trHeight w:val="383" w:hRule="atLeast"/>
        </w:trPr>
        <w:tc>
          <w:tcPr>
            <w:tcW w:w="467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收     入</w:t>
            </w:r>
          </w:p>
        </w:tc>
        <w:tc>
          <w:tcPr>
            <w:tcW w:w="10621" w:type="dxa"/>
            <w:gridSpan w:val="7"/>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支     出</w:t>
            </w:r>
          </w:p>
        </w:tc>
      </w:tr>
      <w:tr>
        <w:tblPrEx>
          <w:tblLayout w:type="fixed"/>
          <w:tblCellMar>
            <w:top w:w="0" w:type="dxa"/>
            <w:left w:w="0" w:type="dxa"/>
            <w:bottom w:w="0" w:type="dxa"/>
            <w:right w:w="0" w:type="dxa"/>
          </w:tblCellMar>
        </w:tblPrEx>
        <w:trPr>
          <w:trHeight w:val="383" w:hRule="atLeast"/>
        </w:trPr>
        <w:tc>
          <w:tcPr>
            <w:tcW w:w="30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决算数</w:t>
            </w:r>
          </w:p>
        </w:tc>
        <w:tc>
          <w:tcPr>
            <w:tcW w:w="33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功能分类科目</w:t>
            </w:r>
          </w:p>
        </w:tc>
        <w:tc>
          <w:tcPr>
            <w:tcW w:w="7307"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决算数</w:t>
            </w:r>
          </w:p>
        </w:tc>
      </w:tr>
      <w:tr>
        <w:tblPrEx>
          <w:tblLayout w:type="fixed"/>
          <w:tblCellMar>
            <w:top w:w="0" w:type="dxa"/>
            <w:left w:w="0" w:type="dxa"/>
            <w:bottom w:w="0" w:type="dxa"/>
            <w:right w:w="0" w:type="dxa"/>
          </w:tblCellMar>
        </w:tblPrEx>
        <w:trPr>
          <w:trHeight w:val="665" w:hRule="atLeast"/>
        </w:trPr>
        <w:tc>
          <w:tcPr>
            <w:tcW w:w="30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7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小计</w:t>
            </w:r>
          </w:p>
        </w:tc>
        <w:tc>
          <w:tcPr>
            <w:tcW w:w="17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一般公共预算财政拨款</w:t>
            </w:r>
          </w:p>
        </w:tc>
        <w:tc>
          <w:tcPr>
            <w:tcW w:w="176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政府性基金预算财政拨款</w:t>
            </w:r>
          </w:p>
        </w:tc>
        <w:tc>
          <w:tcPr>
            <w:tcW w:w="2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国有资本经营预算财政拨款</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一、一般公共预算财政拨款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2,171.89</w:t>
            </w:r>
            <w:r>
              <w:rPr>
                <w:rFonts w:hint="default" w:ascii="Times New Roman" w:hAnsi="Times New Roman" w:cs="Times New Roman"/>
                <w:color w:val="000000"/>
                <w:sz w:val="21"/>
                <w:szCs w:val="21"/>
                <w:u w:color="auto"/>
              </w:rPr>
              <w:t xml:space="preserve"> </w:t>
            </w: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一、一般公共服务支出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522.83</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522.83</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二、政府性基金预算财政拨款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20.48</w:t>
            </w:r>
            <w:r>
              <w:rPr>
                <w:rFonts w:hint="default" w:ascii="Times New Roman" w:hAnsi="Times New Roman" w:cs="Times New Roman"/>
                <w:color w:val="000000"/>
                <w:sz w:val="21"/>
                <w:szCs w:val="21"/>
                <w:u w:color="auto"/>
              </w:rPr>
              <w:t xml:space="preserve"> </w:t>
            </w: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二、外交支出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三、国有资本经营预算财政拨款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三、国防支出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3.00</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3.00</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四、公共安全支出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19.49</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19.49</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五、教育支出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18.00</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18.00</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六、科学技术支出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七、文化旅游体育与传媒支出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37.62</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37.62</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八、社会保障和就业支出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255.10</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255.10</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九、卫生健康支出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54.34</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54.34</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十、节能环保支出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96.82</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96.82</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十一、城乡社区支出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33.33</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33.33</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十二、农林水支出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1,008.05</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1,008.05</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十三、交通运输支出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十四、资源勘探工业信息等支出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十五、商业服务业等支出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十六、金融支出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十七、援助其他地区支出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十八、自然资源海洋气象等支出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22.38</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22.38</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十九、住房保障支出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60.56</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60.56</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二十、粮油物资储备支出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二十一、国有资本经营预算支出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二十二、灾害防治及应急管理支出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50.96</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50.96</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二十三、其他支出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20.48</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20.48</w:t>
            </w: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二十四、债务还本支出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二十五、债务付息支出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二十六、抗疫特别国债安排的支出</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本年收入合计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2,192.37</w:t>
            </w:r>
            <w:r>
              <w:rPr>
                <w:rFonts w:hint="default" w:ascii="Times New Roman" w:hAnsi="Times New Roman" w:cs="Times New Roman"/>
                <w:color w:val="000000"/>
                <w:sz w:val="21"/>
                <w:szCs w:val="21"/>
                <w:u w:color="auto"/>
              </w:rPr>
              <w:t xml:space="preserve"> </w:t>
            </w: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本年支出合计</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2,202.95</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2,182.46</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20.48</w:t>
            </w: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年初财政拨款结转和结余</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37.80</w:t>
            </w:r>
            <w:r>
              <w:rPr>
                <w:rFonts w:hint="default" w:ascii="Times New Roman" w:hAnsi="Times New Roman" w:cs="Times New Roman"/>
                <w:color w:val="000000"/>
                <w:sz w:val="21"/>
                <w:szCs w:val="21"/>
                <w:u w:color="auto"/>
              </w:rPr>
              <w:t xml:space="preserve"> </w:t>
            </w: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年末财政拨款结转和结余</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27.23</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27.23</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一般公共预算财政拨款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37.80</w:t>
            </w:r>
            <w:r>
              <w:rPr>
                <w:rFonts w:hint="default" w:ascii="Times New Roman" w:hAnsi="Times New Roman" w:cs="Times New Roman"/>
                <w:color w:val="000000"/>
                <w:sz w:val="21"/>
                <w:szCs w:val="21"/>
                <w:u w:color="auto"/>
              </w:rPr>
              <w:t xml:space="preserve"> </w:t>
            </w:r>
          </w:p>
        </w:tc>
        <w:tc>
          <w:tcPr>
            <w:tcW w:w="331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政府性基金预算财政拨款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r>
      <w:tr>
        <w:tblPrEx>
          <w:tblLayout w:type="fixed"/>
          <w:tblCellMar>
            <w:top w:w="0" w:type="dxa"/>
            <w:left w:w="0" w:type="dxa"/>
            <w:bottom w:w="0" w:type="dxa"/>
            <w:right w:w="0" w:type="dxa"/>
          </w:tblCellMar>
        </w:tblPrEx>
        <w:trPr>
          <w:trHeight w:val="383"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国有资本经营预算财政拨款</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r>
      <w:tr>
        <w:tblPrEx>
          <w:tblLayout w:type="fixed"/>
          <w:tblCellMar>
            <w:top w:w="0" w:type="dxa"/>
            <w:left w:w="0" w:type="dxa"/>
            <w:bottom w:w="0" w:type="dxa"/>
            <w:right w:w="0" w:type="dxa"/>
          </w:tblCellMar>
        </w:tblPrEx>
        <w:trPr>
          <w:trHeight w:val="424" w:hRule="atLeast"/>
        </w:trPr>
        <w:tc>
          <w:tcPr>
            <w:tcW w:w="30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总计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2,230.18</w:t>
            </w:r>
            <w:r>
              <w:rPr>
                <w:rFonts w:hint="default" w:ascii="Times New Roman" w:hAnsi="Times New Roman" w:cs="Times New Roman"/>
                <w:color w:val="000000"/>
                <w:sz w:val="21"/>
                <w:szCs w:val="21"/>
                <w:u w:color="auto"/>
              </w:rPr>
              <w:t xml:space="preserve"> </w:t>
            </w:r>
          </w:p>
        </w:tc>
        <w:tc>
          <w:tcPr>
            <w:tcW w:w="33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总计</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2,230.18</w:t>
            </w:r>
            <w:r>
              <w:rPr>
                <w:rFonts w:hint="default" w:ascii="Times New Roman" w:hAnsi="Times New Roman" w:cs="Times New Roman"/>
                <w:color w:val="000000"/>
                <w:sz w:val="21"/>
                <w:szCs w:val="21"/>
                <w:u w:color="auto"/>
              </w:rPr>
              <w:t xml:space="preserve"> </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2,209.69</w:t>
            </w:r>
            <w:r>
              <w:rPr>
                <w:rFonts w:hint="default" w:ascii="Times New Roman" w:hAnsi="Times New Roman" w:cs="Times New Roman"/>
                <w:color w:val="000000"/>
                <w:sz w:val="21"/>
                <w:szCs w:val="21"/>
                <w:u w:color="auto"/>
              </w:rPr>
              <w:t xml:space="preserve"> </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20.48</w:t>
            </w:r>
            <w:r>
              <w:rPr>
                <w:rFonts w:hint="default" w:ascii="Times New Roman" w:hAnsi="Times New Roman" w:cs="Times New Roman"/>
                <w:color w:val="000000"/>
                <w:sz w:val="21"/>
                <w:szCs w:val="21"/>
                <w:u w:color="auto"/>
              </w:rPr>
              <w:t xml:space="preserve"> </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u w:color="auto"/>
              </w:rPr>
              <w:t xml:space="preserve"> </w:t>
            </w:r>
          </w:p>
        </w:tc>
      </w:tr>
    </w:tbl>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tbl>
      <w:tblPr>
        <w:tblStyle w:val="10"/>
        <w:tblW w:w="15400" w:type="dxa"/>
        <w:tblInd w:w="0" w:type="dxa"/>
        <w:tblLayout w:type="fixed"/>
        <w:tblCellMar>
          <w:top w:w="0" w:type="dxa"/>
          <w:left w:w="0" w:type="dxa"/>
          <w:bottom w:w="0" w:type="dxa"/>
          <w:right w:w="0" w:type="dxa"/>
        </w:tblCellMar>
      </w:tblPr>
      <w:tblGrid>
        <w:gridCol w:w="1861"/>
        <w:gridCol w:w="3554"/>
        <w:gridCol w:w="3323"/>
        <w:gridCol w:w="3323"/>
        <w:gridCol w:w="3339"/>
      </w:tblGrid>
      <w:tr>
        <w:tblPrEx>
          <w:tblLayout w:type="fixed"/>
          <w:tblCellMar>
            <w:top w:w="0" w:type="dxa"/>
            <w:left w:w="0" w:type="dxa"/>
            <w:bottom w:w="0" w:type="dxa"/>
            <w:right w:w="0" w:type="dxa"/>
          </w:tblCellMar>
        </w:tblPrEx>
        <w:trPr>
          <w:trHeight w:val="3540" w:hRule="atLeast"/>
        </w:trPr>
        <w:tc>
          <w:tcPr>
            <w:tcW w:w="154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bookmarkStart w:id="0" w:name="_GoBack"/>
          </w:p>
          <w:p>
            <w:pPr>
              <w:keepNext w:val="0"/>
              <w:keepLines w:val="0"/>
              <w:pageBreakBefore w:val="0"/>
              <w:widowControl w:val="0"/>
              <w:kinsoku/>
              <w:wordWrap/>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p>
          <w:p>
            <w:pPr>
              <w:keepNext w:val="0"/>
              <w:keepLines w:val="0"/>
              <w:pageBreakBefore w:val="0"/>
              <w:widowControl w:val="0"/>
              <w:kinsoku/>
              <w:wordWrap/>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p>
          <w:p>
            <w:pPr>
              <w:keepNext w:val="0"/>
              <w:keepLines w:val="0"/>
              <w:pageBreakBefore w:val="0"/>
              <w:widowControl w:val="0"/>
              <w:kinsoku/>
              <w:wordWrap/>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p>
          <w:p>
            <w:pPr>
              <w:keepNext w:val="0"/>
              <w:keepLines w:val="0"/>
              <w:pageBreakBefore w:val="0"/>
              <w:widowControl w:val="0"/>
              <w:kinsoku/>
              <w:wordWrap/>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p>
          <w:p>
            <w:pPr>
              <w:keepNext w:val="0"/>
              <w:keepLines w:val="0"/>
              <w:pageBreakBefore w:val="0"/>
              <w:widowControl w:val="0"/>
              <w:kinsoku/>
              <w:wordWrap/>
              <w:overflowPunct/>
              <w:topLinePunct w:val="0"/>
              <w:autoSpaceDN/>
              <w:bidi w:val="0"/>
              <w:adjustRightInd/>
              <w:spacing w:beforeAutospacing="0" w:line="560" w:lineRule="exact"/>
              <w:jc w:val="both"/>
              <w:textAlignment w:val="bottom"/>
              <w:rPr>
                <w:rFonts w:hint="default" w:ascii="Times New Roman" w:hAnsi="Times New Roman" w:cs="Times New Roman"/>
                <w:b/>
                <w:color w:val="000000"/>
                <w:sz w:val="32"/>
                <w:szCs w:val="32"/>
              </w:rPr>
            </w:pPr>
          </w:p>
          <w:p>
            <w:pPr>
              <w:keepNext w:val="0"/>
              <w:keepLines w:val="0"/>
              <w:pageBreakBefore w:val="0"/>
              <w:widowControl w:val="0"/>
              <w:kinsoku/>
              <w:wordWrap/>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p>
          <w:p>
            <w:pPr>
              <w:keepNext w:val="0"/>
              <w:keepLines w:val="0"/>
              <w:pageBreakBefore w:val="0"/>
              <w:widowControl w:val="0"/>
              <w:kinsoku/>
              <w:wordWrap/>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83" w:hRule="atLeast"/>
        </w:trPr>
        <w:tc>
          <w:tcPr>
            <w:tcW w:w="541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r>
              <w:rPr>
                <w:rFonts w:hint="default" w:ascii="Times New Roman" w:hAnsi="Times New Roman" w:cs="Times New Roman"/>
                <w:sz w:val="21"/>
                <w:szCs w:val="21"/>
              </w:rPr>
              <w:t>公开部门</w:t>
            </w:r>
            <w:r>
              <w:rPr>
                <w:rFonts w:hint="default" w:ascii="Times New Roman" w:hAnsi="Times New Roman" w:cs="Times New Roman"/>
                <w:color w:val="000000"/>
                <w:sz w:val="21"/>
                <w:szCs w:val="21"/>
              </w:rPr>
              <w:t xml:space="preserve">： </w:t>
            </w:r>
            <w:r>
              <w:rPr>
                <w:rFonts w:hint="default" w:ascii="Times New Roman" w:hAnsi="Times New Roman" w:cs="Times New Roman"/>
                <w:color w:val="000000"/>
                <w:sz w:val="21"/>
                <w:szCs w:val="21"/>
                <w:u w:color="auto"/>
              </w:rPr>
              <w:t>重庆市秀山土家族苗族自治县宋农镇人民政府</w:t>
            </w:r>
          </w:p>
        </w:tc>
        <w:tc>
          <w:tcPr>
            <w:tcW w:w="33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公开05表</w:t>
            </w:r>
          </w:p>
        </w:tc>
      </w:tr>
      <w:tr>
        <w:tblPrEx>
          <w:tblLayout w:type="fixed"/>
          <w:tblCellMar>
            <w:top w:w="0" w:type="dxa"/>
            <w:left w:w="0" w:type="dxa"/>
            <w:bottom w:w="0" w:type="dxa"/>
            <w:right w:w="0" w:type="dxa"/>
          </w:tblCellMar>
        </w:tblPrEx>
        <w:trPr>
          <w:trHeight w:val="314" w:hRule="atLeast"/>
        </w:trPr>
        <w:tc>
          <w:tcPr>
            <w:tcW w:w="541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1"/>
                <w:szCs w:val="21"/>
              </w:rPr>
            </w:pPr>
          </w:p>
        </w:tc>
        <w:tc>
          <w:tcPr>
            <w:tcW w:w="33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单位：</w:t>
            </w:r>
            <w:r>
              <w:rPr>
                <w:rFonts w:hint="default" w:ascii="Times New Roman" w:hAnsi="Times New Roman" w:cs="Times New Roman"/>
                <w:sz w:val="21"/>
                <w:szCs w:val="21"/>
              </w:rPr>
              <w:t>万元</w:t>
            </w:r>
          </w:p>
        </w:tc>
      </w:tr>
      <w:tr>
        <w:tblPrEx>
          <w:tblLayout w:type="fixed"/>
          <w:tblCellMar>
            <w:top w:w="0" w:type="dxa"/>
            <w:left w:w="0" w:type="dxa"/>
            <w:bottom w:w="0" w:type="dxa"/>
            <w:right w:w="0" w:type="dxa"/>
          </w:tblCellMar>
        </w:tblPrEx>
        <w:trPr>
          <w:trHeight w:val="349" w:hRule="atLeast"/>
        </w:trPr>
        <w:tc>
          <w:tcPr>
            <w:tcW w:w="541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w:t>
            </w:r>
          </w:p>
        </w:tc>
        <w:tc>
          <w:tcPr>
            <w:tcW w:w="998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本年支出</w:t>
            </w:r>
          </w:p>
        </w:tc>
      </w:tr>
      <w:tr>
        <w:tblPrEx>
          <w:tblLayout w:type="fixed"/>
          <w:tblCellMar>
            <w:top w:w="0" w:type="dxa"/>
            <w:left w:w="0" w:type="dxa"/>
            <w:bottom w:w="0" w:type="dxa"/>
            <w:right w:w="0" w:type="dxa"/>
          </w:tblCellMar>
        </w:tblPrEx>
        <w:trPr>
          <w:trHeight w:val="368" w:hRule="atLeast"/>
        </w:trPr>
        <w:tc>
          <w:tcPr>
            <w:tcW w:w="186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功能分类科目编码</w:t>
            </w:r>
          </w:p>
        </w:tc>
        <w:tc>
          <w:tcPr>
            <w:tcW w:w="355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项目（按“项”级功能分类科目）</w:t>
            </w:r>
          </w:p>
        </w:tc>
        <w:tc>
          <w:tcPr>
            <w:tcW w:w="33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合计</w:t>
            </w:r>
          </w:p>
        </w:tc>
        <w:tc>
          <w:tcPr>
            <w:tcW w:w="33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基本支出</w:t>
            </w:r>
          </w:p>
        </w:tc>
        <w:tc>
          <w:tcPr>
            <w:tcW w:w="333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项目支出</w:t>
            </w:r>
          </w:p>
        </w:tc>
      </w:tr>
      <w:tr>
        <w:tblPrEx>
          <w:tblLayout w:type="fixed"/>
          <w:tblCellMar>
            <w:top w:w="0" w:type="dxa"/>
            <w:left w:w="0" w:type="dxa"/>
            <w:bottom w:w="0" w:type="dxa"/>
            <w:right w:w="0" w:type="dxa"/>
          </w:tblCellMar>
        </w:tblPrEx>
        <w:trPr>
          <w:trHeight w:val="368" w:hRule="atLeast"/>
        </w:trPr>
        <w:tc>
          <w:tcPr>
            <w:tcW w:w="186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5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3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r>
      <w:tr>
        <w:tblPrEx>
          <w:tblLayout w:type="fixed"/>
          <w:tblCellMar>
            <w:top w:w="0" w:type="dxa"/>
            <w:left w:w="0" w:type="dxa"/>
            <w:bottom w:w="0" w:type="dxa"/>
            <w:right w:w="0" w:type="dxa"/>
          </w:tblCellMar>
        </w:tblPrEx>
        <w:trPr>
          <w:trHeight w:val="671" w:hRule="atLeast"/>
        </w:trPr>
        <w:tc>
          <w:tcPr>
            <w:tcW w:w="186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55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c>
          <w:tcPr>
            <w:tcW w:w="333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1"/>
                <w:szCs w:val="21"/>
              </w:rPr>
            </w:pPr>
          </w:p>
        </w:tc>
      </w:tr>
      <w:tr>
        <w:tblPrEx>
          <w:tblLayout w:type="fixed"/>
          <w:tblCellMar>
            <w:top w:w="0" w:type="dxa"/>
            <w:left w:w="0" w:type="dxa"/>
            <w:bottom w:w="0" w:type="dxa"/>
            <w:right w:w="0" w:type="dxa"/>
          </w:tblCellMar>
        </w:tblPrEx>
        <w:trPr>
          <w:trHeight w:val="349" w:hRule="atLeast"/>
        </w:trPr>
        <w:tc>
          <w:tcPr>
            <w:tcW w:w="541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合计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bCs/>
                <w:color w:val="000000"/>
                <w:sz w:val="21"/>
                <w:szCs w:val="21"/>
              </w:rPr>
              <w:t>2,182.46</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bCs/>
                <w:color w:val="000000"/>
                <w:sz w:val="21"/>
                <w:szCs w:val="21"/>
              </w:rPr>
              <w:t>947.05</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bCs/>
                <w:color w:val="000000"/>
                <w:sz w:val="21"/>
                <w:szCs w:val="21"/>
              </w:rPr>
              <w:t>1,235.42</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一般公共服务支出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522.83</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495.08</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27.75</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人大事务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59.99</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51.00</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8.99</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2010101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行政运行</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51.00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51.00</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2010108</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代表工作</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8.99</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8.99</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20103</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政府办公厅（室）及相关机构事务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415.67</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399.23</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16.44</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2010301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行政运行</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399.23</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399.23</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2010302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一般行政管理事务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0.93</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0.93</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445"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2010399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其他政府办公厅（室）及相关机构事务支出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15.51</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15.51</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20106</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财政事务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44.85</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44.85</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2010601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行政运行</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44.85</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44.85</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20132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组织事务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2.32</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2.32</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2013202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一般行政管理事务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2.32</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2.32</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203</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国防支出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20306</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国防动员</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3.00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2030607</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民兵</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3.00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3.00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公共安全支出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19.49</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19.49</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20402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公安</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3.84</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3.84</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2040299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其他公安支出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3.84</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3.84</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20499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其他公共安全支出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15.65</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15.65</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2049999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其他公共安全支出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15.65</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15.65</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教育支出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20599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其他教育支出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18.00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2059999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其他教育支出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18.00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18.00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207</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文化旅游体育与传媒支出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37.62</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26.92</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10.70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20701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文化和旅游</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37.62</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26.92</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10.70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2070109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群众文化</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26.92</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26.92</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2070111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文化创作与保护</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6.85</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6.85</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2070199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其他文化和旅游支出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3.85</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3.85</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社会保障和就业支出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255.10</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214.98</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40.12</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人力资源和社会保障管理事务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37.01</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36.71</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0.30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2080109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社会保险经办机构</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32.88</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32.88</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445"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2080199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其他人力资源和社会保障管理事务支出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4.14</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3.84</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0.30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行政事业单位养老支出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137.37</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137.37</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行政单位离退休</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23.22</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23.22</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事业单位离退休</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9.26</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9.26</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机关事业单位基本养老保险缴费支出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69.93</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69.93</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2080506</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机关事业单位职业年金缴费支出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34.96</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34.96</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20808</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抚恤</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18.73</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18.73</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2080805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义务兵优待</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18.73</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18.73</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20811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残疾人事业</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9.99</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9.99</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2081199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其他残疾人事业支出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9.99</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9.99</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20821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特困人员救助供养</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10.79</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10.79</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2082102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农村特困人员救助供养支出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10.79</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10.79</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20828</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退役军人管理事务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41.21</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40.90</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0.31</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2082850</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事业运行</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40.90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40.90</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2082899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其他退役军人事务管理支出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0.31</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0.31</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卫生健康支出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54.34</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30.32</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24.03</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21004</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公共卫生</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16.06</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16.06</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2100410</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突发公共卫生事件应急处理</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16.06</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16.06</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21011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行政事业单位医疗</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30.32</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30.32</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2101101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行政单位医疗</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18.30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18.30</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2101102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事业单位医疗</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12.01</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12.01</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21015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医疗保障管理事务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7.97</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7.97</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2101505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医疗保障政策管理</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5.24</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5.24</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2101506</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医疗保障经办事务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2.73</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2.73</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节能环保支出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96.82</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96.82</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21104</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自然生态保护</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4.99</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4.99</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2110402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农村环境保护</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4.99</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4.99</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天然林保护</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38.21</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38.21</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2110501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森林管护</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13.07</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13.07</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2110599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其他天然林保护支出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25.14</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25.14</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21199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其他节能环保支出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53.62</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53.62</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2119999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其他节能环保支出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53.62</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53.62</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城乡社区支出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33.33</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28.33</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5.00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21201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城乡社区管理事务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28.33</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28.33</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2120199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其他城乡社区管理事务支出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28.33</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28.33</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21205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城乡社区环境卫生</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5.00</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5.00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2120501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城乡社区环境卫生</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5.00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5.00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农林水支出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1,008.05</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90.87</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917.18</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农业农村</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153.53</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90.87</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62.67</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2130104</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事业运行</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90.87</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90.87</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2130108</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病虫害控制</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1.44</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1.44</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2130122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农业生产发展</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55.47</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55.47</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2130124</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农村合作经济</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1.84</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1.84</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2130135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农业资源保护修复与利用</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3.02</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3.02</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2130199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其他农业农村支出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0.90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0.90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林业和草原</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95.27</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95.27</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2130205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森林资源培育</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11.00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11.00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2130207</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森林资源管理</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84.27</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84.27</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21303</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水利</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33.92</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33.92</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2130315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抗旱</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8.92</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8.92</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2130335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农村供水</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25.00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25.00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巩固脱贫攻坚成果衔接乡村振兴</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555.84</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555.84</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2130504</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农村基础设施建设</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218.62</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218.62</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2130505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生产发展</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22.98</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22.98</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445"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2130599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其他巩固脱贫攻坚成果衔接乡村振兴支出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314.24</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314.24</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21307</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农村综合改革</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162.49</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162.49</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2130705</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对村民委员会和村党支部的补助</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162.49</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162.49</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21399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其他农林水支出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7.00</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7.00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2139999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其他农林水支出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7.00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7.00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220</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自然资源海洋气象等支出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22001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自然资源事务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22.38</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2200106</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自然资源利用与保护</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22.38</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22.38</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住房保障支出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22102</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住房改革支出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60.56</w:t>
            </w:r>
            <w:r>
              <w:rPr>
                <w:rFonts w:hint="default" w:ascii="Times New Roman" w:hAnsi="Times New Roman" w:cs="Times New Roman"/>
                <w:b/>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2210201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住房公积金</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60.56</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60.56</w:t>
            </w: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224</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灾害防治及应急管理支出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50.96</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50.96</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22401</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应急管理事务</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30.96</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30.96</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2240108</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应急救援</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26.00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26.00</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2240199</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其他应急管理支出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4.96</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4.96</w:t>
            </w:r>
            <w:r>
              <w:rPr>
                <w:rFonts w:hint="default" w:ascii="Times New Roman" w:hAnsi="Times New Roman" w:cs="Times New Roman"/>
                <w:color w:val="000000"/>
                <w:sz w:val="21"/>
                <w:szCs w:val="21"/>
                <w:u w:color="auto"/>
              </w:rPr>
              <w:t xml:space="preserve"> </w:t>
            </w:r>
          </w:p>
        </w:tc>
      </w:tr>
      <w:tr>
        <w:tblPrEx>
          <w:tblLayout w:type="fixed"/>
          <w:tblCellMar>
            <w:top w:w="0" w:type="dxa"/>
            <w:left w:w="0" w:type="dxa"/>
            <w:bottom w:w="0" w:type="dxa"/>
            <w:right w:w="0" w:type="dxa"/>
          </w:tblCellMar>
        </w:tblPrEx>
        <w:trPr>
          <w:trHeight w:val="34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22407</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b/>
                <w:color w:val="000000"/>
                <w:sz w:val="21"/>
                <w:szCs w:val="21"/>
              </w:rPr>
              <w:t>自然灾害救灾及恢复重建支出</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20.00</w:t>
            </w:r>
            <w:r>
              <w:rPr>
                <w:rFonts w:hint="default" w:ascii="Times New Roman" w:hAnsi="Times New Roman" w:cs="Times New Roman"/>
                <w:b/>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20.00</w:t>
            </w:r>
            <w:r>
              <w:rPr>
                <w:rFonts w:hint="default" w:ascii="Times New Roman" w:hAnsi="Times New Roman" w:cs="Times New Roman"/>
                <w:b/>
                <w:color w:val="000000"/>
                <w:sz w:val="21"/>
                <w:szCs w:val="21"/>
                <w:u w:color="auto"/>
              </w:rPr>
              <w:t xml:space="preserve"> </w:t>
            </w:r>
          </w:p>
        </w:tc>
      </w:tr>
      <w:tr>
        <w:tblPrEx>
          <w:tblLayout w:type="fixed"/>
          <w:tblCellMar>
            <w:top w:w="0" w:type="dxa"/>
            <w:left w:w="0" w:type="dxa"/>
            <w:bottom w:w="0" w:type="dxa"/>
            <w:right w:w="0" w:type="dxa"/>
          </w:tblCellMar>
        </w:tblPrEx>
        <w:trPr>
          <w:trHeight w:val="359" w:hRule="atLeast"/>
        </w:trPr>
        <w:tc>
          <w:tcPr>
            <w:tcW w:w="18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2240703</w:t>
            </w:r>
          </w:p>
        </w:tc>
        <w:tc>
          <w:tcPr>
            <w:tcW w:w="35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自然灾害救灾补助</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20.00</w:t>
            </w:r>
            <w:r>
              <w:rPr>
                <w:rFonts w:hint="default" w:ascii="Times New Roman" w:hAnsi="Times New Roman" w:cs="Times New Roman"/>
                <w:color w:val="000000"/>
                <w:sz w:val="21"/>
                <w:szCs w:val="21"/>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u w:color="auto"/>
              </w:rPr>
              <w:t xml:space="preserve"> </w:t>
            </w:r>
          </w:p>
        </w:tc>
        <w:tc>
          <w:tcPr>
            <w:tcW w:w="33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1"/>
                <w:szCs w:val="21"/>
              </w:rPr>
            </w:pPr>
            <w:r>
              <w:rPr>
                <w:rFonts w:hint="default" w:ascii="Times New Roman" w:hAnsi="Times New Roman" w:cs="Times New Roman"/>
                <w:color w:val="000000"/>
                <w:sz w:val="21"/>
                <w:szCs w:val="21"/>
              </w:rPr>
              <w:t>20.00</w:t>
            </w:r>
            <w:r>
              <w:rPr>
                <w:rFonts w:hint="default" w:ascii="Times New Roman" w:hAnsi="Times New Roman" w:cs="Times New Roman"/>
                <w:color w:val="000000"/>
                <w:sz w:val="21"/>
                <w:szCs w:val="21"/>
                <w:u w:color="auto"/>
              </w:rPr>
              <w:t xml:space="preserve"> </w:t>
            </w:r>
          </w:p>
        </w:tc>
      </w:tr>
      <w:bookmarkEnd w:id="0"/>
    </w:tbl>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val="0"/>
        <w:kinsoku/>
        <w:wordWrap/>
        <w:overflowPunct/>
        <w:topLinePunct w:val="0"/>
        <w:autoSpaceDN/>
        <w:bidi w:val="0"/>
        <w:adjustRightInd/>
        <w:spacing w:beforeAutospacing="0" w:line="560" w:lineRule="exact"/>
        <w:ind w:firstLine="630" w:firstLineChars="3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515"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44"/>
                <w:szCs w:val="44"/>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重庆市秀山土家族苗族自治县宋农镇人民政府</w:t>
            </w:r>
          </w:p>
        </w:tc>
        <w:tc>
          <w:tcPr>
            <w:tcW w:w="137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725.09</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135.41</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171.52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73.53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118.38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0.41</w:t>
            </w: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132.24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97.56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69.93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34.96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15.89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60.56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86.13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21.87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60.34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4.54</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20.38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811.22</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135.83</w:t>
            </w:r>
            <w:r>
              <w:rPr>
                <w:rFonts w:hint="default" w:ascii="Times New Roman" w:hAnsi="Times New Roman" w:cs="Times New Roman"/>
                <w:color w:val="000000"/>
                <w:sz w:val="18"/>
                <w:u w:color="auto"/>
              </w:rPr>
              <w:t xml:space="preserve"> </w:t>
            </w:r>
          </w:p>
        </w:tc>
      </w:tr>
    </w:tbl>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tbl>
      <w:tblPr>
        <w:tblStyle w:val="10"/>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6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重庆市秀山土家族苗族自治县宋农镇人民政府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20.48</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20.48</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20.48</w:t>
            </w: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9.50</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9.50</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2296003</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10.98</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10.98</w:t>
            </w:r>
            <w:r>
              <w:rPr>
                <w:rFonts w:hint="default" w:ascii="Times New Roman" w:hAnsi="Times New Roman" w:cs="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10.98</w:t>
            </w:r>
            <w:r>
              <w:rPr>
                <w:rFonts w:hint="default" w:ascii="Times New Roman" w:hAnsi="Times New Roman" w:cs="Times New Roman"/>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重庆市秀山土家族苗族自治县宋农镇人民政府</w:t>
            </w:r>
          </w:p>
        </w:tc>
        <w:tc>
          <w:tcPr>
            <w:tcW w:w="326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color w:val="000000"/>
                <w:sz w:val="20"/>
                <w:szCs w:val="20"/>
              </w:rPr>
            </w:pPr>
          </w:p>
        </w:tc>
        <w:tc>
          <w:tcPr>
            <w:tcW w:w="326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val="0"/>
              <w:kinsoku/>
              <w:wordWrap/>
              <w:overflowPunct/>
              <w:topLinePunct w:val="0"/>
              <w:autoSpaceDN/>
              <w:bidi w:val="0"/>
              <w:adjustRightInd/>
              <w:spacing w:beforeAutospacing="0" w:line="560" w:lineRule="exact"/>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12"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10"/>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 xml:space="preserve">公开部门： </w:t>
            </w:r>
            <w:r>
              <w:rPr>
                <w:rFonts w:hint="default" w:cs="宋体"/>
                <w:kern w:val="2"/>
                <w:sz w:val="20"/>
                <w:szCs w:val="20"/>
              </w:rPr>
              <w:t>重庆市秀山土家族苗族自治县宋农镇人民政府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106.85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2.59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2.59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99.62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7.23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2.59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2.59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2.59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2.59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eastAsia"/>
                <w:color w:val="000000"/>
                <w:sz w:val="16"/>
                <w:u w:color="auto"/>
                <w:lang w:val="en-US" w:eastAsia="zh-CN"/>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0.02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cs="宋体"/>
                <w:color w:val="000000"/>
                <w:kern w:val="2"/>
                <w:sz w:val="16"/>
                <w:szCs w:val="16"/>
              </w:rPr>
              <w:t xml:space="preserve">1.67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keepNext w:val="0"/>
        <w:keepLines w:val="0"/>
        <w:pageBreakBefore w:val="0"/>
        <w:widowControl w:val="0"/>
        <w:kinsoku/>
        <w:wordWrap/>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24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19761B"/>
    <w:rsid w:val="01474EBF"/>
    <w:rsid w:val="015678A9"/>
    <w:rsid w:val="01F3521E"/>
    <w:rsid w:val="02984403"/>
    <w:rsid w:val="03B87EA0"/>
    <w:rsid w:val="03E3214F"/>
    <w:rsid w:val="044C50BA"/>
    <w:rsid w:val="05BC6D49"/>
    <w:rsid w:val="06194FF1"/>
    <w:rsid w:val="06A2550B"/>
    <w:rsid w:val="06B3279C"/>
    <w:rsid w:val="06F41FF1"/>
    <w:rsid w:val="06F80EE2"/>
    <w:rsid w:val="07001CCA"/>
    <w:rsid w:val="075678DB"/>
    <w:rsid w:val="079D7CC7"/>
    <w:rsid w:val="08051BCA"/>
    <w:rsid w:val="086C12F4"/>
    <w:rsid w:val="08BA052C"/>
    <w:rsid w:val="08DB07BA"/>
    <w:rsid w:val="0969353F"/>
    <w:rsid w:val="098305D0"/>
    <w:rsid w:val="098A0877"/>
    <w:rsid w:val="0A5C4B69"/>
    <w:rsid w:val="0A86124A"/>
    <w:rsid w:val="0AB54CC0"/>
    <w:rsid w:val="0AC171F4"/>
    <w:rsid w:val="0B9335CE"/>
    <w:rsid w:val="0C7927C4"/>
    <w:rsid w:val="0C9B098C"/>
    <w:rsid w:val="0D673E11"/>
    <w:rsid w:val="0DDA54E4"/>
    <w:rsid w:val="0DFB000A"/>
    <w:rsid w:val="0E3A5F83"/>
    <w:rsid w:val="0E74421A"/>
    <w:rsid w:val="0F836721"/>
    <w:rsid w:val="0FA25D96"/>
    <w:rsid w:val="107B59E5"/>
    <w:rsid w:val="10EC0126"/>
    <w:rsid w:val="10F70B9A"/>
    <w:rsid w:val="111445C7"/>
    <w:rsid w:val="114278C6"/>
    <w:rsid w:val="1158083A"/>
    <w:rsid w:val="11643A4B"/>
    <w:rsid w:val="11AB4C90"/>
    <w:rsid w:val="11ED0F98"/>
    <w:rsid w:val="11F03528"/>
    <w:rsid w:val="12B93DC2"/>
    <w:rsid w:val="12C921C4"/>
    <w:rsid w:val="13871C70"/>
    <w:rsid w:val="13A230DC"/>
    <w:rsid w:val="13A71CB4"/>
    <w:rsid w:val="13AF1D43"/>
    <w:rsid w:val="13CE1647"/>
    <w:rsid w:val="13FD55AB"/>
    <w:rsid w:val="14200702"/>
    <w:rsid w:val="144E1C1D"/>
    <w:rsid w:val="163A6CEE"/>
    <w:rsid w:val="17315AA4"/>
    <w:rsid w:val="173708E3"/>
    <w:rsid w:val="17C374FC"/>
    <w:rsid w:val="17DF5BF6"/>
    <w:rsid w:val="189079DC"/>
    <w:rsid w:val="189B0D0B"/>
    <w:rsid w:val="18B43F7C"/>
    <w:rsid w:val="194A1770"/>
    <w:rsid w:val="19B906A4"/>
    <w:rsid w:val="1B6F15B6"/>
    <w:rsid w:val="1BAA2EDC"/>
    <w:rsid w:val="1BCD4232"/>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7024F0"/>
    <w:rsid w:val="1FBB35CD"/>
    <w:rsid w:val="1FCD26AF"/>
    <w:rsid w:val="20642787"/>
    <w:rsid w:val="210B702A"/>
    <w:rsid w:val="21556F04"/>
    <w:rsid w:val="21907AC5"/>
    <w:rsid w:val="21BA0EA3"/>
    <w:rsid w:val="22403BD3"/>
    <w:rsid w:val="23DA37D9"/>
    <w:rsid w:val="24B92327"/>
    <w:rsid w:val="24C14514"/>
    <w:rsid w:val="2533755C"/>
    <w:rsid w:val="25791755"/>
    <w:rsid w:val="26396DF4"/>
    <w:rsid w:val="26EB7155"/>
    <w:rsid w:val="27167136"/>
    <w:rsid w:val="27B23302"/>
    <w:rsid w:val="27EA243B"/>
    <w:rsid w:val="27F3405E"/>
    <w:rsid w:val="29310A5F"/>
    <w:rsid w:val="29C37A35"/>
    <w:rsid w:val="2A076083"/>
    <w:rsid w:val="2A73162E"/>
    <w:rsid w:val="2B167953"/>
    <w:rsid w:val="2B200583"/>
    <w:rsid w:val="2B8209DE"/>
    <w:rsid w:val="2C323866"/>
    <w:rsid w:val="2C6762A3"/>
    <w:rsid w:val="2EBF7B3E"/>
    <w:rsid w:val="2EDE1934"/>
    <w:rsid w:val="2F1B2970"/>
    <w:rsid w:val="2FCA4B37"/>
    <w:rsid w:val="2FE029D7"/>
    <w:rsid w:val="2FF06E00"/>
    <w:rsid w:val="30562E26"/>
    <w:rsid w:val="30586FEC"/>
    <w:rsid w:val="30EC7046"/>
    <w:rsid w:val="315F0B22"/>
    <w:rsid w:val="319D022C"/>
    <w:rsid w:val="31C90022"/>
    <w:rsid w:val="31D84415"/>
    <w:rsid w:val="31F96BD9"/>
    <w:rsid w:val="32285F6F"/>
    <w:rsid w:val="32770556"/>
    <w:rsid w:val="329C0913"/>
    <w:rsid w:val="32AA0460"/>
    <w:rsid w:val="3337290D"/>
    <w:rsid w:val="33E31118"/>
    <w:rsid w:val="33EF7674"/>
    <w:rsid w:val="33FB25B5"/>
    <w:rsid w:val="342D7BC6"/>
    <w:rsid w:val="352930DB"/>
    <w:rsid w:val="35573069"/>
    <w:rsid w:val="355F6038"/>
    <w:rsid w:val="358C217E"/>
    <w:rsid w:val="35937598"/>
    <w:rsid w:val="359D1363"/>
    <w:rsid w:val="36C9128A"/>
    <w:rsid w:val="372E3953"/>
    <w:rsid w:val="376A2F6B"/>
    <w:rsid w:val="37841E99"/>
    <w:rsid w:val="37BF1123"/>
    <w:rsid w:val="383C3F15"/>
    <w:rsid w:val="38BE4696"/>
    <w:rsid w:val="3939115E"/>
    <w:rsid w:val="397651FA"/>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B02A70"/>
    <w:rsid w:val="3FCD675E"/>
    <w:rsid w:val="4004000C"/>
    <w:rsid w:val="405B4DF2"/>
    <w:rsid w:val="40785CB4"/>
    <w:rsid w:val="40A532D2"/>
    <w:rsid w:val="40B40BD8"/>
    <w:rsid w:val="411B6CE5"/>
    <w:rsid w:val="412070D7"/>
    <w:rsid w:val="41314E40"/>
    <w:rsid w:val="41E0734B"/>
    <w:rsid w:val="41E57FF6"/>
    <w:rsid w:val="426554D0"/>
    <w:rsid w:val="426C1EA8"/>
    <w:rsid w:val="42736402"/>
    <w:rsid w:val="42E86A87"/>
    <w:rsid w:val="430C101D"/>
    <w:rsid w:val="43307B09"/>
    <w:rsid w:val="438D0E97"/>
    <w:rsid w:val="43A03E6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C32683E"/>
    <w:rsid w:val="4DAC4ACA"/>
    <w:rsid w:val="4DBE01D2"/>
    <w:rsid w:val="4EFC6D10"/>
    <w:rsid w:val="4F0C6BA3"/>
    <w:rsid w:val="4F10477D"/>
    <w:rsid w:val="4F186D58"/>
    <w:rsid w:val="4FEA65B7"/>
    <w:rsid w:val="505D3CF7"/>
    <w:rsid w:val="50F06B6E"/>
    <w:rsid w:val="52234D33"/>
    <w:rsid w:val="522F6E0C"/>
    <w:rsid w:val="52463BA1"/>
    <w:rsid w:val="52F163D4"/>
    <w:rsid w:val="531A2DB4"/>
    <w:rsid w:val="531E67F4"/>
    <w:rsid w:val="53C0244D"/>
    <w:rsid w:val="53DD4D4E"/>
    <w:rsid w:val="53E578CE"/>
    <w:rsid w:val="541330F0"/>
    <w:rsid w:val="54272666"/>
    <w:rsid w:val="543B029D"/>
    <w:rsid w:val="54861779"/>
    <w:rsid w:val="54931259"/>
    <w:rsid w:val="552256E1"/>
    <w:rsid w:val="554E5773"/>
    <w:rsid w:val="555A3CBC"/>
    <w:rsid w:val="5582012B"/>
    <w:rsid w:val="558E4E05"/>
    <w:rsid w:val="55BE2E85"/>
    <w:rsid w:val="55C425C9"/>
    <w:rsid w:val="55D912A1"/>
    <w:rsid w:val="56530F5D"/>
    <w:rsid w:val="567700D3"/>
    <w:rsid w:val="56FF7E9E"/>
    <w:rsid w:val="57020B00"/>
    <w:rsid w:val="57240B8A"/>
    <w:rsid w:val="578867FC"/>
    <w:rsid w:val="57C464AA"/>
    <w:rsid w:val="582049C9"/>
    <w:rsid w:val="5842572D"/>
    <w:rsid w:val="5A3B59D6"/>
    <w:rsid w:val="5AD134D8"/>
    <w:rsid w:val="5B5A611B"/>
    <w:rsid w:val="5B6503B1"/>
    <w:rsid w:val="5C263CE4"/>
    <w:rsid w:val="5C5D2777"/>
    <w:rsid w:val="5C914FA2"/>
    <w:rsid w:val="5CA37FB1"/>
    <w:rsid w:val="5CDF070A"/>
    <w:rsid w:val="5CF66BF3"/>
    <w:rsid w:val="5D290C69"/>
    <w:rsid w:val="5F2D4A41"/>
    <w:rsid w:val="5F5873B8"/>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A7D89"/>
    <w:rsid w:val="663F505A"/>
    <w:rsid w:val="66967186"/>
    <w:rsid w:val="66EE5541"/>
    <w:rsid w:val="67924660"/>
    <w:rsid w:val="68191406"/>
    <w:rsid w:val="68407834"/>
    <w:rsid w:val="6883293E"/>
    <w:rsid w:val="688412AD"/>
    <w:rsid w:val="68EB1B71"/>
    <w:rsid w:val="68EC4950"/>
    <w:rsid w:val="69475C96"/>
    <w:rsid w:val="69B57C8C"/>
    <w:rsid w:val="6A0211A0"/>
    <w:rsid w:val="6AAD2300"/>
    <w:rsid w:val="6B474EF5"/>
    <w:rsid w:val="6B515A60"/>
    <w:rsid w:val="6B8901F8"/>
    <w:rsid w:val="6BBF53FD"/>
    <w:rsid w:val="6C560CAE"/>
    <w:rsid w:val="6C576495"/>
    <w:rsid w:val="6D903FF5"/>
    <w:rsid w:val="6DA955B8"/>
    <w:rsid w:val="6DBE61EF"/>
    <w:rsid w:val="6DE346AB"/>
    <w:rsid w:val="6DE5391A"/>
    <w:rsid w:val="6EFD1324"/>
    <w:rsid w:val="6F5A53AC"/>
    <w:rsid w:val="6F863E9D"/>
    <w:rsid w:val="6FAC003D"/>
    <w:rsid w:val="6FE55E12"/>
    <w:rsid w:val="6FFB2E76"/>
    <w:rsid w:val="7086727A"/>
    <w:rsid w:val="708F6F7F"/>
    <w:rsid w:val="70D94BD3"/>
    <w:rsid w:val="70F23A77"/>
    <w:rsid w:val="71C34D91"/>
    <w:rsid w:val="72466D3F"/>
    <w:rsid w:val="72DB435C"/>
    <w:rsid w:val="72E2613A"/>
    <w:rsid w:val="72F771F4"/>
    <w:rsid w:val="736650B0"/>
    <w:rsid w:val="73934AD2"/>
    <w:rsid w:val="74E67084"/>
    <w:rsid w:val="75027570"/>
    <w:rsid w:val="750837F0"/>
    <w:rsid w:val="754758CF"/>
    <w:rsid w:val="764F62AB"/>
    <w:rsid w:val="765C45EC"/>
    <w:rsid w:val="7689323A"/>
    <w:rsid w:val="768A7619"/>
    <w:rsid w:val="772E1EBA"/>
    <w:rsid w:val="77EB79F7"/>
    <w:rsid w:val="78914129"/>
    <w:rsid w:val="796D60A4"/>
    <w:rsid w:val="79A031D5"/>
    <w:rsid w:val="7A1525F7"/>
    <w:rsid w:val="7A591708"/>
    <w:rsid w:val="7B420052"/>
    <w:rsid w:val="7B861484"/>
    <w:rsid w:val="7BD06A28"/>
    <w:rsid w:val="7C3A7C0B"/>
    <w:rsid w:val="7C5248E4"/>
    <w:rsid w:val="7C566698"/>
    <w:rsid w:val="7C5866A3"/>
    <w:rsid w:val="7D1A08F9"/>
    <w:rsid w:val="7D7406BB"/>
    <w:rsid w:val="7DE94331"/>
    <w:rsid w:val="7DF352A3"/>
    <w:rsid w:val="7F446A19"/>
    <w:rsid w:val="7F7452B9"/>
    <w:rsid w:val="7F781AF6"/>
    <w:rsid w:val="7FA12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character" w:customStyle="1" w:styleId="17">
    <w:name w:val="font71"/>
    <w:basedOn w:val="8"/>
    <w:qFormat/>
    <w:uiPriority w:val="0"/>
    <w:rPr>
      <w:rFonts w:hint="eastAsia" w:ascii="方正仿宋_GBK" w:hAnsi="方正仿宋_GBK" w:eastAsia="方正仿宋_GBK" w:cs="方正仿宋_GBK"/>
      <w:color w:val="000000"/>
      <w:sz w:val="22"/>
      <w:szCs w:val="22"/>
      <w:u w:val="none"/>
    </w:rPr>
  </w:style>
  <w:style w:type="character" w:customStyle="1" w:styleId="18">
    <w:name w:val="font61"/>
    <w:basedOn w:val="8"/>
    <w:qFormat/>
    <w:uiPriority w:val="0"/>
    <w:rPr>
      <w:rFonts w:ascii="方正仿宋_GBK" w:hAnsi="方正仿宋_GBK" w:eastAsia="方正仿宋_GBK" w:cs="方正仿宋_GBK"/>
      <w:b/>
      <w:color w:val="000000"/>
      <w:sz w:val="22"/>
      <w:szCs w:val="22"/>
      <w:u w:val="none"/>
    </w:rPr>
  </w:style>
  <w:style w:type="character" w:customStyle="1" w:styleId="19">
    <w:name w:val="font81"/>
    <w:basedOn w:val="8"/>
    <w:qFormat/>
    <w:uiPriority w:val="0"/>
    <w:rPr>
      <w:rFonts w:hint="default" w:ascii="Times New Roman" w:hAnsi="Times New Roman" w:cs="Times New Roman"/>
      <w:color w:val="000000"/>
      <w:sz w:val="22"/>
      <w:szCs w:val="22"/>
      <w:u w:val="none"/>
    </w:rPr>
  </w:style>
  <w:style w:type="character" w:customStyle="1" w:styleId="20">
    <w:name w:val="font31"/>
    <w:basedOn w:val="8"/>
    <w:qFormat/>
    <w:uiPriority w:val="0"/>
    <w:rPr>
      <w:rFonts w:hint="default" w:ascii="Times New Roman" w:hAnsi="Times New Roman" w:cs="Times New Roman"/>
      <w:b/>
      <w:color w:val="000000"/>
      <w:sz w:val="22"/>
      <w:szCs w:val="22"/>
      <w:u w:val="none"/>
    </w:rPr>
  </w:style>
  <w:style w:type="character" w:customStyle="1" w:styleId="21">
    <w:name w:val="font0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15</TotalTime>
  <ScaleCrop>false</ScaleCrop>
  <LinksUpToDate>false</LinksUpToDate>
  <CharactersWithSpaces>27407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2024-09-13T08:53:00Z</cp:lastPrinted>
  <dcterms:modified xsi:type="dcterms:W3CDTF">2024-09-24T11:53:53Z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