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重庆市秀山土家族苗族自治县妙泉镇退役军人服务站</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shd w:val="clear" w:fill="FFFFFF"/>
          <w:lang w:val="en-US" w:eastAsia="zh-CN" w:bidi="ar"/>
        </w:rPr>
        <w:t>贯彻执行法律、法规、规章和镇人民政府的决策部署、依法管理本辖区退役军人方面相关的公共事务。负责做好面对面、个性化、一对一服务退役军人工作，做好关系转接、联络接待、困难帮扶、信息采集、情况反映、立功喜报、悬挂光荣牌</w:t>
      </w:r>
      <w:r>
        <w:rPr>
          <w:rFonts w:hint="eastAsia" w:ascii="方正仿宋_GBK" w:hAnsi="方正仿宋_GBK" w:eastAsia="方正仿宋_GBK" w:cs="方正仿宋_GBK"/>
          <w:color w:val="auto"/>
          <w:kern w:val="2"/>
          <w:sz w:val="32"/>
          <w:szCs w:val="32"/>
          <w:shd w:val="clear" w:fill="FFFFFF"/>
          <w:lang w:val="en-US" w:eastAsia="zh-CN" w:bidi="ar"/>
        </w:rPr>
        <w:t>和“八一”</w:t>
      </w:r>
      <w:r>
        <w:rPr>
          <w:rFonts w:hint="default" w:ascii="Times New Roman" w:hAnsi="Times New Roman" w:eastAsia="方正仿宋_GBK" w:cs="Times New Roman"/>
          <w:color w:val="auto"/>
          <w:kern w:val="2"/>
          <w:sz w:val="32"/>
          <w:szCs w:val="32"/>
          <w:shd w:val="clear" w:fill="FFFFFF"/>
          <w:lang w:val="en-US" w:eastAsia="zh-CN" w:bidi="ar"/>
        </w:rPr>
        <w:t>、春节等节日以及重大变故走访慰问等具体事务，搭建政策咨询、帮扶援助、沟通联系、学习交流等活动场所，把党和政府的关怀温暖送到每一个退役军人身边。承办镇党委、镇政府交办的其他工作。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eastAsia="zh-CN"/>
        </w:rPr>
      </w:pPr>
      <w:r>
        <w:rPr>
          <w:rStyle w:val="8"/>
          <w:rFonts w:hint="default" w:ascii="Times New Roman" w:hAnsi="Times New Roman" w:eastAsia="方正楷体_GBK" w:cs="Times New Roman"/>
          <w:b w:val="0"/>
          <w:bCs/>
          <w:sz w:val="32"/>
          <w:szCs w:val="32"/>
          <w:shd w:val="clear" w:color="auto" w:fill="FFFFFF"/>
          <w:lang w:eastAsia="zh-CN"/>
        </w:rPr>
        <w:t>（二）机构设置</w:t>
      </w:r>
    </w:p>
    <w:p>
      <w:pPr>
        <w:pStyle w:val="6"/>
        <w:keepNext w:val="0"/>
        <w:keepLines w:val="0"/>
        <w:pageBreakBefore w:val="0"/>
        <w:widowControl/>
        <w:shd w:val="clear" w:fill="FFFFFF"/>
        <w:kinsoku/>
        <w:wordWrap/>
        <w:overflowPunct/>
        <w:topLinePunct w:val="0"/>
        <w:autoSpaceDN/>
        <w:bidi w:val="0"/>
        <w:adjustRightInd/>
        <w:spacing w:beforeAutospacing="0" w:after="0" w:afterAutospacing="0" w:line="560" w:lineRule="exact"/>
        <w:ind w:left="0" w:firstLine="640" w:firstLineChars="200"/>
        <w:jc w:val="both"/>
        <w:textAlignment w:val="auto"/>
        <w:rPr>
          <w:rFonts w:hint="default" w:ascii="Times New Roman" w:hAnsi="Times New Roman" w:eastAsia="方正仿宋_GBK" w:cs="Times New Roman"/>
          <w:color w:val="auto"/>
          <w:sz w:val="32"/>
          <w:szCs w:val="32"/>
          <w:shd w:val="clear" w:fill="FFFFFF"/>
          <w:lang w:val="en-US"/>
        </w:rPr>
      </w:pPr>
      <w:r>
        <w:rPr>
          <w:rFonts w:hint="eastAsia" w:ascii="方正仿宋_GBK" w:hAnsi="方正仿宋_GBK" w:eastAsia="方正仿宋_GBK" w:cs="方正仿宋_GBK"/>
          <w:color w:val="auto"/>
          <w:sz w:val="32"/>
          <w:szCs w:val="32"/>
          <w:shd w:val="clear" w:fill="FFFFFF"/>
          <w:lang w:eastAsia="zh-CN"/>
        </w:rPr>
        <w:t>秀山土家族苗族自治县妙泉镇退役军人服务站为妙泉镇人民政府下属二级单位。本单位有事业编制人员</w:t>
      </w:r>
      <w:r>
        <w:rPr>
          <w:rFonts w:hint="default" w:ascii="Times New Roman" w:hAnsi="Times New Roman" w:eastAsia="方正仿宋_GBK" w:cs="Times New Roman"/>
          <w:color w:val="auto"/>
          <w:sz w:val="32"/>
          <w:szCs w:val="32"/>
          <w:shd w:val="clear" w:fill="FFFFFF"/>
          <w:lang w:val="en-US" w:eastAsia="zh-CN"/>
        </w:rPr>
        <w:t>2</w:t>
      </w:r>
      <w:r>
        <w:rPr>
          <w:rFonts w:hint="eastAsia" w:ascii="方正仿宋_GBK" w:hAnsi="方正仿宋_GBK" w:eastAsia="方正仿宋_GBK" w:cs="方正仿宋_GBK"/>
          <w:color w:val="auto"/>
          <w:sz w:val="32"/>
          <w:szCs w:val="32"/>
          <w:shd w:val="clear" w:fill="FFFFFF"/>
          <w:lang w:eastAsia="zh-CN"/>
        </w:rPr>
        <w:t>名</w:t>
      </w:r>
      <w:r>
        <w:rPr>
          <w:rFonts w:hint="default" w:ascii="Times New Roman" w:hAnsi="Times New Roman" w:eastAsia="方正仿宋_GBK" w:cs="Times New Roman"/>
          <w:color w:val="auto"/>
          <w:sz w:val="32"/>
          <w:szCs w:val="32"/>
          <w:shd w:val="clear"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2023年度收入总计49.40万元，支出总计</w:t>
      </w:r>
      <w:r>
        <w:rPr>
          <w:rFonts w:hint="default" w:ascii="Times New Roman" w:hAnsi="Times New Roman" w:eastAsia="方正仿宋_GBK" w:cs="Times New Roman"/>
          <w:sz w:val="32"/>
          <w:szCs w:val="32"/>
        </w:rPr>
        <w:t>49.40</w:t>
      </w:r>
      <w:r>
        <w:rPr>
          <w:rFonts w:hint="default" w:ascii="Times New Roman" w:hAnsi="Times New Roman" w:eastAsia="方正仿宋_GBK" w:cs="Times New Roman"/>
          <w:sz w:val="32"/>
          <w:szCs w:val="32"/>
          <w:shd w:val="clear" w:color="auto" w:fill="FFFFFF"/>
        </w:rPr>
        <w:t>万元。收支较上年决算数增加49.40万元，增长100.00%，主要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2023年度收入合计49.40万元，较上年决算数增加49.40万元，增长100.00%，</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49.40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49.40</w:t>
      </w:r>
      <w:r>
        <w:rPr>
          <w:rFonts w:hint="default" w:ascii="Times New Roman" w:hAnsi="Times New Roman" w:eastAsia="方正仿宋_GBK" w:cs="Times New Roman"/>
          <w:sz w:val="32"/>
          <w:szCs w:val="32"/>
          <w:shd w:val="clear" w:color="auto" w:fill="FFFFFF"/>
        </w:rPr>
        <w:t>万元，较上年决算数增加49.40万元，增长100.00%，主要原因是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社会保障和就业支出</w:t>
      </w:r>
      <w:r>
        <w:rPr>
          <w:rFonts w:hint="default" w:ascii="Times New Roman" w:hAnsi="Times New Roman" w:eastAsia="方正仿宋_GBK" w:cs="Times New Roman"/>
          <w:sz w:val="32"/>
          <w:szCs w:val="32"/>
          <w:shd w:val="clear" w:color="auto" w:fill="FFFFFF"/>
          <w:lang w:val="en-US" w:eastAsia="zh-CN"/>
        </w:rPr>
        <w:t>45.24万元，</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lang w:val="en-US" w:eastAsia="zh-CN"/>
        </w:rPr>
        <w:t>2.15万元，</w:t>
      </w:r>
      <w:r>
        <w:rPr>
          <w:rFonts w:hint="default" w:ascii="Times New Roman" w:hAnsi="Times New Roman" w:eastAsia="方正仿宋_GBK" w:cs="Times New Roman"/>
          <w:sz w:val="32"/>
          <w:szCs w:val="32"/>
          <w:shd w:val="clear" w:color="auto" w:fill="FFFFFF"/>
        </w:rPr>
        <w:t>住房保障支出</w:t>
      </w:r>
      <w:r>
        <w:rPr>
          <w:rFonts w:hint="default" w:ascii="Times New Roman" w:hAnsi="Times New Roman" w:eastAsia="方正仿宋_GBK" w:cs="Times New Roman"/>
          <w:sz w:val="32"/>
          <w:szCs w:val="32"/>
          <w:shd w:val="clear" w:color="auto" w:fill="FFFFFF"/>
          <w:lang w:val="en-US" w:eastAsia="zh-CN"/>
        </w:rPr>
        <w:t>2.01万元。</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48.50</w:t>
      </w:r>
      <w:r>
        <w:rPr>
          <w:rFonts w:hint="default" w:ascii="Times New Roman" w:hAnsi="Times New Roman" w:eastAsia="方正仿宋_GBK" w:cs="Times New Roman"/>
          <w:sz w:val="32"/>
          <w:szCs w:val="32"/>
          <w:shd w:val="clear" w:color="auto" w:fill="FFFFFF"/>
        </w:rPr>
        <w:t>万元，占98.18%；项目支出</w:t>
      </w:r>
      <w:r>
        <w:rPr>
          <w:rFonts w:hint="default" w:ascii="Times New Roman" w:hAnsi="Times New Roman" w:eastAsia="方正仿宋_GBK" w:cs="Times New Roman"/>
          <w:sz w:val="32"/>
          <w:szCs w:val="32"/>
        </w:rPr>
        <w:t>0.90</w:t>
      </w:r>
      <w:r>
        <w:rPr>
          <w:rFonts w:hint="default" w:ascii="Times New Roman" w:hAnsi="Times New Roman" w:eastAsia="方正仿宋_GBK" w:cs="Times New Roman"/>
          <w:sz w:val="32"/>
          <w:szCs w:val="32"/>
          <w:shd w:val="clear" w:color="auto" w:fill="FFFFFF"/>
        </w:rPr>
        <w:t>万元，占1.82%；经营支出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2023年度财政拨款收、支总计49.40万元。与2022年相比，财政拨款收、支总计各增加49.40万元，增长100.00%。主要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49.40</w:t>
      </w:r>
      <w:r>
        <w:rPr>
          <w:rFonts w:hint="default" w:ascii="Times New Roman" w:hAnsi="Times New Roman" w:eastAsia="方正仿宋_GBK" w:cs="Times New Roman"/>
          <w:sz w:val="32"/>
          <w:szCs w:val="32"/>
          <w:shd w:val="clear" w:color="auto" w:fill="FFFFFF"/>
        </w:rPr>
        <w:t>万元，较上年决算数增加49.40万元，增长100.00%。主要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较年初预算数减少7.28万元，下降12.84%。主要原因是</w:t>
      </w:r>
      <w:r>
        <w:rPr>
          <w:rFonts w:hint="default" w:ascii="Times New Roman" w:hAnsi="Times New Roman" w:eastAsia="方正仿宋_GBK" w:cs="Times New Roman"/>
          <w:sz w:val="32"/>
          <w:szCs w:val="32"/>
          <w:shd w:val="clear" w:color="auto" w:fill="FFFFFF"/>
          <w:lang w:val="en-US" w:eastAsia="zh-CN"/>
        </w:rPr>
        <w:t>部门横向拨款数减少。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49.40</w:t>
      </w:r>
      <w:r>
        <w:rPr>
          <w:rFonts w:hint="default" w:ascii="Times New Roman" w:hAnsi="Times New Roman" w:eastAsia="方正仿宋_GBK" w:cs="Times New Roman"/>
          <w:sz w:val="32"/>
          <w:szCs w:val="32"/>
          <w:shd w:val="clear" w:color="auto" w:fill="FFFFFF"/>
        </w:rPr>
        <w:t>万元，较上年决算数增加49.40万元，增长100.00%。主要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较年初预算数减少9.33万元，下降15.89%。主要原因是</w:t>
      </w:r>
      <w:r>
        <w:rPr>
          <w:rFonts w:hint="default" w:ascii="Times New Roman" w:hAnsi="Times New Roman" w:eastAsia="方正仿宋_GBK" w:cs="Times New Roman"/>
          <w:sz w:val="32"/>
          <w:szCs w:val="32"/>
          <w:shd w:val="clear" w:color="auto" w:fill="FFFFFF"/>
          <w:lang w:val="en-US" w:eastAsia="zh-CN"/>
        </w:rPr>
        <w:t>基</w:t>
      </w:r>
      <w:r>
        <w:rPr>
          <w:rFonts w:hint="default" w:ascii="Times New Roman" w:hAnsi="Times New Roman" w:eastAsia="方正仿宋_GBK" w:cs="Times New Roman"/>
          <w:kern w:val="2"/>
          <w:sz w:val="31"/>
          <w:szCs w:val="31"/>
          <w:shd w:val="clear" w:fill="FFFFFF"/>
          <w:lang w:val="en-US" w:eastAsia="zh-CN" w:bidi="ar"/>
        </w:rPr>
        <w:t>本支出及项目支出较上一年减少。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45.24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91.59</w:t>
      </w:r>
      <w:r>
        <w:rPr>
          <w:rFonts w:hint="default" w:ascii="Times New Roman" w:hAnsi="Times New Roman" w:eastAsia="方正仿宋_GBK" w:cs="Times New Roman"/>
          <w:sz w:val="32"/>
          <w:szCs w:val="32"/>
          <w:shd w:val="clear" w:color="auto" w:fill="FFFFFF"/>
        </w:rPr>
        <w:t>%，较年初预算数减少7.07万元，下降13.52%，主要原因是</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kern w:val="2"/>
          <w:sz w:val="31"/>
          <w:szCs w:val="31"/>
          <w:shd w:val="clear" w:fill="FFFFFF"/>
          <w:lang w:val="en-US" w:eastAsia="zh-CN" w:bidi="ar"/>
        </w:rPr>
        <w:t>了人员津补贴调标。</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4.35</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val="en-US" w:eastAsia="zh-CN"/>
        </w:rPr>
        <w:t>把控严格，按计划支出。</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4.06</w:t>
      </w:r>
      <w:r>
        <w:rPr>
          <w:rFonts w:hint="default" w:ascii="Times New Roman" w:hAnsi="Times New Roman" w:eastAsia="方正仿宋_GBK" w:cs="Times New Roman"/>
          <w:sz w:val="32"/>
          <w:szCs w:val="32"/>
          <w:shd w:val="clear" w:color="auto" w:fill="FFFFFF"/>
        </w:rPr>
        <w:t>%，较年初预算数减少2.26万元，下降52.93%，主要原因是</w:t>
      </w:r>
      <w:r>
        <w:rPr>
          <w:rFonts w:hint="default" w:ascii="Times New Roman" w:hAnsi="Times New Roman" w:eastAsia="方正仿宋_GBK" w:cs="Times New Roman"/>
          <w:kern w:val="2"/>
          <w:sz w:val="31"/>
          <w:szCs w:val="31"/>
          <w:shd w:val="clear" w:fill="FFFFFF"/>
          <w:lang w:val="en-US" w:eastAsia="zh-CN" w:bidi="ar"/>
        </w:rPr>
        <w:t>人员有变动，住房保障支出减少。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48.50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42.83</w:t>
      </w:r>
      <w:r>
        <w:rPr>
          <w:rFonts w:hint="default" w:ascii="Times New Roman" w:hAnsi="Times New Roman" w:eastAsia="方正仿宋_GBK" w:cs="Times New Roman"/>
          <w:sz w:val="32"/>
          <w:szCs w:val="32"/>
          <w:shd w:val="clear" w:color="auto" w:fill="FFFFFF"/>
        </w:rPr>
        <w:t>万元，较上年决算数增加42.83万元，增长100.00%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人员经费用途主要包括社会保障和就业支出</w:t>
      </w:r>
      <w:r>
        <w:rPr>
          <w:rFonts w:hint="default" w:ascii="Times New Roman" w:hAnsi="Times New Roman" w:eastAsia="方正仿宋_GBK" w:cs="Times New Roman"/>
          <w:sz w:val="32"/>
          <w:szCs w:val="32"/>
          <w:shd w:val="clear" w:color="auto" w:fill="FFFFFF"/>
          <w:lang w:eastAsia="zh-CN"/>
        </w:rPr>
        <w:t>、卫生健康支出、住房保障支出。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5.67</w:t>
      </w:r>
      <w:r>
        <w:rPr>
          <w:rFonts w:hint="default" w:ascii="Times New Roman" w:hAnsi="Times New Roman" w:eastAsia="方正仿宋_GBK" w:cs="Times New Roman"/>
          <w:sz w:val="32"/>
          <w:szCs w:val="32"/>
          <w:shd w:val="clear" w:color="auto" w:fill="FFFFFF"/>
        </w:rPr>
        <w:t>万元，较上年决算数增加5.67万元，增长100.00%，主要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公用经费用途主要包括社会保障和就业支出</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w:t>
      </w:r>
      <w:r>
        <w:rPr>
          <w:rStyle w:val="8"/>
          <w:rFonts w:hint="eastAsia" w:ascii="方正黑体_GBK" w:hAnsi="方正黑体_GBK" w:eastAsia="方正黑体_GBK" w:cs="方正黑体_GBK"/>
          <w:b w:val="0"/>
          <w:bCs/>
          <w:sz w:val="32"/>
          <w:szCs w:val="32"/>
          <w:shd w:val="clear" w:color="auto" w:fill="FFFFFF"/>
          <w:lang w:eastAsia="zh-CN"/>
        </w:rPr>
        <w:t>“三公”经费</w:t>
      </w:r>
      <w:r>
        <w:rPr>
          <w:rStyle w:val="8"/>
          <w:rFonts w:hint="default" w:ascii="Times New Roman" w:hAnsi="Times New Roman" w:eastAsia="方正黑体_GBK" w:cs="Times New Roman"/>
          <w:b w:val="0"/>
          <w:bCs/>
          <w:sz w:val="32"/>
          <w:szCs w:val="32"/>
          <w:shd w:val="clear" w:color="auto" w:fill="FFFFFF"/>
          <w:lang w:eastAsia="zh-CN"/>
        </w:rPr>
        <w:t>情况说明</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eastAsia" w:ascii="Times New Roman" w:hAnsi="Times New Roman" w:eastAsia="方正仿宋_GBK" w:cs="Times New Roman"/>
          <w:b w:val="0"/>
          <w:bCs w:val="0"/>
          <w:sz w:val="32"/>
          <w:szCs w:val="32"/>
          <w:shd w:val="clear" w:color="auto" w:fill="FFFFFF"/>
          <w:lang w:val="en-US" w:eastAsia="zh-CN"/>
        </w:rPr>
        <w:t>妙泉</w:t>
      </w:r>
      <w:r>
        <w:rPr>
          <w:rFonts w:hint="default" w:ascii="Times New Roman" w:hAnsi="Times New Roman" w:eastAsia="方正仿宋_GBK" w:cs="Times New Roman"/>
          <w:b w:val="0"/>
          <w:bCs w:val="0"/>
          <w:sz w:val="32"/>
          <w:szCs w:val="32"/>
          <w:shd w:val="clear" w:color="auto" w:fill="FFFFFF"/>
          <w:lang w:val="en-US" w:eastAsia="zh-CN"/>
        </w:rPr>
        <w:t>镇人民政府下属二级单位，</w:t>
      </w:r>
      <w:r>
        <w:rPr>
          <w:rFonts w:hint="eastAsia" w:ascii="Times New Roman" w:hAnsi="Times New Roman" w:eastAsia="方正仿宋_GBK" w:cs="Times New Roman"/>
          <w:b w:val="0"/>
          <w:bCs w:val="0"/>
          <w:sz w:val="32"/>
          <w:szCs w:val="32"/>
          <w:shd w:val="clear" w:color="auto" w:fill="FFFFFF"/>
          <w:lang w:val="en-US" w:eastAsia="zh-CN"/>
        </w:rPr>
        <w:t>三公经费预算及支出由本级统一核算，我单位无相关支出。</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（二）“三公”经费分项支出情况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（三）“三公”经费实物量情况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w:t>
      </w:r>
      <w:r>
        <w:rPr>
          <w:rFonts w:hint="default" w:ascii="Times New Roman" w:hAnsi="Times New Roman" w:eastAsia="方正仿宋_GBK" w:cs="Times New Roman"/>
          <w:sz w:val="32"/>
          <w:szCs w:val="32"/>
          <w:shd w:val="clear" w:color="auto" w:fill="FFFFFF"/>
          <w:lang w:val="en-US" w:eastAsia="zh-CN"/>
        </w:rPr>
        <w:t>是落实财政过紧日子要求，压减会议经费支出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万元，较上年决算数增加0.16万元，增长100.00%，主要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eastAsia="zh-CN"/>
        </w:rPr>
        <w:t>（一）</w:t>
      </w:r>
      <w:r>
        <w:rPr>
          <w:rStyle w:val="8"/>
          <w:rFonts w:hint="default" w:ascii="Times New Roman" w:hAnsi="Times New Roman" w:eastAsia="方正楷体_GBK" w:cs="Times New Roman"/>
          <w:b w:val="0"/>
          <w:bCs/>
          <w:sz w:val="32"/>
          <w:szCs w:val="32"/>
          <w:shd w:val="clear" w:color="auto" w:fill="FFFFFF"/>
        </w:rPr>
        <w:t>单位自评情况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0.90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tbl>
      <w:tblPr>
        <w:tblStyle w:val="9"/>
        <w:tblW w:w="8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7"/>
        <w:gridCol w:w="621"/>
        <w:gridCol w:w="1761"/>
        <w:gridCol w:w="522"/>
        <w:gridCol w:w="697"/>
        <w:gridCol w:w="697"/>
        <w:gridCol w:w="697"/>
        <w:gridCol w:w="697"/>
        <w:gridCol w:w="697"/>
        <w:gridCol w:w="697"/>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3" w:hRule="atLeast"/>
        </w:trPr>
        <w:tc>
          <w:tcPr>
            <w:tcW w:w="83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right="0"/>
              <w:jc w:val="center"/>
              <w:textAlignment w:val="center"/>
              <w:outlineLvl w:val="9"/>
              <w:rPr>
                <w:rFonts w:hint="eastAsia" w:ascii="宋体" w:hAnsi="宋体" w:eastAsia="宋体" w:cs="宋体"/>
                <w:b w:val="0"/>
                <w:bCs w:val="0"/>
                <w:i w:val="0"/>
                <w:color w:val="000000"/>
                <w:kern w:val="0"/>
                <w:sz w:val="32"/>
                <w:szCs w:val="32"/>
                <w:u w:val="none"/>
                <w:lang w:val="en-US" w:eastAsia="zh-CN" w:bidi="ar"/>
              </w:rPr>
            </w:pPr>
            <w:r>
              <w:rPr>
                <w:rFonts w:hint="eastAsia" w:ascii="宋体" w:hAnsi="宋体" w:eastAsia="宋体" w:cs="宋体"/>
                <w:b w:val="0"/>
                <w:bCs w:val="0"/>
                <w:i w:val="0"/>
                <w:color w:val="000000"/>
                <w:kern w:val="0"/>
                <w:sz w:val="32"/>
                <w:szCs w:val="32"/>
                <w:u w:val="none"/>
                <w:lang w:val="en-US" w:eastAsia="zh-CN" w:bidi="ar"/>
              </w:rPr>
              <w:t>妙泉镇退役军人服务站</w:t>
            </w:r>
          </w:p>
          <w:p>
            <w:pPr>
              <w:keepNext w:val="0"/>
              <w:keepLines w:val="0"/>
              <w:pageBreakBefore w:val="0"/>
              <w:widowControl/>
              <w:suppressLineNumbers w:val="0"/>
              <w:kinsoku/>
              <w:wordWrap/>
              <w:overflowPunct/>
              <w:topLinePunct w:val="0"/>
              <w:autoSpaceDN/>
              <w:bidi w:val="0"/>
              <w:adjustRightInd/>
              <w:spacing w:before="0" w:beforeAutospacing="0" w:after="0" w:afterAutospacing="0" w:line="560" w:lineRule="exact"/>
              <w:ind w:left="0" w:right="0"/>
              <w:jc w:val="center"/>
              <w:textAlignment w:val="center"/>
              <w:outlineLvl w:val="9"/>
              <w:rPr>
                <w:rFonts w:hint="eastAsia" w:ascii="宋体" w:hAnsi="宋体" w:eastAsia="宋体" w:cs="宋体"/>
                <w:b w:val="0"/>
                <w:bCs w:val="0"/>
                <w:i w:val="0"/>
                <w:color w:val="000000"/>
                <w:sz w:val="32"/>
                <w:szCs w:val="32"/>
                <w:u w:val="none"/>
              </w:rPr>
            </w:pPr>
            <w:r>
              <w:rPr>
                <w:rFonts w:hint="eastAsia" w:ascii="宋体" w:hAnsi="宋体" w:eastAsia="宋体" w:cs="宋体"/>
                <w:b w:val="0"/>
                <w:bCs w:val="0"/>
                <w:i w:val="0"/>
                <w:color w:val="000000"/>
                <w:kern w:val="0"/>
                <w:sz w:val="32"/>
                <w:szCs w:val="32"/>
                <w:u w:val="none"/>
                <w:lang w:val="en-US" w:eastAsia="zh-CN" w:bidi="ar"/>
              </w:rPr>
              <w:t>2023年度项目支出绩效自评情况表（二级项目）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5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序号</w:t>
            </w:r>
          </w:p>
        </w:tc>
        <w:tc>
          <w:tcPr>
            <w:tcW w:w="6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项目名称</w:t>
            </w:r>
          </w:p>
        </w:tc>
        <w:tc>
          <w:tcPr>
            <w:tcW w:w="17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指标名称</w:t>
            </w:r>
          </w:p>
        </w:tc>
        <w:tc>
          <w:tcPr>
            <w:tcW w:w="52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指标性质</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指标值</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计量单位</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指标权重</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全年完成值</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指标得分</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说明</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9" w:hRule="atLeast"/>
        </w:trPr>
        <w:tc>
          <w:tcPr>
            <w:tcW w:w="537"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21"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全国示范退役军人服务站创建工作经费</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服务辖区内退役军人</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9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9" w:hRule="atLeast"/>
        </w:trPr>
        <w:tc>
          <w:tcPr>
            <w:tcW w:w="5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按时完工率</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9" w:hRule="atLeast"/>
        </w:trPr>
        <w:tc>
          <w:tcPr>
            <w:tcW w:w="5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使退役军人相关工作得以保障</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定性</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明显改善</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全部完成</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9" w:hRule="atLeast"/>
        </w:trPr>
        <w:tc>
          <w:tcPr>
            <w:tcW w:w="537"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退役军人对工作满意度</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bl>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bidi="ar-SA"/>
        </w:rPr>
        <w:t>县</w:t>
      </w:r>
      <w:r>
        <w:rPr>
          <w:rFonts w:hint="default" w:ascii="Times New Roman" w:hAnsi="Times New Roman" w:eastAsia="方正仿宋_GBK" w:cs="Times New Roman"/>
          <w:sz w:val="32"/>
          <w:szCs w:val="32"/>
          <w:shd w:val="clear" w:color="auto" w:fill="FFFFFF"/>
          <w:lang w:val="en-US" w:eastAsia="zh-CN" w:bidi="ar-SA"/>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w:t>
      </w:r>
      <w:r>
        <w:rPr>
          <w:rFonts w:hint="eastAsia" w:ascii="方正仿宋_GBK" w:hAnsi="方正仿宋_GBK" w:eastAsia="方正仿宋_GBK" w:cs="方正仿宋_GBK"/>
          <w:sz w:val="32"/>
          <w:szCs w:val="32"/>
          <w:shd w:val="clear" w:color="auto" w:fill="FFFFFF"/>
        </w:rPr>
        <w:t>除“财政拨款收入”、“事业收入”、“经营收入”等以</w:t>
      </w:r>
      <w:r>
        <w:rPr>
          <w:rFonts w:hint="default" w:ascii="Times New Roman" w:hAnsi="Times New Roman" w:eastAsia="方正仿宋_GBK" w:cs="Times New Roman"/>
          <w:sz w:val="32"/>
          <w:szCs w:val="32"/>
          <w:shd w:val="clear" w:color="auto" w:fill="FFFFFF"/>
        </w:rPr>
        <w:t>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w:t>
      </w:r>
      <w:r>
        <w:rPr>
          <w:rFonts w:hint="eastAsia" w:ascii="方正仿宋_GBK" w:hAnsi="方正仿宋_GBK" w:eastAsia="方正仿宋_GBK" w:cs="方正仿宋_GBK"/>
          <w:sz w:val="32"/>
          <w:szCs w:val="32"/>
          <w:shd w:val="clear" w:color="auto" w:fill="FFFFFF"/>
        </w:rPr>
        <w:t>的“财政拨款收入”、“事业收入”、“经营收入”、“其他收入”等</w:t>
      </w:r>
      <w:r>
        <w:rPr>
          <w:rFonts w:hint="default" w:ascii="Times New Roman" w:hAnsi="Times New Roman" w:eastAsia="方正仿宋_GBK" w:cs="Times New Roman"/>
          <w:sz w:val="32"/>
          <w:szCs w:val="32"/>
          <w:shd w:val="clear" w:color="auto" w:fill="FFFFFF"/>
        </w:rPr>
        <w:t>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w:t>
      </w:r>
      <w:r>
        <w:rPr>
          <w:rFonts w:hint="eastAsia" w:ascii="方正仿宋_GBK" w:hAnsi="方正仿宋_GBK" w:eastAsia="方正仿宋_GBK" w:cs="方正仿宋_GBK"/>
          <w:sz w:val="32"/>
          <w:szCs w:val="32"/>
          <w:shd w:val="clear" w:color="auto" w:fill="FFFFFF"/>
        </w:rPr>
        <w:t>的“工资福利支出”和“对个人和家庭的补助”</w:t>
      </w:r>
      <w:r>
        <w:rPr>
          <w:rFonts w:hint="default" w:ascii="Times New Roman" w:hAnsi="Times New Roman" w:eastAsia="方正仿宋_GBK" w:cs="Times New Roman"/>
          <w:sz w:val="32"/>
          <w:szCs w:val="32"/>
          <w:shd w:val="clear" w:color="auto" w:fill="FFFFFF"/>
        </w:rPr>
        <w:t>；公用经费指政府收支分类经济科目中</w:t>
      </w:r>
      <w:r>
        <w:rPr>
          <w:rFonts w:hint="eastAsia" w:ascii="方正仿宋_GBK" w:hAnsi="方正仿宋_GBK" w:eastAsia="方正仿宋_GBK" w:cs="方正仿宋_GBK"/>
          <w:sz w:val="32"/>
          <w:szCs w:val="32"/>
          <w:shd w:val="clear" w:color="auto" w:fill="FFFFFF"/>
        </w:rPr>
        <w:t>除“工资福利支出”和“对个人和家庭的补助”外</w:t>
      </w:r>
      <w:r>
        <w:rPr>
          <w:rFonts w:hint="default" w:ascii="Times New Roman" w:hAnsi="Times New Roman" w:eastAsia="方正仿宋_GBK" w:cs="Times New Roman"/>
          <w:sz w:val="32"/>
          <w:szCs w:val="32"/>
          <w:shd w:val="clear" w:color="auto" w:fill="FFFFFF"/>
        </w:rPr>
        <w:t>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Style w:val="8"/>
          <w:rFonts w:hint="default" w:ascii="Times New Roman" w:hAnsi="Times New Roman" w:eastAsia="方正仿宋_GBK" w:cs="Times New Roman"/>
          <w:b w:val="0"/>
          <w:bCs/>
          <w:sz w:val="32"/>
          <w:szCs w:val="32"/>
          <w:shd w:val="clear" w:color="auto" w:fill="FFFFFF"/>
        </w:rPr>
        <w:t>指</w:t>
      </w:r>
      <w:r>
        <w:rPr>
          <w:rFonts w:hint="default" w:ascii="Times New Roman" w:hAnsi="Times New Roman" w:eastAsia="方正仿宋_GBK" w:cs="Times New Roman"/>
          <w:sz w:val="32"/>
          <w:szCs w:val="32"/>
          <w:shd w:val="clear" w:color="auto" w:fill="FFFFFF"/>
        </w:rPr>
        <w:t>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w:t>
      </w:r>
      <w:r>
        <w:rPr>
          <w:rStyle w:val="8"/>
          <w:rFonts w:hint="eastAsia" w:ascii="方正楷体_GBK" w:hAnsi="方正楷体_GBK" w:eastAsia="方正楷体_GBK" w:cs="方正楷体_GBK"/>
          <w:b w:val="0"/>
          <w:bCs/>
          <w:sz w:val="32"/>
          <w:szCs w:val="32"/>
          <w:shd w:val="clear" w:color="auto" w:fill="FFFFFF"/>
        </w:rPr>
        <w:t>“三公”经</w:t>
      </w:r>
      <w:r>
        <w:rPr>
          <w:rStyle w:val="8"/>
          <w:rFonts w:hint="default" w:ascii="Times New Roman" w:hAnsi="Times New Roman" w:eastAsia="方正楷体_GBK" w:cs="Times New Roman"/>
          <w:b w:val="0"/>
          <w:bCs/>
          <w:sz w:val="32"/>
          <w:szCs w:val="32"/>
          <w:shd w:val="clear" w:color="auto" w:fill="FFFFFF"/>
        </w:rPr>
        <w:t>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杨光昱</w:t>
      </w:r>
      <w:r>
        <w:rPr>
          <w:rFonts w:hint="default" w:ascii="Times New Roman" w:hAnsi="Times New Roman" w:eastAsia="宋体" w:cs="Times New Roman"/>
          <w:color w:val="333333"/>
          <w:kern w:val="2"/>
          <w:sz w:val="31"/>
          <w:szCs w:val="31"/>
          <w:lang w:val="en-US" w:eastAsia="zh-CN" w:bidi="ar"/>
        </w:rPr>
        <w:t>76643180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textAlignment w:val="auto"/>
        <w:rPr>
          <w:rStyle w:val="8"/>
          <w:rFonts w:hint="default" w:ascii="Times New Roman" w:hAnsi="Times New Roman" w:eastAsia="方正仿宋_GBK" w:cs="Times New Roman"/>
          <w:sz w:val="32"/>
          <w:szCs w:val="32"/>
          <w:shd w:val="clear" w:color="auto" w:fill="FFFF00"/>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重庆市秀山土家族苗族自治县妙泉镇退役军人服务站</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49.40</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49.40</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49.40</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重庆市秀山土家族苗族自治县妙泉镇退役军人服务站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49.40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48.50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0.90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44.34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重庆市秀山土家族苗族自治县妙泉镇退役军人服务站</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48.50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0.90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44.34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39.10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440" w:lineRule="exact"/>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重庆市秀山土家族苗族自治县妙泉镇退役军人服务站</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42.83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spacing w:before="0" w:beforeAutospacing="0" w:after="0" w:afterAutospacing="0" w:line="200" w:lineRule="exact"/>
              <w:ind w:left="0" w:right="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42.83</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重庆市秀山土家族苗族自治县妙泉镇退役军人服务站</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重庆市秀山土家族苗族自治县妙泉镇退役军人服务站</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Times New Roman" w:hAnsi="Times New Roman" w:cs="Times New Roman"/>
                <w:color w:val="000000"/>
                <w:sz w:val="20"/>
                <w:szCs w:val="20"/>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bookmarkStart w:id="0" w:name="_GoBack"/>
      <w:bookmarkEnd w:id="0"/>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4C36A9"/>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267A7E"/>
    <w:rsid w:val="107B59E5"/>
    <w:rsid w:val="10EC0126"/>
    <w:rsid w:val="10F70B9A"/>
    <w:rsid w:val="111445C7"/>
    <w:rsid w:val="114278C6"/>
    <w:rsid w:val="1158083A"/>
    <w:rsid w:val="11643A4B"/>
    <w:rsid w:val="11ED0F98"/>
    <w:rsid w:val="11F03528"/>
    <w:rsid w:val="12220057"/>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160B46"/>
    <w:rsid w:val="26396DF4"/>
    <w:rsid w:val="266D5651"/>
    <w:rsid w:val="27167136"/>
    <w:rsid w:val="271B442C"/>
    <w:rsid w:val="27B23302"/>
    <w:rsid w:val="29310A5F"/>
    <w:rsid w:val="29C37A35"/>
    <w:rsid w:val="2A076083"/>
    <w:rsid w:val="2A73162E"/>
    <w:rsid w:val="2B167953"/>
    <w:rsid w:val="2B200583"/>
    <w:rsid w:val="2B8209DE"/>
    <w:rsid w:val="2C636760"/>
    <w:rsid w:val="2C6762A3"/>
    <w:rsid w:val="2FA6549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F0175A"/>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10E66"/>
    <w:rsid w:val="3E7555B1"/>
    <w:rsid w:val="3E787ED9"/>
    <w:rsid w:val="3EFF462B"/>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4739CB"/>
    <w:rsid w:val="465B470D"/>
    <w:rsid w:val="469D6AD4"/>
    <w:rsid w:val="471E6C84"/>
    <w:rsid w:val="4748792B"/>
    <w:rsid w:val="475D719D"/>
    <w:rsid w:val="47674801"/>
    <w:rsid w:val="48225EF7"/>
    <w:rsid w:val="488F422B"/>
    <w:rsid w:val="48E36915"/>
    <w:rsid w:val="48EB6572"/>
    <w:rsid w:val="492E7EB7"/>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024E99"/>
    <w:rsid w:val="578867FC"/>
    <w:rsid w:val="5842572D"/>
    <w:rsid w:val="5A3B59D6"/>
    <w:rsid w:val="5AD134D8"/>
    <w:rsid w:val="5C263CE4"/>
    <w:rsid w:val="5C5D2777"/>
    <w:rsid w:val="5CF66BF3"/>
    <w:rsid w:val="5D290C69"/>
    <w:rsid w:val="5D78605F"/>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BB2472"/>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14A24"/>
    <w:rsid w:val="764F62AB"/>
    <w:rsid w:val="765C45EC"/>
    <w:rsid w:val="768A7619"/>
    <w:rsid w:val="772E1EBA"/>
    <w:rsid w:val="781926BC"/>
    <w:rsid w:val="796D60A4"/>
    <w:rsid w:val="79A031D5"/>
    <w:rsid w:val="7A1525F7"/>
    <w:rsid w:val="7B25179D"/>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2024-09-27T02:22:40Z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