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重庆市秀山土家族苗族自治县妙泉镇</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劳动就业和社会保障服务所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贯彻执行法律、法规、规章和镇人民政府的决策部署、依法管理本辖区社会保障方面相关的公共事务。承担就业、再就业、农村富余劳动力转移，劳动和社会保障、城镇居民最低生活保障、社保救济、医疗保障服务等社会保障相关具体工作。承办镇党委、镇政府交办的其他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秀山土家族苗族自治县妙泉镇劳动就业和社会保障服务所为妙泉镇人民政府下属二级单位。本单位有事业编制人员2名。</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2023年度收入总计62.15万元，支出总计</w:t>
      </w:r>
      <w:r>
        <w:rPr>
          <w:rFonts w:hint="default" w:ascii="Times New Roman" w:hAnsi="Times New Roman" w:eastAsia="方正仿宋_GBK" w:cs="Times New Roman"/>
          <w:sz w:val="32"/>
          <w:szCs w:val="32"/>
        </w:rPr>
        <w:t>62.15</w:t>
      </w:r>
      <w:r>
        <w:rPr>
          <w:rFonts w:hint="default" w:ascii="Times New Roman" w:hAnsi="Times New Roman" w:eastAsia="方正仿宋_GBK" w:cs="Times New Roman"/>
          <w:sz w:val="32"/>
          <w:szCs w:val="32"/>
          <w:shd w:val="clear" w:color="auto" w:fill="FFFFFF"/>
        </w:rPr>
        <w:t>万元。收支较上年决算数增加62.15万元，增长100.00%，主要原因是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2023年度收入合计62.15万元，较上年决算数增加62.15万元，增长100.00%，主要原因是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62.15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62.15</w:t>
      </w:r>
      <w:r>
        <w:rPr>
          <w:rFonts w:hint="default" w:ascii="Times New Roman" w:hAnsi="Times New Roman" w:eastAsia="方正仿宋_GBK" w:cs="Times New Roman"/>
          <w:sz w:val="32"/>
          <w:szCs w:val="32"/>
          <w:shd w:val="clear" w:color="auto" w:fill="FFFFFF"/>
        </w:rPr>
        <w:t>万元，较上年决算数增加62.15万元，增长100.00%，主要原因是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35.93</w:t>
      </w:r>
      <w:r>
        <w:rPr>
          <w:rFonts w:hint="default" w:ascii="Times New Roman" w:hAnsi="Times New Roman" w:eastAsia="方正仿宋_GBK" w:cs="Times New Roman"/>
          <w:sz w:val="32"/>
          <w:szCs w:val="32"/>
          <w:shd w:val="clear" w:color="auto" w:fill="FFFFFF"/>
        </w:rPr>
        <w:t>万元，占57.81%；项目支出</w:t>
      </w:r>
      <w:r>
        <w:rPr>
          <w:rFonts w:hint="default" w:ascii="Times New Roman" w:hAnsi="Times New Roman" w:eastAsia="方正仿宋_GBK" w:cs="Times New Roman"/>
          <w:sz w:val="32"/>
          <w:szCs w:val="32"/>
        </w:rPr>
        <w:t>26.22</w:t>
      </w:r>
      <w:r>
        <w:rPr>
          <w:rFonts w:hint="default" w:ascii="Times New Roman" w:hAnsi="Times New Roman" w:eastAsia="方正仿宋_GBK" w:cs="Times New Roman"/>
          <w:sz w:val="32"/>
          <w:szCs w:val="32"/>
          <w:shd w:val="clear" w:color="auto" w:fill="FFFFFF"/>
        </w:rPr>
        <w:t>万元，占42.19%；经营支出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2023年度财政拨款收、支总计62.15万元。与2022年相比，财政拨款收、支总计各增加62.15万元，增长100.00%。主要原因是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62.15</w:t>
      </w:r>
      <w:r>
        <w:rPr>
          <w:rFonts w:hint="default" w:ascii="Times New Roman" w:hAnsi="Times New Roman" w:eastAsia="方正仿宋_GBK" w:cs="Times New Roman"/>
          <w:sz w:val="32"/>
          <w:szCs w:val="32"/>
          <w:shd w:val="clear" w:color="auto" w:fill="FFFFFF"/>
        </w:rPr>
        <w:t>万元，较上年决算数增加62.15万元，增长100.00%。主要原因是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较年初预算数增加22.05万元，增长54.99%。主要原因是社会保障和就业支出</w:t>
      </w:r>
      <w:r>
        <w:rPr>
          <w:rFonts w:hint="default" w:ascii="Times New Roman" w:hAnsi="Times New Roman" w:eastAsia="方正仿宋_GBK" w:cs="Times New Roman"/>
          <w:sz w:val="32"/>
          <w:szCs w:val="32"/>
          <w:shd w:val="clear" w:color="auto" w:fill="FFFFFF"/>
          <w:lang w:val="en-US" w:eastAsia="zh-CN"/>
        </w:rPr>
        <w:t>、卫生健康支出增加。</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62.15</w:t>
      </w:r>
      <w:r>
        <w:rPr>
          <w:rFonts w:hint="default" w:ascii="Times New Roman" w:hAnsi="Times New Roman" w:eastAsia="方正仿宋_GBK" w:cs="Times New Roman"/>
          <w:sz w:val="32"/>
          <w:szCs w:val="32"/>
          <w:shd w:val="clear" w:color="auto" w:fill="FFFFFF"/>
        </w:rPr>
        <w:t>万元，较上年决算数增加62.15万元，增长100.00%。主要原因是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较年初预算数增加15.22万元，增长32.43%。主要原因是社会保障和就业支出</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lang w:val="en-US" w:eastAsia="zh-CN"/>
        </w:rPr>
        <w:t>10.29万元、卫生健康支出增加6.58万元、住房保障支出减少1.65万元。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50.42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81.14</w:t>
      </w:r>
      <w:r>
        <w:rPr>
          <w:rFonts w:hint="default" w:ascii="Times New Roman" w:hAnsi="Times New Roman" w:eastAsia="方正仿宋_GBK" w:cs="Times New Roman"/>
          <w:sz w:val="32"/>
          <w:szCs w:val="32"/>
          <w:shd w:val="clear" w:color="auto" w:fill="FFFFFF"/>
        </w:rPr>
        <w:t>%，较年初预算数增加10.29万元，增长25.64%，主要原因是</w:t>
      </w:r>
      <w:r>
        <w:rPr>
          <w:rFonts w:hint="default" w:ascii="Times New Roman" w:hAnsi="Times New Roman" w:eastAsia="方正仿宋_GBK" w:cs="Times New Roman"/>
          <w:color w:val="auto"/>
          <w:sz w:val="32"/>
          <w:szCs w:val="32"/>
          <w:shd w:val="clear" w:color="auto" w:fill="FFFFFF"/>
          <w:lang w:val="en-US" w:eastAsia="zh-CN"/>
        </w:rPr>
        <w:t>2023年民政社会保障类事务增加。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10.36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16.66</w:t>
      </w:r>
      <w:r>
        <w:rPr>
          <w:rFonts w:hint="default" w:ascii="Times New Roman" w:hAnsi="Times New Roman" w:eastAsia="方正仿宋_GBK" w:cs="Times New Roman"/>
          <w:sz w:val="32"/>
          <w:szCs w:val="32"/>
          <w:shd w:val="clear" w:color="auto" w:fill="FFFFFF"/>
        </w:rPr>
        <w:t>%，较年初预算数增加6.58万元，增长174.07%，主要原因是</w:t>
      </w:r>
      <w:r>
        <w:rPr>
          <w:rFonts w:hint="default" w:ascii="Times New Roman" w:hAnsi="Times New Roman" w:eastAsia="方正仿宋_GBK" w:cs="Times New Roman"/>
          <w:sz w:val="32"/>
          <w:szCs w:val="32"/>
          <w:shd w:val="clear" w:color="auto" w:fill="FFFFFF"/>
          <w:lang w:eastAsia="zh-CN"/>
        </w:rPr>
        <w:t>在职人员计提基数增大。</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住房保障支出1.37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2.20</w:t>
      </w:r>
      <w:r>
        <w:rPr>
          <w:rFonts w:hint="default" w:ascii="Times New Roman" w:hAnsi="Times New Roman" w:eastAsia="方正仿宋_GBK" w:cs="Times New Roman"/>
          <w:sz w:val="32"/>
          <w:szCs w:val="32"/>
          <w:shd w:val="clear" w:color="auto" w:fill="FFFFFF"/>
        </w:rPr>
        <w:t>%，较年初预算数减少1.65万元，下降54.64%，主要原因是</w:t>
      </w:r>
      <w:r>
        <w:rPr>
          <w:rFonts w:hint="default" w:ascii="Times New Roman" w:hAnsi="Times New Roman" w:eastAsia="方正仿宋_GBK" w:cs="Times New Roman"/>
          <w:sz w:val="32"/>
          <w:szCs w:val="32"/>
          <w:shd w:val="clear" w:color="auto" w:fill="FFFFFF"/>
          <w:lang w:eastAsia="zh-CN"/>
        </w:rPr>
        <w:t>公积金调标，所以较年初预算数减少。</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35.93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32.72</w:t>
      </w:r>
      <w:r>
        <w:rPr>
          <w:rFonts w:hint="default" w:ascii="Times New Roman" w:hAnsi="Times New Roman" w:eastAsia="方正仿宋_GBK" w:cs="Times New Roman"/>
          <w:sz w:val="32"/>
          <w:szCs w:val="32"/>
          <w:shd w:val="clear" w:color="auto" w:fill="FFFFFF"/>
        </w:rPr>
        <w:t>万元，较上年决算数增加32.72万元，增长100.00%，主要原因是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eastAsia="zh-CN"/>
        </w:rPr>
        <w:t>在职职工以及三支一扶工资绩效、社保公积金配套、体检费等开支。</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3.21</w:t>
      </w:r>
      <w:r>
        <w:rPr>
          <w:rFonts w:hint="default" w:ascii="Times New Roman" w:hAnsi="Times New Roman" w:eastAsia="方正仿宋_GBK" w:cs="Times New Roman"/>
          <w:sz w:val="32"/>
          <w:szCs w:val="32"/>
          <w:shd w:val="clear" w:color="auto" w:fill="FFFFFF"/>
        </w:rPr>
        <w:t>万元，较上年决算数增加3.21万元，增长100.00%，主要原因是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eastAsia="zh-CN"/>
        </w:rPr>
        <w:t>单位水电通讯费、差旅费、食堂开支、杂志报刊费、培训费、办公室耗材费。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auto"/>
        </w:rPr>
      </w:pPr>
      <w:r>
        <w:rPr>
          <w:rStyle w:val="8"/>
          <w:rFonts w:hint="default" w:ascii="Times New Roman" w:hAnsi="Times New Roman" w:eastAsia="方正仿宋_GBK" w:cs="Times New Roman"/>
          <w:b w:val="0"/>
          <w:bCs/>
          <w:sz w:val="32"/>
          <w:szCs w:val="32"/>
          <w:shd w:val="clear" w:color="auto" w:fill="auto"/>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shd w:val="clear" w:color="auto" w:fill="auto"/>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rPr>
        <w:t>“三公”经</w:t>
      </w:r>
      <w:r>
        <w:rPr>
          <w:rStyle w:val="8"/>
          <w:rFonts w:hint="default" w:ascii="Times New Roman" w:hAnsi="Times New Roman" w:eastAsia="方正黑体_GBK" w:cs="Times New Roman"/>
          <w:b w:val="0"/>
          <w:bCs/>
          <w:sz w:val="32"/>
          <w:szCs w:val="32"/>
          <w:shd w:val="clear" w:color="auto" w:fill="FFFFFF"/>
        </w:rPr>
        <w:t>费情况说明</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（一）“三公”经费支出总体情况说明</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2023年度“三公”经费支出共计0.00万元，较年初预算数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w:t>
      </w:r>
      <w:r>
        <w:rPr>
          <w:rFonts w:hint="eastAsia" w:ascii="Times New Roman" w:hAnsi="Times New Roman" w:eastAsia="方正仿宋_GBK" w:cs="Times New Roman"/>
          <w:b w:val="0"/>
          <w:bCs w:val="0"/>
          <w:sz w:val="32"/>
          <w:szCs w:val="32"/>
          <w:shd w:val="clear" w:color="auto" w:fill="FFFFFF"/>
          <w:lang w:val="en-US" w:eastAsia="zh-CN"/>
        </w:rPr>
        <w:t>妙泉</w:t>
      </w:r>
      <w:r>
        <w:rPr>
          <w:rFonts w:hint="default" w:ascii="Times New Roman" w:hAnsi="Times New Roman" w:eastAsia="方正仿宋_GBK" w:cs="Times New Roman"/>
          <w:b w:val="0"/>
          <w:bCs w:val="0"/>
          <w:sz w:val="32"/>
          <w:szCs w:val="32"/>
          <w:shd w:val="clear" w:color="auto" w:fill="FFFFFF"/>
          <w:lang w:val="en-US" w:eastAsia="zh-CN"/>
        </w:rPr>
        <w:t>镇人民政府下属二级单位，</w:t>
      </w:r>
      <w:r>
        <w:rPr>
          <w:rFonts w:hint="eastAsia" w:ascii="Times New Roman" w:hAnsi="Times New Roman" w:eastAsia="方正仿宋_GBK" w:cs="Times New Roman"/>
          <w:b w:val="0"/>
          <w:bCs w:val="0"/>
          <w:sz w:val="32"/>
          <w:szCs w:val="32"/>
          <w:shd w:val="clear" w:color="auto" w:fill="FFFFFF"/>
          <w:lang w:val="en-US" w:eastAsia="zh-CN"/>
        </w:rPr>
        <w:t>三公经费预算及支出由本级统一核算，我单位无相关支出。</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（二）“三公”经费分项支出情况</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2023年度本单位因公出国（境）费用0.00万元，较年初预算数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公务车购置费0.00万元，较年初预算数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公务车运行维护费0.00万元</w:t>
      </w:r>
      <w:r>
        <w:rPr>
          <w:rFonts w:hint="default"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公务接待费0.00万元，较年初预算数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（三）“三公”经费实物量情况</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万元，较上年决算数无增减，主要原因是本年度</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会议费支出。本年度培训费支出</w:t>
      </w:r>
      <w:r>
        <w:rPr>
          <w:rFonts w:hint="default" w:ascii="Times New Roman" w:hAnsi="Times New Roman" w:eastAsia="方正仿宋_GBK" w:cs="Times New Roman"/>
          <w:sz w:val="32"/>
          <w:szCs w:val="32"/>
        </w:rPr>
        <w:t>0.12</w:t>
      </w:r>
      <w:r>
        <w:rPr>
          <w:rFonts w:hint="default" w:ascii="Times New Roman" w:hAnsi="Times New Roman" w:eastAsia="方正仿宋_GBK" w:cs="Times New Roman"/>
          <w:sz w:val="32"/>
          <w:szCs w:val="32"/>
          <w:shd w:val="clear" w:color="auto" w:fill="FFFFFF"/>
        </w:rPr>
        <w:t>万元，较上年决算数增加0.12万元，增长100.00%，主要原因是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（二）机关运行经费情况说明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按照部门决算填报口径，我单位不在机关运行经费统计范围之内。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highlight w:val="yellow"/>
          <w:shd w:val="clear" w:color="auto" w:fill="FFFFFF"/>
          <w:lang w:val="en-US" w:eastAsia="zh-CN"/>
        </w:rPr>
      </w:pPr>
      <w:r>
        <w:rPr>
          <w:rFonts w:hint="default" w:ascii="Times New Roman" w:hAnsi="Times New Roman" w:eastAsia="方正仿宋_GBK" w:cs="Times New Roman"/>
          <w:sz w:val="32"/>
          <w:szCs w:val="32"/>
          <w:shd w:val="clear" w:color="auto" w:fill="FFFFFF"/>
        </w:rPr>
        <w:t>根据预算绩效管理要求，我单位对部门整体</w:t>
      </w:r>
      <w:r>
        <w:rPr>
          <w:rFonts w:hint="default" w:ascii="Times New Roman" w:hAnsi="Times New Roman" w:eastAsia="方正仿宋_GBK" w:cs="Times New Roman"/>
          <w:sz w:val="32"/>
          <w:szCs w:val="32"/>
          <w:highlight w:val="none"/>
          <w:shd w:val="clear" w:color="auto" w:fill="FFFFFF"/>
          <w:lang w:val="en-US" w:eastAsia="zh-CN"/>
        </w:rPr>
        <w:t>13</w:t>
      </w:r>
      <w:r>
        <w:rPr>
          <w:rFonts w:hint="default" w:ascii="Times New Roman" w:hAnsi="Times New Roman" w:eastAsia="方正仿宋_GBK" w:cs="Times New Roman"/>
          <w:sz w:val="32"/>
          <w:szCs w:val="32"/>
          <w:highlight w:val="none"/>
          <w:shd w:val="clear" w:color="auto" w:fill="FFFFFF"/>
        </w:rPr>
        <w:t>个</w:t>
      </w:r>
      <w:r>
        <w:rPr>
          <w:rFonts w:hint="default" w:ascii="Times New Roman" w:hAnsi="Times New Roman" w:eastAsia="方正仿宋_GBK" w:cs="Times New Roman"/>
          <w:sz w:val="32"/>
          <w:szCs w:val="32"/>
          <w:shd w:val="clear" w:color="auto" w:fill="FFFFFF"/>
        </w:rPr>
        <w:t>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26.22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w:t>
      </w:r>
    </w:p>
    <w:tbl>
      <w:tblPr>
        <w:tblStyle w:val="9"/>
        <w:tblW w:w="8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7"/>
        <w:gridCol w:w="621"/>
        <w:gridCol w:w="1746"/>
        <w:gridCol w:w="15"/>
        <w:gridCol w:w="522"/>
        <w:gridCol w:w="697"/>
        <w:gridCol w:w="697"/>
        <w:gridCol w:w="697"/>
        <w:gridCol w:w="697"/>
        <w:gridCol w:w="697"/>
        <w:gridCol w:w="697"/>
        <w:gridCol w:w="674"/>
        <w:gridCol w:w="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13" w:hRule="atLeast"/>
        </w:trPr>
        <w:tc>
          <w:tcPr>
            <w:tcW w:w="832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60" w:lineRule="exact"/>
              <w:jc w:val="center"/>
              <w:textAlignment w:val="center"/>
              <w:outlineLvl w:val="9"/>
              <w:rPr>
                <w:rFonts w:hint="eastAsia" w:ascii="宋体" w:hAnsi="宋体" w:eastAsia="宋体" w:cs="宋体"/>
                <w:b w:val="0"/>
                <w:bCs w:val="0"/>
                <w:i w:val="0"/>
                <w:color w:val="000000"/>
                <w:kern w:val="0"/>
                <w:sz w:val="32"/>
                <w:szCs w:val="32"/>
                <w:u w:val="none"/>
                <w:lang w:val="en-US" w:eastAsia="zh-CN" w:bidi="ar"/>
              </w:rPr>
            </w:pPr>
            <w:r>
              <w:rPr>
                <w:rFonts w:hint="eastAsia" w:ascii="宋体" w:hAnsi="宋体" w:eastAsia="宋体" w:cs="宋体"/>
                <w:b w:val="0"/>
                <w:bCs w:val="0"/>
                <w:i w:val="0"/>
                <w:color w:val="000000"/>
                <w:kern w:val="0"/>
                <w:sz w:val="32"/>
                <w:szCs w:val="32"/>
                <w:u w:val="none"/>
                <w:lang w:val="en-US" w:eastAsia="zh-CN" w:bidi="ar"/>
              </w:rPr>
              <w:t>妙泉镇劳动就业和社会保障服务所</w:t>
            </w:r>
          </w:p>
          <w:p>
            <w:pPr>
              <w:keepNext w:val="0"/>
              <w:keepLines w:val="0"/>
              <w:pageBreakBefore w:val="0"/>
              <w:widowControl/>
              <w:suppressLineNumbers w:val="0"/>
              <w:kinsoku/>
              <w:wordWrap/>
              <w:overflowPunct/>
              <w:topLinePunct w:val="0"/>
              <w:autoSpaceDN/>
              <w:bidi w:val="0"/>
              <w:adjustRightInd/>
              <w:spacing w:line="560" w:lineRule="exact"/>
              <w:jc w:val="center"/>
              <w:textAlignment w:val="center"/>
              <w:outlineLvl w:val="9"/>
              <w:rPr>
                <w:rFonts w:hint="eastAsia" w:ascii="宋体" w:hAnsi="宋体" w:eastAsia="宋体" w:cs="宋体"/>
                <w:b w:val="0"/>
                <w:bCs w:val="0"/>
                <w:i w:val="0"/>
                <w:color w:val="000000"/>
                <w:sz w:val="32"/>
                <w:szCs w:val="32"/>
                <w:u w:val="none"/>
              </w:rPr>
            </w:pPr>
            <w:r>
              <w:rPr>
                <w:rFonts w:hint="eastAsia" w:ascii="宋体" w:hAnsi="宋体" w:eastAsia="宋体" w:cs="宋体"/>
                <w:b w:val="0"/>
                <w:bCs w:val="0"/>
                <w:i w:val="0"/>
                <w:color w:val="000000"/>
                <w:kern w:val="0"/>
                <w:sz w:val="32"/>
                <w:szCs w:val="32"/>
                <w:u w:val="none"/>
                <w:lang w:val="en-US" w:eastAsia="zh-CN" w:bidi="ar"/>
              </w:rPr>
              <w:t>2023年度项目支出绩效自评情况表（二级项目）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5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序号</w:t>
            </w:r>
          </w:p>
        </w:tc>
        <w:tc>
          <w:tcPr>
            <w:tcW w:w="62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项目名称</w:t>
            </w:r>
          </w:p>
        </w:tc>
        <w:tc>
          <w:tcPr>
            <w:tcW w:w="176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指标名称</w:t>
            </w:r>
          </w:p>
        </w:tc>
        <w:tc>
          <w:tcPr>
            <w:tcW w:w="52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指标性质</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指标值</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计量单位</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指标权重</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全年完成值</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指标得分</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说明</w:t>
            </w:r>
          </w:p>
        </w:tc>
        <w:tc>
          <w:tcPr>
            <w:tcW w:w="697"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537"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621"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特困人员经费</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对特困人员、家庭提供经济上的补助</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9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提升困难群众生活水平</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定性</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明显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全部完成</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9"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受益人数</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53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特困人员安埋费</w:t>
            </w: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补贴标准</w:t>
            </w:r>
          </w:p>
        </w:tc>
        <w:tc>
          <w:tcPr>
            <w:tcW w:w="52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元/人</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53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资金及时发放率</w:t>
            </w:r>
          </w:p>
        </w:tc>
        <w:tc>
          <w:tcPr>
            <w:tcW w:w="52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53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受益人数</w:t>
            </w:r>
          </w:p>
        </w:tc>
        <w:tc>
          <w:tcPr>
            <w:tcW w:w="52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53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特困人员家庭满意度</w:t>
            </w:r>
          </w:p>
        </w:tc>
        <w:tc>
          <w:tcPr>
            <w:tcW w:w="52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gridAfter w:val="1"/>
          <w:wAfter w:w="23" w:type="dxa"/>
          <w:trHeight w:val="611" w:hRule="atLeast"/>
        </w:trPr>
        <w:tc>
          <w:tcPr>
            <w:tcW w:w="537" w:type="dxa"/>
            <w:vMerge w:val="restart"/>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621"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残疾人数据动态更新工作经费</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残疾人数量</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438</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438</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gridAfter w:val="1"/>
          <w:wAfter w:w="23" w:type="dxa"/>
          <w:trHeight w:val="611" w:hRule="atLeast"/>
        </w:trPr>
        <w:tc>
          <w:tcPr>
            <w:tcW w:w="537" w:type="dxa"/>
            <w:vMerge w:val="continue"/>
            <w:tcBorders>
              <w:top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资金拨付率</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Ex>
        <w:trPr>
          <w:gridAfter w:val="1"/>
          <w:wAfter w:w="23" w:type="dxa"/>
          <w:trHeight w:val="906" w:hRule="atLeast"/>
        </w:trPr>
        <w:tc>
          <w:tcPr>
            <w:tcW w:w="537" w:type="dxa"/>
            <w:vMerge w:val="continue"/>
            <w:tcBorders>
              <w:top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工作经费标准</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元/人</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r>
    </w:tbl>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b w:val="0"/>
          <w:bCs w:val="0"/>
          <w:sz w:val="32"/>
          <w:szCs w:val="32"/>
          <w:highlight w:val="none"/>
          <w:shd w:val="clear" w:color="auto" w:fill="auto"/>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bCs/>
          <w:sz w:val="32"/>
          <w:szCs w:val="32"/>
          <w:shd w:val="clear" w:color="FFFFFF" w:fill="D9D9D9"/>
        </w:rPr>
      </w:pPr>
      <w:r>
        <w:rPr>
          <w:rStyle w:val="8"/>
          <w:rFonts w:hint="default" w:ascii="Times New Roman" w:hAnsi="Times New Roman" w:eastAsia="方正楷体_GBK" w:cs="Times New Roman"/>
          <w:b w:val="0"/>
          <w:bCs/>
          <w:sz w:val="32"/>
          <w:szCs w:val="32"/>
          <w:shd w:val="clear" w:color="auto" w:fill="FFFFFF"/>
          <w:lang w:val="en-US" w:eastAsia="zh-CN" w:bidi="ar-SA"/>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highlight w:val="none"/>
          <w:shd w:val="clear" w:color="auto" w:fill="auto"/>
        </w:rPr>
      </w:pPr>
      <w:r>
        <w:rPr>
          <w:rFonts w:hint="eastAsia" w:ascii="Times New Roman" w:hAnsi="Times New Roman" w:eastAsia="方正仿宋_GBK" w:cs="Times New Roman"/>
          <w:b w:val="0"/>
          <w:bCs w:val="0"/>
          <w:sz w:val="32"/>
          <w:szCs w:val="32"/>
          <w:highlight w:val="none"/>
          <w:shd w:val="clear" w:color="auto" w:fill="auto"/>
          <w:lang w:val="en-US" w:eastAsia="zh-CN"/>
        </w:rPr>
        <w:t>县</w:t>
      </w:r>
      <w:r>
        <w:rPr>
          <w:rFonts w:hint="default" w:ascii="Times New Roman" w:hAnsi="Times New Roman" w:eastAsia="方正仿宋_GBK" w:cs="Times New Roman"/>
          <w:b w:val="0"/>
          <w:bCs w:val="0"/>
          <w:sz w:val="32"/>
          <w:szCs w:val="32"/>
          <w:highlight w:val="none"/>
          <w:shd w:val="clear" w:color="auto" w:fill="auto"/>
        </w:rPr>
        <w:t>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w:t>
      </w:r>
      <w:r>
        <w:rPr>
          <w:rFonts w:hint="eastAsia" w:ascii="方正仿宋_GBK" w:hAnsi="方正仿宋_GBK" w:eastAsia="方正仿宋_GBK" w:cs="方正仿宋_GBK"/>
          <w:sz w:val="32"/>
          <w:szCs w:val="32"/>
          <w:shd w:val="clear" w:color="auto" w:fill="FFFFFF"/>
        </w:rPr>
        <w:t>除“财政拨款收入”、“事业收入”、“经营收入”等以外</w:t>
      </w:r>
      <w:r>
        <w:rPr>
          <w:rFonts w:hint="default" w:ascii="Times New Roman" w:hAnsi="Times New Roman" w:eastAsia="方正仿宋_GBK" w:cs="Times New Roman"/>
          <w:sz w:val="32"/>
          <w:szCs w:val="32"/>
          <w:shd w:val="clear" w:color="auto" w:fill="FFFFFF"/>
        </w:rPr>
        <w:t>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w:t>
      </w:r>
      <w:r>
        <w:rPr>
          <w:rFonts w:hint="eastAsia" w:ascii="方正仿宋_GBK" w:hAnsi="方正仿宋_GBK" w:eastAsia="方正仿宋_GBK" w:cs="方正仿宋_GBK"/>
          <w:sz w:val="32"/>
          <w:szCs w:val="32"/>
          <w:shd w:val="clear" w:color="auto" w:fill="FFFFFF"/>
        </w:rPr>
        <w:t>的“财政拨款收入”、“事业收入”、“经营收入”、“其他收入”</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w:t>
      </w:r>
      <w:r>
        <w:rPr>
          <w:rFonts w:hint="eastAsia" w:ascii="方正仿宋_GBK" w:hAnsi="方正仿宋_GBK" w:eastAsia="方正仿宋_GBK" w:cs="方正仿宋_GBK"/>
          <w:sz w:val="32"/>
          <w:szCs w:val="32"/>
          <w:shd w:val="clear" w:color="auto" w:fill="FFFFFF"/>
        </w:rPr>
        <w:t>人员经费指政府收支分类经济科目中的“工资福利支出”和“对个人和家庭的补助”</w:t>
      </w:r>
      <w:r>
        <w:rPr>
          <w:rFonts w:hint="default" w:ascii="Times New Roman" w:hAnsi="Times New Roman" w:eastAsia="方正仿宋_GBK" w:cs="Times New Roman"/>
          <w:sz w:val="32"/>
          <w:szCs w:val="32"/>
          <w:shd w:val="clear" w:color="auto" w:fill="FFFFFF"/>
        </w:rPr>
        <w:t>；公用经费指政府收支分类经济科目中</w:t>
      </w:r>
      <w:r>
        <w:rPr>
          <w:rFonts w:hint="eastAsia" w:ascii="方正仿宋_GBK" w:hAnsi="方正仿宋_GBK" w:eastAsia="方正仿宋_GBK" w:cs="方正仿宋_GBK"/>
          <w:sz w:val="32"/>
          <w:szCs w:val="32"/>
          <w:shd w:val="clear" w:color="auto" w:fill="FFFFFF"/>
        </w:rPr>
        <w:t>除“工资福利支出”和“对个人和家庭的补助”外的</w:t>
      </w:r>
      <w:r>
        <w:rPr>
          <w:rFonts w:hint="default" w:ascii="Times New Roman" w:hAnsi="Times New Roman" w:eastAsia="方正仿宋_GBK" w:cs="Times New Roman"/>
          <w:sz w:val="32"/>
          <w:szCs w:val="32"/>
          <w:shd w:val="clear" w:color="auto" w:fill="FFFFFF"/>
        </w:rPr>
        <w:t>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（十二）</w:t>
      </w:r>
      <w:r>
        <w:rPr>
          <w:rStyle w:val="8"/>
          <w:rFonts w:hint="eastAsia" w:ascii="方正楷体_GBK" w:hAnsi="方正楷体_GBK" w:eastAsia="方正楷体_GBK" w:cs="方正楷体_GBK"/>
          <w:b w:val="0"/>
          <w:bCs/>
          <w:sz w:val="32"/>
          <w:szCs w:val="32"/>
          <w:shd w:val="clear" w:color="auto" w:fill="FFFFFF"/>
        </w:rPr>
        <w:t>“三公”经费</w:t>
      </w:r>
      <w:r>
        <w:rPr>
          <w:rStyle w:val="8"/>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仿宋_GBK" w:cs="Times New Roman"/>
          <w:sz w:val="32"/>
          <w:szCs w:val="32"/>
          <w:shd w:val="clear" w:color="auto" w:fill="FFFF00"/>
          <w:lang w:val="en-US" w:eastAsia="zh-CN"/>
        </w:rPr>
        <w:sectPr>
          <w:headerReference r:id="rId3" w:type="default"/>
          <w:footerReference r:id="rId4"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杨光昱</w:t>
      </w:r>
      <w:r>
        <w:rPr>
          <w:rFonts w:hint="default" w:ascii="Times New Roman" w:hAnsi="Times New Roman" w:eastAsia="方正仿宋_GBK" w:cs="Times New Roman"/>
          <w:sz w:val="32"/>
          <w:szCs w:val="32"/>
          <w:shd w:val="clear" w:color="auto" w:fill="FFFFFF"/>
          <w:lang w:val="en-US" w:eastAsia="zh-CN"/>
        </w:rPr>
        <w:t>76643180</w:t>
      </w:r>
    </w:p>
    <w:p>
      <w:pPr>
        <w:rPr>
          <w:rFonts w:hint="default" w:ascii="Times New Roman" w:hAnsi="Times New Roman" w:cs="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重庆市秀山土家族苗族自治县妙泉镇劳动就业和社会保障服务所</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62.15</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50.42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62.15</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62.15</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62.15</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重庆市秀山土家族苗族自治县妙泉镇劳动就业和社会保障服务所</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62.15</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62.15</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50.42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50.42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29.30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29.30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0.96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0.96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重庆市秀山土家族苗族自治县妙泉镇劳动就业和社会保障服务所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62.15</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35.93</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26.22</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50.42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32.99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17.43</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29.30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29.30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29.30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7.46</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5.14</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5.14</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4.83</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8.79</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0.96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0.96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7.83</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6.58</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重庆市秀山土家族苗族自治县妙泉镇劳动就业和社会保障服务所</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62.15</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50.42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50.42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62.15</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62.15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62.15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62.15</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62.15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62.15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重庆市秀山土家族苗族自治县妙泉镇劳动就业和社会保障服务所</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62.15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35.93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26.22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50.42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32.99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17.43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29.30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29.30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29.30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29.30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8.79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0.96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0.96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1.57</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6.58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6.58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1.37</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重庆市秀山土家族苗族自治县妙泉镇劳动就业和社会保障服务所</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32.72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13.71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32.72</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3.21</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重庆市秀山土家族苗族自治县妙泉镇劳动就业和社会保障服务所</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重庆市秀山土家族苗族自治县妙泉镇劳动就业和社会保障服务所</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重庆市秀山土家族苗族自治县妙泉镇劳动就业和社会保障服务所</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0.12</w:t>
            </w: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bookmarkStart w:id="0" w:name="_GoBack"/>
      <w:bookmarkEnd w:id="0"/>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8875AC"/>
    <w:rsid w:val="12C921C4"/>
    <w:rsid w:val="13871C70"/>
    <w:rsid w:val="13A71CB4"/>
    <w:rsid w:val="13AF1D43"/>
    <w:rsid w:val="13CE1647"/>
    <w:rsid w:val="13FD55AB"/>
    <w:rsid w:val="13FD7CD6"/>
    <w:rsid w:val="14200702"/>
    <w:rsid w:val="15183320"/>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7B7713"/>
    <w:rsid w:val="29310A5F"/>
    <w:rsid w:val="29C37A35"/>
    <w:rsid w:val="2A076083"/>
    <w:rsid w:val="2A73162E"/>
    <w:rsid w:val="2B167953"/>
    <w:rsid w:val="2B200583"/>
    <w:rsid w:val="2B8209DE"/>
    <w:rsid w:val="2C636760"/>
    <w:rsid w:val="2C6762A3"/>
    <w:rsid w:val="2DB807F0"/>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75491E"/>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755470"/>
    <w:rsid w:val="5582012B"/>
    <w:rsid w:val="558E4E05"/>
    <w:rsid w:val="55BE2E85"/>
    <w:rsid w:val="56530F5D"/>
    <w:rsid w:val="567700D3"/>
    <w:rsid w:val="56FF7E9E"/>
    <w:rsid w:val="578867FC"/>
    <w:rsid w:val="5842572D"/>
    <w:rsid w:val="58A9111D"/>
    <w:rsid w:val="58DA4924"/>
    <w:rsid w:val="5A3B59D6"/>
    <w:rsid w:val="5A9A4D3B"/>
    <w:rsid w:val="5AD134D8"/>
    <w:rsid w:val="5C263CE4"/>
    <w:rsid w:val="5C5D2777"/>
    <w:rsid w:val="5C971C72"/>
    <w:rsid w:val="5CF66BF3"/>
    <w:rsid w:val="5D290C69"/>
    <w:rsid w:val="5F2D4A41"/>
    <w:rsid w:val="60C74F6C"/>
    <w:rsid w:val="61025A59"/>
    <w:rsid w:val="613D5BBC"/>
    <w:rsid w:val="61536C39"/>
    <w:rsid w:val="62944DD7"/>
    <w:rsid w:val="6319381F"/>
    <w:rsid w:val="63C25DC5"/>
    <w:rsid w:val="63C62057"/>
    <w:rsid w:val="64571EF5"/>
    <w:rsid w:val="64FB113D"/>
    <w:rsid w:val="654B4D5F"/>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425398"/>
    <w:rsid w:val="6EFD1324"/>
    <w:rsid w:val="6F5A53AC"/>
    <w:rsid w:val="6FAC003D"/>
    <w:rsid w:val="6FE55E12"/>
    <w:rsid w:val="6FFB2E76"/>
    <w:rsid w:val="708F6F7F"/>
    <w:rsid w:val="70D94BD3"/>
    <w:rsid w:val="71B7585E"/>
    <w:rsid w:val="71C34D91"/>
    <w:rsid w:val="72DB435C"/>
    <w:rsid w:val="72E2613A"/>
    <w:rsid w:val="72F771F4"/>
    <w:rsid w:val="73934AD2"/>
    <w:rsid w:val="750837F0"/>
    <w:rsid w:val="754758CF"/>
    <w:rsid w:val="764F62AB"/>
    <w:rsid w:val="765C45EC"/>
    <w:rsid w:val="768A7619"/>
    <w:rsid w:val="772E1EBA"/>
    <w:rsid w:val="781926BC"/>
    <w:rsid w:val="78D8204D"/>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2024-09-27T02:21:14Z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