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重庆市秀山土家族苗族自治县妙泉镇财政办公室</w:t>
      </w:r>
      <w:r>
        <w:rPr>
          <w:rFonts w:hint="default" w:ascii="Times New Roman" w:hAnsi="Times New Roman" w:eastAsia="方正小标宋_GBK" w:cs="Times New Roman"/>
          <w:sz w:val="36"/>
          <w:szCs w:val="36"/>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方正小标宋_GBK" w:cs="Times New Roman"/>
          <w:sz w:val="36"/>
          <w:szCs w:val="36"/>
          <w:shd w:val="clear" w:color="auto" w:fill="FFFFFF"/>
        </w:rPr>
      </w:pP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Fonts w:hint="default" w:ascii="Times New Roman" w:hAnsi="Times New Roman" w:eastAsia="方正楷体_GBK" w:cs="Times New Roman"/>
          <w:b w:val="0"/>
          <w:bCs/>
          <w:sz w:val="32"/>
          <w:szCs w:val="32"/>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贯彻执行法律、法规、规章和镇人民政府的决策部署、依法管理本辖区财政方面相关的事务。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部门组织财政收入；承担其他财政财务管理职责。创新经济社会发展环境，为经济社会发展提供良好发展空间和便捷服务，重点履行社会管理和公共服务职能，促进辖区物质文明、精神文明和政治文明建设协调发展。承办镇党委、镇政府交办的其他工作。</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秀山土家族苗族自治县妙泉镇财政办公室为妙泉镇人民政府下属二级单位。本单位有参公事业编制人员</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名。</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2023年度收入总计57.45万元，支出总计</w:t>
      </w:r>
      <w:r>
        <w:rPr>
          <w:rFonts w:hint="default" w:ascii="Times New Roman" w:hAnsi="Times New Roman" w:eastAsia="方正仿宋_GBK" w:cs="Times New Roman"/>
          <w:sz w:val="32"/>
          <w:szCs w:val="32"/>
        </w:rPr>
        <w:t>57.45</w:t>
      </w:r>
      <w:r>
        <w:rPr>
          <w:rFonts w:hint="default" w:ascii="Times New Roman" w:hAnsi="Times New Roman" w:eastAsia="方正仿宋_GBK" w:cs="Times New Roman"/>
          <w:sz w:val="32"/>
          <w:szCs w:val="32"/>
          <w:shd w:val="clear" w:color="auto" w:fill="FFFFFF"/>
        </w:rPr>
        <w:t>万元。收支较上年决算数增加57.45万元，增长100.00%，主要原因是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2023年度收入合计57.45万元，较上年决算数增加57.45万元，增长100.00%，主要原因是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57.45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57.45</w:t>
      </w:r>
      <w:r>
        <w:rPr>
          <w:rFonts w:hint="default" w:ascii="Times New Roman" w:hAnsi="Times New Roman" w:eastAsia="方正仿宋_GBK" w:cs="Times New Roman"/>
          <w:sz w:val="32"/>
          <w:szCs w:val="32"/>
          <w:shd w:val="clear" w:color="auto" w:fill="FFFFFF"/>
        </w:rPr>
        <w:t>万元，较上年决算数增加57.45万元，增长100.00%，主要原因是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57.45</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2023年度财政拨款收、支总计57.45万元。与2022年相比，财政拨款收、支总计各增加57.45万元，增长100.00%。主要原因是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57.45</w:t>
      </w:r>
      <w:r>
        <w:rPr>
          <w:rFonts w:hint="default" w:ascii="Times New Roman" w:hAnsi="Times New Roman" w:eastAsia="方正仿宋_GBK" w:cs="Times New Roman"/>
          <w:sz w:val="32"/>
          <w:szCs w:val="32"/>
          <w:shd w:val="clear" w:color="auto" w:fill="FFFFFF"/>
        </w:rPr>
        <w:t>万元，较上年决算数增加57.45万元，增长100.00%。主要原因是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较年初预算数减少6.41万元，下降10.04%。主要原因是一般公共服务支出</w:t>
      </w:r>
      <w:r>
        <w:rPr>
          <w:rFonts w:hint="default" w:ascii="Times New Roman" w:hAnsi="Times New Roman" w:eastAsia="方正仿宋_GBK" w:cs="Times New Roman"/>
          <w:sz w:val="32"/>
          <w:szCs w:val="32"/>
          <w:shd w:val="clear" w:color="auto" w:fill="FFFFFF"/>
          <w:lang w:eastAsia="zh-CN"/>
        </w:rPr>
        <w:t>减少</w:t>
      </w:r>
      <w:r>
        <w:rPr>
          <w:rFonts w:hint="default" w:ascii="Times New Roman" w:hAnsi="Times New Roman" w:eastAsia="方正仿宋_GBK" w:cs="Times New Roman"/>
          <w:sz w:val="32"/>
          <w:szCs w:val="32"/>
          <w:shd w:val="clear" w:color="auto" w:fill="FFFFFF"/>
          <w:lang w:val="en-US" w:eastAsia="zh-CN"/>
        </w:rPr>
        <w:t>4.33万元、社会保障和就业支出减少2.09万元。</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57.45</w:t>
      </w:r>
      <w:r>
        <w:rPr>
          <w:rFonts w:hint="default" w:ascii="Times New Roman" w:hAnsi="Times New Roman" w:eastAsia="方正仿宋_GBK" w:cs="Times New Roman"/>
          <w:sz w:val="32"/>
          <w:szCs w:val="32"/>
          <w:shd w:val="clear" w:color="auto" w:fill="FFFFFF"/>
        </w:rPr>
        <w:t>万元，较上年决算数增加57.45万元，增长100.00%。主要原因是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较年初预算数减少6.42万元，下降10.05%。主要原因是</w:t>
      </w:r>
      <w:r>
        <w:rPr>
          <w:rFonts w:hint="default" w:ascii="Times New Roman" w:hAnsi="Times New Roman" w:eastAsia="方正仿宋_GBK" w:cs="Times New Roman"/>
          <w:color w:val="auto"/>
          <w:sz w:val="32"/>
          <w:szCs w:val="32"/>
          <w:shd w:val="clear" w:color="auto" w:fill="FFFFFF"/>
          <w:lang w:eastAsia="zh-CN"/>
        </w:rPr>
        <w:t>人员经费减少</w:t>
      </w:r>
      <w:r>
        <w:rPr>
          <w:rFonts w:hint="default" w:ascii="Times New Roman" w:hAnsi="Times New Roman" w:eastAsia="方正仿宋_GBK" w:cs="Times New Roman"/>
          <w:color w:val="auto"/>
          <w:sz w:val="32"/>
          <w:szCs w:val="32"/>
          <w:shd w:val="clear" w:color="auto" w:fill="FFFFFF"/>
          <w:lang w:val="en-US" w:eastAsia="zh-CN"/>
        </w:rPr>
        <w:t>6.42万元。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8"/>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44.27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77.06</w:t>
      </w:r>
      <w:r>
        <w:rPr>
          <w:rFonts w:hint="default" w:ascii="Times New Roman" w:hAnsi="Times New Roman" w:eastAsia="方正仿宋_GBK" w:cs="Times New Roman"/>
          <w:sz w:val="32"/>
          <w:szCs w:val="32"/>
          <w:shd w:val="clear" w:color="auto" w:fill="FFFFFF"/>
        </w:rPr>
        <w:t>%，较年初预算数减少4.33万元，下降8.91%，主要原因是</w:t>
      </w:r>
      <w:r>
        <w:rPr>
          <w:rFonts w:hint="default" w:ascii="Times New Roman" w:hAnsi="Times New Roman" w:eastAsia="方正仿宋_GBK" w:cs="Times New Roman"/>
          <w:sz w:val="32"/>
          <w:szCs w:val="32"/>
          <w:shd w:val="clear" w:color="auto" w:fill="FFFFFF"/>
          <w:lang w:eastAsia="zh-CN"/>
        </w:rPr>
        <w:t>落实过紧日子要求，节约相关办公开支。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6.23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10.85</w:t>
      </w:r>
      <w:r>
        <w:rPr>
          <w:rFonts w:hint="default" w:ascii="Times New Roman" w:hAnsi="Times New Roman" w:eastAsia="方正仿宋_GBK" w:cs="Times New Roman"/>
          <w:sz w:val="32"/>
          <w:szCs w:val="32"/>
          <w:shd w:val="clear" w:color="auto" w:fill="FFFFFF"/>
        </w:rPr>
        <w:t>%，较年初预算数减少2.09万元，下降25.12%，主要原因是</w:t>
      </w:r>
      <w:r>
        <w:rPr>
          <w:rFonts w:hint="default" w:ascii="Times New Roman" w:hAnsi="Times New Roman" w:eastAsia="方正仿宋_GBK" w:cs="Times New Roman"/>
          <w:sz w:val="32"/>
          <w:szCs w:val="32"/>
          <w:shd w:val="clear" w:color="auto" w:fill="FFFFFF"/>
          <w:lang w:eastAsia="zh-CN"/>
        </w:rPr>
        <w:t>公益性岗位、三支一扶等员工减少，所需经费减少。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2.29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3.99</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sz w:val="32"/>
          <w:szCs w:val="32"/>
          <w:shd w:val="clear" w:color="auto" w:fill="FFFFFF"/>
          <w:lang w:eastAsia="zh-CN"/>
        </w:rPr>
        <w:t>经费按实际整年需求设置预算，支出方面严格按照预算要求执行，所以不存在增减。</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住房保障支出4.66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8.10</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sz w:val="32"/>
          <w:szCs w:val="32"/>
          <w:shd w:val="clear" w:color="auto" w:fill="FFFFFF"/>
          <w:lang w:eastAsia="zh-CN"/>
        </w:rPr>
        <w:t>经费按实际整年需求设置预算，支出方面严格按照预算要求执行，所以不存在增减。</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57.45</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50.38</w:t>
      </w:r>
      <w:r>
        <w:rPr>
          <w:rFonts w:hint="default" w:ascii="Times New Roman" w:hAnsi="Times New Roman" w:eastAsia="方正仿宋_GBK" w:cs="Times New Roman"/>
          <w:sz w:val="32"/>
          <w:szCs w:val="32"/>
          <w:shd w:val="clear" w:color="auto" w:fill="FFFFFF"/>
        </w:rPr>
        <w:t>万元，较上年决算数增加50.38万元，增长100.00%，主要原因是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人员经费用途主要包括在职职工以及三支一扶工资绩效</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7.06</w:t>
      </w:r>
      <w:r>
        <w:rPr>
          <w:rFonts w:hint="default" w:ascii="Times New Roman" w:hAnsi="Times New Roman" w:eastAsia="方正仿宋_GBK" w:cs="Times New Roman"/>
          <w:sz w:val="32"/>
          <w:szCs w:val="32"/>
          <w:shd w:val="clear" w:color="auto" w:fill="FFFFFF"/>
        </w:rPr>
        <w:t>万元，较上年决算数增加7.06万元，增长100.00%，主要原因是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shd w:val="clear" w:color="auto" w:fill="FFFFFF"/>
          <w:lang w:eastAsia="zh-CN"/>
        </w:rPr>
        <w:t>水电通讯费、差旅费、食堂开支等开支。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shd w:val="clear" w:color="auto" w:fill="auto"/>
        </w:rPr>
        <w:t>本单位2023年度无政府性基金预算财政拨款收支。</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auto"/>
        </w:rPr>
      </w:pPr>
      <w:r>
        <w:rPr>
          <w:rStyle w:val="8"/>
          <w:rFonts w:hint="eastAsia" w:ascii="方正仿宋_GBK" w:hAnsi="方正仿宋_GBK" w:eastAsia="方正仿宋_GBK" w:cs="方正仿宋_GBK"/>
          <w:b w:val="0"/>
          <w:bCs/>
          <w:sz w:val="32"/>
          <w:szCs w:val="32"/>
          <w:shd w:val="clear" w:color="auto" w:fill="auto"/>
        </w:rPr>
        <w:t>本单位</w:t>
      </w:r>
      <w:r>
        <w:rPr>
          <w:rStyle w:val="8"/>
          <w:rFonts w:hint="default" w:ascii="Times New Roman" w:hAnsi="Times New Roman" w:eastAsia="方正仿宋_GBK" w:cs="Times New Roman"/>
          <w:b w:val="0"/>
          <w:bCs/>
          <w:sz w:val="32"/>
          <w:szCs w:val="32"/>
          <w:shd w:val="clear" w:color="auto" w:fill="auto"/>
        </w:rPr>
        <w:t>2023</w:t>
      </w:r>
      <w:r>
        <w:rPr>
          <w:rStyle w:val="8"/>
          <w:rFonts w:hint="eastAsia" w:ascii="方正仿宋_GBK" w:hAnsi="方正仿宋_GBK" w:eastAsia="方正仿宋_GBK" w:cs="方正仿宋_GBK"/>
          <w:b w:val="0"/>
          <w:bCs/>
          <w:sz w:val="32"/>
          <w:szCs w:val="32"/>
          <w:shd w:val="clear" w:color="auto" w:fill="auto"/>
        </w:rPr>
        <w:t>年度无国有资本经营预算财政拨款支出</w:t>
      </w:r>
      <w:r>
        <w:rPr>
          <w:rStyle w:val="8"/>
          <w:rFonts w:hint="default" w:ascii="Times New Roman" w:hAnsi="Times New Roman" w:eastAsia="方正仿宋_GBK" w:cs="Times New Roman"/>
          <w:sz w:val="32"/>
          <w:szCs w:val="32"/>
          <w:shd w:val="clear" w:color="auto" w:fill="auto"/>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三、</w:t>
      </w:r>
      <w:r>
        <w:rPr>
          <w:rStyle w:val="8"/>
          <w:rFonts w:hint="eastAsia" w:ascii="方正黑体_GBK" w:hAnsi="方正黑体_GBK" w:eastAsia="方正黑体_GBK" w:cs="方正黑体_GBK"/>
          <w:b w:val="0"/>
          <w:bCs/>
          <w:sz w:val="32"/>
          <w:szCs w:val="32"/>
          <w:shd w:val="clear" w:color="auto" w:fill="FFFFFF"/>
          <w:lang w:eastAsia="zh-CN"/>
        </w:rPr>
        <w:t>“三公”经</w:t>
      </w:r>
      <w:r>
        <w:rPr>
          <w:rStyle w:val="8"/>
          <w:rFonts w:hint="default" w:ascii="Times New Roman" w:hAnsi="Times New Roman" w:eastAsia="方正黑体_GBK" w:cs="Times New Roman"/>
          <w:b w:val="0"/>
          <w:bCs/>
          <w:sz w:val="32"/>
          <w:szCs w:val="32"/>
          <w:shd w:val="clear" w:color="auto" w:fill="FFFFFF"/>
          <w:lang w:eastAsia="zh-CN"/>
        </w:rPr>
        <w:t>费情况说明</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（一）“三公”经费支出总体情况说明</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2023年度“三公”经费支出共计0.00万元，较年初预算数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上年支出数无增减，主要原因是</w:t>
      </w:r>
      <w:r>
        <w:rPr>
          <w:rFonts w:hint="default" w:ascii="Times New Roman" w:hAnsi="Times New Roman" w:eastAsia="方正仿宋_GBK" w:cs="Times New Roman"/>
          <w:b w:val="0"/>
          <w:bCs w:val="0"/>
          <w:sz w:val="32"/>
          <w:szCs w:val="32"/>
          <w:shd w:val="clear" w:color="auto" w:fill="FFFFFF"/>
          <w:lang w:val="en-US" w:eastAsia="zh-CN"/>
        </w:rPr>
        <w:t>本单位为</w:t>
      </w:r>
      <w:r>
        <w:rPr>
          <w:rFonts w:hint="eastAsia" w:ascii="Times New Roman" w:hAnsi="Times New Roman" w:eastAsia="方正仿宋_GBK" w:cs="Times New Roman"/>
          <w:b w:val="0"/>
          <w:bCs w:val="0"/>
          <w:sz w:val="32"/>
          <w:szCs w:val="32"/>
          <w:shd w:val="clear" w:color="auto" w:fill="FFFFFF"/>
          <w:lang w:val="en-US" w:eastAsia="zh-CN"/>
        </w:rPr>
        <w:t>妙泉</w:t>
      </w:r>
      <w:r>
        <w:rPr>
          <w:rFonts w:hint="default" w:ascii="Times New Roman" w:hAnsi="Times New Roman" w:eastAsia="方正仿宋_GBK" w:cs="Times New Roman"/>
          <w:b w:val="0"/>
          <w:bCs w:val="0"/>
          <w:sz w:val="32"/>
          <w:szCs w:val="32"/>
          <w:shd w:val="clear" w:color="auto" w:fill="FFFFFF"/>
          <w:lang w:val="en-US" w:eastAsia="zh-CN"/>
        </w:rPr>
        <w:t>镇人民政府下属二级单位，</w:t>
      </w:r>
      <w:r>
        <w:rPr>
          <w:rFonts w:hint="eastAsia" w:ascii="Times New Roman" w:hAnsi="Times New Roman" w:eastAsia="方正仿宋_GBK" w:cs="Times New Roman"/>
          <w:b w:val="0"/>
          <w:bCs w:val="0"/>
          <w:sz w:val="32"/>
          <w:szCs w:val="32"/>
          <w:shd w:val="clear" w:color="auto" w:fill="FFFFFF"/>
          <w:lang w:val="en-US" w:eastAsia="zh-CN"/>
        </w:rPr>
        <w:t>三公经费预算及支出由本级统一核算，我单位无相关支出。</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（二）“三公”经费分项支出情况</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2023年度本单位因公出国（境）费用0.00万元，较年初预算数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公务车购置费0.00万元，较年初预算数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公务车运行维护费0.00万元</w:t>
      </w:r>
      <w:r>
        <w:rPr>
          <w:rFonts w:hint="default"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rPr>
        <w:t>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公务接待费0.00万元，较年初预算数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（三）“三公”经费实物量情况</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四、其他需要说明的事项</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万元，较上年决算数无增减，主要原因是本年度</w:t>
      </w:r>
      <w:r>
        <w:rPr>
          <w:rFonts w:hint="default" w:ascii="Times New Roman" w:hAnsi="Times New Roman" w:eastAsia="方正仿宋_GBK" w:cs="Times New Roman"/>
          <w:sz w:val="32"/>
          <w:szCs w:val="32"/>
          <w:shd w:val="clear" w:color="auto" w:fill="FFFFFF"/>
          <w:lang w:eastAsia="zh-CN"/>
        </w:rPr>
        <w:t>无</w:t>
      </w:r>
      <w:r>
        <w:rPr>
          <w:rFonts w:hint="default" w:ascii="Times New Roman" w:hAnsi="Times New Roman" w:eastAsia="方正仿宋_GBK" w:cs="Times New Roman"/>
          <w:sz w:val="32"/>
          <w:szCs w:val="32"/>
          <w:shd w:val="clear" w:color="auto" w:fill="FFFFFF"/>
        </w:rPr>
        <w:t>会议费支出。本年度培训费支出</w:t>
      </w:r>
      <w:r>
        <w:rPr>
          <w:rFonts w:hint="default" w:ascii="Times New Roman" w:hAnsi="Times New Roman" w:eastAsia="方正仿宋_GBK" w:cs="Times New Roman"/>
          <w:sz w:val="32"/>
          <w:szCs w:val="32"/>
        </w:rPr>
        <w:t>0.17</w:t>
      </w:r>
      <w:r>
        <w:rPr>
          <w:rFonts w:hint="default" w:ascii="Times New Roman" w:hAnsi="Times New Roman" w:eastAsia="方正仿宋_GBK" w:cs="Times New Roman"/>
          <w:sz w:val="32"/>
          <w:szCs w:val="32"/>
          <w:shd w:val="clear" w:color="auto" w:fill="FFFFFF"/>
        </w:rPr>
        <w:t>万元，较上年决算数增加0.17万元，增长100.00%，主要原因是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（二）机关运行经费情况说明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按照部门决算填报口径，我单位不在机关运行经费统计范围之内。</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lang w:eastAsia="zh-CN"/>
        </w:rPr>
        <w:t>五、</w:t>
      </w:r>
      <w:r>
        <w:rPr>
          <w:rStyle w:val="8"/>
          <w:rFonts w:hint="default" w:ascii="Times New Roman" w:hAnsi="Times New Roman" w:eastAsia="方正黑体_GBK" w:cs="Times New Roman"/>
          <w:b w:val="0"/>
          <w:bCs/>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（一）单位自评情况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eastAsia="zh-CN"/>
        </w:rPr>
        <w:t>我单位无项目支出，故未开展项目绩效评价。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（二）单位绩效评价情况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auto"/>
        </w:rPr>
      </w:pPr>
      <w:r>
        <w:rPr>
          <w:rFonts w:hint="eastAsia" w:ascii="方正仿宋_GBK" w:hAnsi="方正仿宋_GBK" w:eastAsia="方正仿宋_GBK" w:cs="方正仿宋_GBK"/>
          <w:b w:val="0"/>
          <w:bCs w:val="0"/>
          <w:sz w:val="32"/>
          <w:szCs w:val="32"/>
          <w:highlight w:val="none"/>
          <w:shd w:val="clear" w:color="auto" w:fill="auto"/>
        </w:rPr>
        <w:t>我单位未组织开展绩效评价。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eastAsia="zh-CN"/>
        </w:rPr>
        <w:t>（三）</w:t>
      </w:r>
      <w:r>
        <w:rPr>
          <w:rStyle w:val="8"/>
          <w:rFonts w:hint="default" w:ascii="Times New Roman" w:hAnsi="Times New Roman" w:eastAsia="方正楷体_GBK" w:cs="Times New Roman"/>
          <w:b w:val="0"/>
          <w:bCs/>
          <w:sz w:val="32"/>
          <w:szCs w:val="32"/>
          <w:shd w:val="clear" w:color="auto" w:fill="FFFFFF"/>
        </w:rPr>
        <w:t>财政绩效评价情况</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highlight w:val="none"/>
          <w:shd w:val="clear" w:color="auto" w:fill="FFFFFF"/>
        </w:rPr>
      </w:pPr>
      <w:r>
        <w:rPr>
          <w:rFonts w:hint="eastAsia" w:ascii="Times New Roman" w:hAnsi="Times New Roman" w:eastAsia="方正仿宋_GBK" w:cs="Times New Roman"/>
          <w:b w:val="0"/>
          <w:bCs w:val="0"/>
          <w:sz w:val="32"/>
          <w:szCs w:val="32"/>
          <w:highlight w:val="none"/>
          <w:shd w:val="clear" w:color="auto" w:fill="FFFFFF"/>
          <w:lang w:val="en-US" w:eastAsia="zh-CN"/>
        </w:rPr>
        <w:t>县</w:t>
      </w:r>
      <w:r>
        <w:rPr>
          <w:rFonts w:hint="default" w:ascii="Times New Roman" w:hAnsi="Times New Roman" w:eastAsia="方正仿宋_GBK" w:cs="Times New Roman"/>
          <w:b w:val="0"/>
          <w:bCs w:val="0"/>
          <w:sz w:val="32"/>
          <w:szCs w:val="32"/>
          <w:highlight w:val="none"/>
          <w:shd w:val="clear" w:color="auto" w:fill="FFFFFF"/>
        </w:rPr>
        <w:t>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w:t>
      </w:r>
      <w:r>
        <w:rPr>
          <w:rFonts w:hint="eastAsia" w:ascii="方正仿宋_GBK" w:hAnsi="方正仿宋_GBK" w:eastAsia="方正仿宋_GBK" w:cs="方正仿宋_GBK"/>
          <w:sz w:val="32"/>
          <w:szCs w:val="32"/>
          <w:shd w:val="clear" w:color="auto" w:fill="FFFFFF"/>
        </w:rPr>
        <w:t>除“财政拨款收入”、“事业收入”、“经营收入”等以外</w:t>
      </w:r>
      <w:r>
        <w:rPr>
          <w:rFonts w:hint="default" w:ascii="Times New Roman" w:hAnsi="Times New Roman" w:eastAsia="方正仿宋_GBK" w:cs="Times New Roman"/>
          <w:sz w:val="32"/>
          <w:szCs w:val="32"/>
          <w:shd w:val="clear" w:color="auto" w:fill="FFFFFF"/>
        </w:rPr>
        <w:t>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w:t>
      </w:r>
      <w:r>
        <w:rPr>
          <w:rFonts w:hint="eastAsia" w:ascii="方正仿宋_GBK" w:hAnsi="方正仿宋_GBK" w:eastAsia="方正仿宋_GBK" w:cs="方正仿宋_GBK"/>
          <w:sz w:val="32"/>
          <w:szCs w:val="32"/>
          <w:shd w:val="clear" w:color="auto" w:fill="FFFFFF"/>
        </w:rPr>
        <w:t>年的“财政拨款收入”、“事业收入”、“经营收入”、“其他收入”等</w:t>
      </w:r>
      <w:r>
        <w:rPr>
          <w:rFonts w:hint="default" w:ascii="Times New Roman" w:hAnsi="Times New Roman" w:eastAsia="方正仿宋_GBK" w:cs="Times New Roman"/>
          <w:sz w:val="32"/>
          <w:szCs w:val="32"/>
          <w:shd w:val="clear" w:color="auto" w:fill="FFFFFF"/>
        </w:rPr>
        <w:t>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rPr>
        <w:t>“工资福利支出”和“对个人和家庭的补助”</w:t>
      </w:r>
      <w:r>
        <w:rPr>
          <w:rFonts w:hint="default" w:ascii="Times New Roman" w:hAnsi="Times New Roman" w:eastAsia="方正仿宋_GBK" w:cs="Times New Roman"/>
          <w:sz w:val="32"/>
          <w:szCs w:val="32"/>
          <w:shd w:val="clear" w:color="auto" w:fill="FFFFFF"/>
        </w:rPr>
        <w:t>；公用经费指政府收支分类经济科目中</w:t>
      </w:r>
      <w:r>
        <w:rPr>
          <w:rFonts w:hint="eastAsia" w:ascii="方正仿宋_GBK" w:hAnsi="方正仿宋_GBK" w:eastAsia="方正仿宋_GBK" w:cs="方正仿宋_GBK"/>
          <w:sz w:val="32"/>
          <w:szCs w:val="32"/>
          <w:shd w:val="clear" w:color="auto" w:fill="FFFFFF"/>
        </w:rPr>
        <w:t>除“工资福利支出”和“对个人和家庭的补助”外</w:t>
      </w:r>
      <w:r>
        <w:rPr>
          <w:rFonts w:hint="default" w:ascii="Times New Roman" w:hAnsi="Times New Roman" w:eastAsia="方正仿宋_GBK" w:cs="Times New Roman"/>
          <w:sz w:val="32"/>
          <w:szCs w:val="32"/>
          <w:shd w:val="clear" w:color="auto" w:fill="FFFFFF"/>
        </w:rPr>
        <w:t>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（十二）</w:t>
      </w:r>
      <w:r>
        <w:rPr>
          <w:rStyle w:val="8"/>
          <w:rFonts w:hint="eastAsia" w:ascii="方正楷体_GBK" w:hAnsi="方正楷体_GBK" w:eastAsia="方正楷体_GBK" w:cs="方正楷体_GBK"/>
          <w:b w:val="0"/>
          <w:bCs/>
          <w:sz w:val="32"/>
          <w:szCs w:val="32"/>
          <w:shd w:val="clear" w:color="auto" w:fill="FFFFFF"/>
        </w:rPr>
        <w:t>“三公”经</w:t>
      </w:r>
      <w:r>
        <w:rPr>
          <w:rStyle w:val="8"/>
          <w:rFonts w:hint="default" w:ascii="Times New Roman" w:hAnsi="Times New Roman" w:eastAsia="方正楷体_GBK" w:cs="Times New Roman"/>
          <w:b w:val="0"/>
          <w:bCs/>
          <w:sz w:val="32"/>
          <w:szCs w:val="32"/>
          <w:shd w:val="clear" w:color="auto" w:fill="FFFFFF"/>
        </w:rPr>
        <w:t>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8"/>
          <w:rFonts w:hint="default" w:ascii="Times New Roman" w:hAnsi="Times New Roman" w:eastAsia="方正仿宋_GBK" w:cs="Times New Roman"/>
          <w:sz w:val="32"/>
          <w:szCs w:val="32"/>
          <w:shd w:val="clear" w:color="auto" w:fill="FFFF00"/>
        </w:rPr>
        <w:sectPr>
          <w:headerReference r:id="rId3" w:type="default"/>
          <w:footerReference r:id="rId4"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eastAsia="zh-CN"/>
        </w:rPr>
        <w:t>杨光昱</w:t>
      </w:r>
      <w:r>
        <w:rPr>
          <w:rFonts w:hint="default" w:ascii="Times New Roman" w:hAnsi="Times New Roman" w:eastAsia="方正仿宋_GBK" w:cs="Times New Roman"/>
          <w:color w:val="auto"/>
          <w:sz w:val="32"/>
          <w:szCs w:val="32"/>
          <w:shd w:val="clear" w:color="auto" w:fill="FFFFFF"/>
          <w:lang w:val="en-US" w:eastAsia="zh-CN"/>
        </w:rPr>
        <w:t>76643180</w:t>
      </w:r>
    </w:p>
    <w:p>
      <w:pPr>
        <w:rPr>
          <w:rFonts w:hint="default" w:ascii="Times New Roman" w:hAnsi="Times New Roman" w:cs="Times New Roman"/>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重庆市秀山土家族苗族自治县妙泉镇财政办公室</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57.45</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44.27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57.45</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57.45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57.45</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57.45</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重庆市秀山土家族苗族自治县妙泉镇财政办公室</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57.45</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57.45</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44.27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44.27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11.76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11.76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重庆市秀山土家族苗族自治县妙泉镇财政办公室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57.45</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57.45</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44.27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44.27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11.76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11.76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p>
    <w:p>
      <w:pPr>
        <w:rPr>
          <w:rFonts w:hint="default" w:ascii="Times New Roman" w:hAnsi="Times New Roman" w:cs="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重庆市秀山土家族苗族自治县妙泉镇财政办公室</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57.45</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44.27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44.27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57.45</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57.45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57.45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57.45</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57.45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57.45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重庆市秀山土家族苗族自治县妙泉镇财政办公室</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57.45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57.45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44.27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44.27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11.76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11.76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11.76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11.76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32.51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32.51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32.51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32.51</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4.09</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2.29</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重庆市秀山土家族苗族自治县妙泉镇财政办公室</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50.38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7.06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11.96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12.70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11.76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50.38</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7.06</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重庆市秀山土家族苗族自治县妙泉镇财政办公室</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重庆市秀山土家族苗族自治县妙泉镇财政办公室</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重庆市秀山土家族苗族自治县妙泉镇财政办公室</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0.17</w:t>
            </w: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bookmarkStart w:id="0" w:name="_GoBack"/>
      <w:bookmarkEnd w:id="0"/>
    </w:p>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553C7D"/>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63BD8"/>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2B836E1"/>
    <w:rsid w:val="32E46C96"/>
    <w:rsid w:val="3337290D"/>
    <w:rsid w:val="33E31118"/>
    <w:rsid w:val="33EF7674"/>
    <w:rsid w:val="342D7BC6"/>
    <w:rsid w:val="352930DB"/>
    <w:rsid w:val="35573069"/>
    <w:rsid w:val="355F6038"/>
    <w:rsid w:val="358C217E"/>
    <w:rsid w:val="360501E6"/>
    <w:rsid w:val="36B35966"/>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D7458B"/>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A03B79"/>
    <w:rsid w:val="50F06B6E"/>
    <w:rsid w:val="51D21804"/>
    <w:rsid w:val="52234D33"/>
    <w:rsid w:val="522F6E0C"/>
    <w:rsid w:val="52463BA1"/>
    <w:rsid w:val="524C63D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611CF8"/>
    <w:rsid w:val="5CF66BF3"/>
    <w:rsid w:val="5D290C69"/>
    <w:rsid w:val="5F2D4A41"/>
    <w:rsid w:val="5FB36392"/>
    <w:rsid w:val="60C74F6C"/>
    <w:rsid w:val="61025A59"/>
    <w:rsid w:val="613D5BBC"/>
    <w:rsid w:val="61536C39"/>
    <w:rsid w:val="619F53E5"/>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875B22"/>
    <w:rsid w:val="6AAD2300"/>
    <w:rsid w:val="6B474EF5"/>
    <w:rsid w:val="6B63685F"/>
    <w:rsid w:val="6C0A5AC5"/>
    <w:rsid w:val="6C560CAE"/>
    <w:rsid w:val="6C576495"/>
    <w:rsid w:val="6D903FF5"/>
    <w:rsid w:val="6DA955B8"/>
    <w:rsid w:val="6DE346AB"/>
    <w:rsid w:val="6DE5391A"/>
    <w:rsid w:val="6E7350DE"/>
    <w:rsid w:val="6ECD10B0"/>
    <w:rsid w:val="6EFD1324"/>
    <w:rsid w:val="6F5A53AC"/>
    <w:rsid w:val="6FAC003D"/>
    <w:rsid w:val="6FE55E12"/>
    <w:rsid w:val="6FFB2E76"/>
    <w:rsid w:val="706043CB"/>
    <w:rsid w:val="708F6F7F"/>
    <w:rsid w:val="70D94BD3"/>
    <w:rsid w:val="71C34D91"/>
    <w:rsid w:val="72626EEF"/>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Normal (Web)"/>
    <w:basedOn w:val="1"/>
    <w:qFormat/>
    <w:uiPriority w:val="0"/>
    <w:pPr>
      <w:spacing w:before="100" w:beforeLines="0" w:beforeAutospacing="1" w:after="100" w:afterLines="0" w:afterAutospacing="1"/>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1</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2024-09-24T11:46:43Z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