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重庆市秀山土家族苗族自治县妙泉镇文化服务中心</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黑体" w:cs="Times New Roman"/>
          <w:sz w:val="32"/>
          <w:szCs w:val="32"/>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贯彻执行法律、法规、规章和镇人民政府的决策部署、依法管理本辖区文化方面相关的公共事务。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承办镇党委、镇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秀山土家族苗族自治县妙泉镇文化服务中心为妙泉镇人民政府下属二级单位。本单位有事业编制人员2名。</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2023年度收入总计38.66万元，支出总计</w:t>
      </w:r>
      <w:r>
        <w:rPr>
          <w:rFonts w:hint="default" w:ascii="Times New Roman" w:hAnsi="Times New Roman" w:eastAsia="方正仿宋_GBK" w:cs="Times New Roman"/>
          <w:sz w:val="32"/>
          <w:szCs w:val="32"/>
        </w:rPr>
        <w:t>38.66</w:t>
      </w:r>
      <w:r>
        <w:rPr>
          <w:rFonts w:hint="default" w:ascii="Times New Roman" w:hAnsi="Times New Roman" w:eastAsia="方正仿宋_GBK" w:cs="Times New Roman"/>
          <w:sz w:val="32"/>
          <w:szCs w:val="32"/>
          <w:shd w:val="clear" w:color="auto" w:fill="FFFFFF"/>
        </w:rPr>
        <w:t>万元。收支较上年决算数增加38.66万元，增长100.00%，主要原因是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2023年度收入合计38.66万元，较上年决算数增加38.66万元，增长100.00%，主要原因是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38.66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38.66</w:t>
      </w:r>
      <w:r>
        <w:rPr>
          <w:rFonts w:hint="default" w:ascii="Times New Roman" w:hAnsi="Times New Roman" w:eastAsia="方正仿宋_GBK" w:cs="Times New Roman"/>
          <w:sz w:val="32"/>
          <w:szCs w:val="32"/>
          <w:shd w:val="clear" w:color="auto" w:fill="FFFFFF"/>
        </w:rPr>
        <w:t>万元，较上年决算数增加38.66万元，增长100.00%，主要原因是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32.66</w:t>
      </w:r>
      <w:r>
        <w:rPr>
          <w:rFonts w:hint="default" w:ascii="Times New Roman" w:hAnsi="Times New Roman" w:eastAsia="方正仿宋_GBK" w:cs="Times New Roman"/>
          <w:sz w:val="32"/>
          <w:szCs w:val="32"/>
          <w:shd w:val="clear" w:color="auto" w:fill="FFFFFF"/>
        </w:rPr>
        <w:t>万元，占84.47%；项目支出</w:t>
      </w:r>
      <w:r>
        <w:rPr>
          <w:rFonts w:hint="default" w:ascii="Times New Roman" w:hAnsi="Times New Roman" w:eastAsia="方正仿宋_GBK" w:cs="Times New Roman"/>
          <w:sz w:val="32"/>
          <w:szCs w:val="32"/>
        </w:rPr>
        <w:t>6.00</w:t>
      </w:r>
      <w:r>
        <w:rPr>
          <w:rFonts w:hint="default" w:ascii="Times New Roman" w:hAnsi="Times New Roman" w:eastAsia="方正仿宋_GBK" w:cs="Times New Roman"/>
          <w:sz w:val="32"/>
          <w:szCs w:val="32"/>
          <w:shd w:val="clear" w:color="auto" w:fill="FFFFFF"/>
        </w:rPr>
        <w:t>万元，占15.53%；经营支出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2023年度财政拨款收、支总计38.66万元。与2022年相比，财政拨款收、支总计各增加38.66万元，增长100.00%。主要原因是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38.66</w:t>
      </w:r>
      <w:r>
        <w:rPr>
          <w:rFonts w:hint="default" w:ascii="Times New Roman" w:hAnsi="Times New Roman" w:eastAsia="方正仿宋_GBK" w:cs="Times New Roman"/>
          <w:sz w:val="32"/>
          <w:szCs w:val="32"/>
          <w:shd w:val="clear" w:color="auto" w:fill="FFFFFF"/>
        </w:rPr>
        <w:t>万元，较上年决算数增加38.66万元，增长100.00%。主要原因是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较年初预算数增加2.20万元，增长6.03%。主要原因是文化旅游体育与传媒</w:t>
      </w:r>
      <w:r>
        <w:rPr>
          <w:rFonts w:hint="default" w:ascii="Times New Roman" w:hAnsi="Times New Roman" w:eastAsia="方正仿宋_GBK" w:cs="Times New Roman"/>
          <w:sz w:val="32"/>
          <w:szCs w:val="32"/>
          <w:shd w:val="clear" w:color="auto" w:fill="FFFFFF"/>
          <w:lang w:eastAsia="zh-CN"/>
        </w:rPr>
        <w:t>方面支出增加。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38.66</w:t>
      </w:r>
      <w:r>
        <w:rPr>
          <w:rFonts w:hint="default" w:ascii="Times New Roman" w:hAnsi="Times New Roman" w:eastAsia="方正仿宋_GBK" w:cs="Times New Roman"/>
          <w:sz w:val="32"/>
          <w:szCs w:val="32"/>
          <w:shd w:val="clear" w:color="auto" w:fill="FFFFFF"/>
        </w:rPr>
        <w:t>万元，较上年决算数增加38.66万元，增长100.00%。主要原因是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较年初预算数增加0.96万元，增长2.55%。主要原因是文化旅游体育与传媒支出</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lang w:val="en-US" w:eastAsia="zh-CN"/>
        </w:rPr>
        <w:t>3.65万元、社会保障和就业支出减少1.55万元、住房保障支出减少1.14万元。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32.55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84.19</w:t>
      </w:r>
      <w:r>
        <w:rPr>
          <w:rFonts w:hint="default" w:ascii="Times New Roman" w:hAnsi="Times New Roman" w:eastAsia="方正仿宋_GBK" w:cs="Times New Roman"/>
          <w:sz w:val="32"/>
          <w:szCs w:val="32"/>
          <w:shd w:val="clear" w:color="auto" w:fill="FFFFFF"/>
        </w:rPr>
        <w:t>%，较年初预算数增加3.65万元，增长12.63%，主要原因是</w:t>
      </w:r>
      <w:r>
        <w:rPr>
          <w:rFonts w:hint="default" w:ascii="Times New Roman" w:hAnsi="Times New Roman" w:eastAsia="方正仿宋_GBK" w:cs="Times New Roman"/>
          <w:sz w:val="32"/>
          <w:szCs w:val="32"/>
          <w:shd w:val="clear" w:color="auto" w:fill="FFFFFF"/>
          <w:lang w:eastAsia="zh-CN"/>
        </w:rPr>
        <w:t>总体部门</w:t>
      </w:r>
      <w:r>
        <w:rPr>
          <w:rFonts w:hint="default" w:ascii="Times New Roman" w:hAnsi="Times New Roman" w:eastAsia="方正仿宋_GBK" w:cs="Times New Roman"/>
          <w:sz w:val="32"/>
          <w:szCs w:val="32"/>
          <w:shd w:val="clear" w:color="auto" w:fill="FFFFFF"/>
        </w:rPr>
        <w:t>开展相关文化活动，优化部分开支内容，降低相关经费开支</w:t>
      </w:r>
      <w:r>
        <w:rPr>
          <w:rFonts w:hint="default" w:ascii="Times New Roman" w:hAnsi="Times New Roman" w:eastAsia="方正仿宋_GBK" w:cs="Times New Roman"/>
          <w:sz w:val="32"/>
          <w:szCs w:val="32"/>
          <w:shd w:val="clear" w:color="auto" w:fill="FFFFFF"/>
          <w:lang w:eastAsia="zh-CN"/>
        </w:rPr>
        <w:t>，但是本年部分文化旅游相关开支由本单位分摊，所以导致</w:t>
      </w:r>
      <w:r>
        <w:rPr>
          <w:rFonts w:hint="default" w:ascii="Times New Roman" w:hAnsi="Times New Roman" w:eastAsia="方正仿宋_GBK" w:cs="Times New Roman"/>
          <w:sz w:val="32"/>
          <w:szCs w:val="32"/>
          <w:shd w:val="clear" w:color="auto" w:fill="FFFFFF"/>
        </w:rPr>
        <w:t>较年初预算数增加。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8.15</w:t>
      </w:r>
      <w:r>
        <w:rPr>
          <w:rFonts w:hint="default" w:ascii="Times New Roman" w:hAnsi="Times New Roman" w:eastAsia="方正仿宋_GBK" w:cs="Times New Roman"/>
          <w:sz w:val="32"/>
          <w:szCs w:val="32"/>
          <w:shd w:val="clear" w:color="auto" w:fill="FFFFFF"/>
        </w:rPr>
        <w:t>%，较年初预算数减少1.55万元，下降32.98%，主要原因是</w:t>
      </w:r>
      <w:r>
        <w:rPr>
          <w:rFonts w:hint="default" w:ascii="Times New Roman" w:hAnsi="Times New Roman" w:eastAsia="方正仿宋_GBK" w:cs="Times New Roman"/>
          <w:sz w:val="32"/>
          <w:szCs w:val="32"/>
          <w:shd w:val="clear" w:color="auto" w:fill="FFFFFF"/>
          <w:lang w:eastAsia="zh-CN"/>
        </w:rPr>
        <w:t>公益性岗位、三支一扶等员工减少，所需经费减少。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eastAsia="zh-CN"/>
        </w:rPr>
        <w:t>经费按实际整年需求设置预算，支出方面严格按照预算要求执行，所以不存在增减。</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4.16</w:t>
      </w:r>
      <w:r>
        <w:rPr>
          <w:rFonts w:hint="default" w:ascii="Times New Roman" w:hAnsi="Times New Roman" w:eastAsia="方正仿宋_GBK" w:cs="Times New Roman"/>
          <w:sz w:val="32"/>
          <w:szCs w:val="32"/>
          <w:shd w:val="clear" w:color="auto" w:fill="FFFFFF"/>
        </w:rPr>
        <w:t>%，较年初预算数减少1.14万元，下降41.45%，主要原因是</w:t>
      </w:r>
      <w:r>
        <w:rPr>
          <w:rFonts w:hint="default" w:ascii="Times New Roman" w:hAnsi="Times New Roman" w:eastAsia="方正仿宋_GBK" w:cs="Times New Roman"/>
          <w:sz w:val="32"/>
          <w:szCs w:val="32"/>
          <w:shd w:val="clear" w:color="auto" w:fill="FFFFFF"/>
          <w:lang w:eastAsia="zh-CN"/>
        </w:rPr>
        <w:t>公积金调标，所以较年初预算数减少。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32.66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29.82</w:t>
      </w:r>
      <w:r>
        <w:rPr>
          <w:rFonts w:hint="default" w:ascii="Times New Roman" w:hAnsi="Times New Roman" w:eastAsia="方正仿宋_GBK" w:cs="Times New Roman"/>
          <w:sz w:val="32"/>
          <w:szCs w:val="32"/>
          <w:shd w:val="clear" w:color="auto" w:fill="FFFFFF"/>
        </w:rPr>
        <w:t>万元，较上年决算数增加29.82万元，增长100.00%，主要原因是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人员经费用途主要包括在职职工以及三支一扶工资绩效</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2.84</w:t>
      </w:r>
      <w:r>
        <w:rPr>
          <w:rFonts w:hint="default" w:ascii="Times New Roman" w:hAnsi="Times New Roman" w:eastAsia="方正仿宋_GBK" w:cs="Times New Roman"/>
          <w:sz w:val="32"/>
          <w:szCs w:val="32"/>
          <w:shd w:val="clear" w:color="auto" w:fill="FFFFFF"/>
        </w:rPr>
        <w:t>万元，较上年决算数增加2.84万元，增长100.00%，主要原因是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eastAsia="zh-CN"/>
        </w:rPr>
        <w:t>水电通讯费、差旅费、食堂开支等开支。</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shd w:val="clear" w:color="auto" w:fill="auto"/>
        </w:rPr>
      </w:pPr>
      <w:r>
        <w:rPr>
          <w:rStyle w:val="8"/>
          <w:rFonts w:hint="default" w:ascii="Times New Roman" w:hAnsi="Times New Roman" w:eastAsia="方正仿宋_GBK" w:cs="Times New Roman"/>
          <w:b w:val="0"/>
          <w:bCs/>
          <w:sz w:val="32"/>
          <w:szCs w:val="32"/>
          <w:shd w:val="clear" w:color="auto" w:fill="auto"/>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b w:val="0"/>
          <w:bCs/>
          <w:sz w:val="32"/>
          <w:szCs w:val="32"/>
          <w:shd w:val="clear" w:color="auto" w:fill="auto"/>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w:t>
      </w:r>
      <w:r>
        <w:rPr>
          <w:rStyle w:val="8"/>
          <w:rFonts w:hint="eastAsia" w:ascii="方正黑体_GBK" w:hAnsi="方正黑体_GBK" w:eastAsia="方正黑体_GBK" w:cs="方正黑体_GBK"/>
          <w:b w:val="0"/>
          <w:bCs/>
          <w:sz w:val="32"/>
          <w:szCs w:val="32"/>
          <w:shd w:val="clear" w:color="auto" w:fill="FFFFFF"/>
          <w:lang w:eastAsia="zh-CN"/>
        </w:rPr>
        <w:t>“三公”经</w:t>
      </w:r>
      <w:r>
        <w:rPr>
          <w:rStyle w:val="8"/>
          <w:rFonts w:hint="default" w:ascii="Times New Roman" w:hAnsi="Times New Roman" w:eastAsia="方正黑体_GBK" w:cs="Times New Roman"/>
          <w:b w:val="0"/>
          <w:bCs/>
          <w:sz w:val="32"/>
          <w:szCs w:val="32"/>
          <w:shd w:val="clear" w:color="auto" w:fill="FFFFFF"/>
          <w:lang w:eastAsia="zh-CN"/>
        </w:rPr>
        <w:t>费情况说明</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eastAsia" w:ascii="Times New Roman" w:hAnsi="Times New Roman" w:eastAsia="方正仿宋_GBK" w:cs="Times New Roman"/>
          <w:b w:val="0"/>
          <w:bCs w:val="0"/>
          <w:sz w:val="32"/>
          <w:szCs w:val="32"/>
          <w:shd w:val="clear" w:color="auto" w:fill="FFFFFF"/>
          <w:lang w:val="en-US" w:eastAsia="zh-CN"/>
        </w:rPr>
        <w:t>妙泉</w:t>
      </w:r>
      <w:r>
        <w:rPr>
          <w:rFonts w:hint="default" w:ascii="Times New Roman" w:hAnsi="Times New Roman" w:eastAsia="方正仿宋_GBK" w:cs="Times New Roman"/>
          <w:b w:val="0"/>
          <w:bCs w:val="0"/>
          <w:sz w:val="32"/>
          <w:szCs w:val="32"/>
          <w:shd w:val="clear" w:color="auto" w:fill="FFFFFF"/>
          <w:lang w:val="en-US" w:eastAsia="zh-CN"/>
        </w:rPr>
        <w:t>镇人民政府下属二级单位，</w:t>
      </w:r>
      <w:r>
        <w:rPr>
          <w:rFonts w:hint="eastAsia" w:ascii="Times New Roman" w:hAnsi="Times New Roman" w:eastAsia="方正仿宋_GBK" w:cs="Times New Roman"/>
          <w:b w:val="0"/>
          <w:bCs w:val="0"/>
          <w:sz w:val="32"/>
          <w:szCs w:val="32"/>
          <w:shd w:val="clear" w:color="auto" w:fill="FFFFFF"/>
          <w:lang w:val="en-US" w:eastAsia="zh-CN"/>
        </w:rPr>
        <w:t>三公经费预算及支出由本级统一核算，我单位无相关支出。</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（二）“三公”经费分项支出情况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（三）“三公”经费实物量情况</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本年度未产生会议活动</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万元，较上年决算数增加0.10万元，增长100.00%，主要原因是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按照部门决算填报口径，我单位不在机关运行经费统计范围之内。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6.00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tbl>
      <w:tblPr>
        <w:tblStyle w:val="9"/>
        <w:tblW w:w="8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7"/>
        <w:gridCol w:w="621"/>
        <w:gridCol w:w="1761"/>
        <w:gridCol w:w="522"/>
        <w:gridCol w:w="697"/>
        <w:gridCol w:w="697"/>
        <w:gridCol w:w="697"/>
        <w:gridCol w:w="697"/>
        <w:gridCol w:w="697"/>
        <w:gridCol w:w="697"/>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3" w:hRule="atLeast"/>
        </w:trPr>
        <w:tc>
          <w:tcPr>
            <w:tcW w:w="832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60" w:lineRule="exact"/>
              <w:jc w:val="center"/>
              <w:textAlignment w:val="center"/>
              <w:outlineLvl w:val="9"/>
              <w:rPr>
                <w:rFonts w:hint="eastAsia" w:ascii="宋体" w:hAnsi="宋体" w:eastAsia="宋体" w:cs="宋体"/>
                <w:b w:val="0"/>
                <w:bCs w:val="0"/>
                <w:i w:val="0"/>
                <w:color w:val="000000"/>
                <w:kern w:val="0"/>
                <w:sz w:val="32"/>
                <w:szCs w:val="32"/>
                <w:u w:val="none"/>
                <w:lang w:val="en-US" w:eastAsia="zh-CN" w:bidi="ar"/>
              </w:rPr>
            </w:pPr>
            <w:r>
              <w:rPr>
                <w:rFonts w:hint="eastAsia" w:ascii="宋体" w:hAnsi="宋体" w:eastAsia="宋体" w:cs="宋体"/>
                <w:b w:val="0"/>
                <w:bCs w:val="0"/>
                <w:i w:val="0"/>
                <w:color w:val="000000"/>
                <w:kern w:val="0"/>
                <w:sz w:val="32"/>
                <w:szCs w:val="32"/>
                <w:u w:val="none"/>
                <w:lang w:val="en-US" w:eastAsia="zh-CN" w:bidi="ar"/>
              </w:rPr>
              <w:t>妙泉镇文化服务中心</w:t>
            </w:r>
          </w:p>
          <w:p>
            <w:pPr>
              <w:keepNext w:val="0"/>
              <w:keepLines w:val="0"/>
              <w:pageBreakBefore w:val="0"/>
              <w:widowControl/>
              <w:suppressLineNumbers w:val="0"/>
              <w:kinsoku/>
              <w:wordWrap/>
              <w:overflowPunct/>
              <w:topLinePunct w:val="0"/>
              <w:autoSpaceDN/>
              <w:bidi w:val="0"/>
              <w:adjustRightInd/>
              <w:spacing w:line="560" w:lineRule="exact"/>
              <w:jc w:val="center"/>
              <w:textAlignment w:val="center"/>
              <w:outlineLvl w:val="9"/>
              <w:rPr>
                <w:rFonts w:hint="eastAsia" w:ascii="宋体" w:hAnsi="宋体" w:eastAsia="宋体" w:cs="宋体"/>
                <w:b w:val="0"/>
                <w:bCs w:val="0"/>
                <w:i w:val="0"/>
                <w:color w:val="000000"/>
                <w:sz w:val="32"/>
                <w:szCs w:val="32"/>
                <w:u w:val="none"/>
              </w:rPr>
            </w:pPr>
            <w:r>
              <w:rPr>
                <w:rFonts w:hint="eastAsia" w:ascii="宋体" w:hAnsi="宋体" w:eastAsia="宋体" w:cs="宋体"/>
                <w:b w:val="0"/>
                <w:bCs w:val="0"/>
                <w:i w:val="0"/>
                <w:color w:val="000000"/>
                <w:kern w:val="0"/>
                <w:sz w:val="32"/>
                <w:szCs w:val="32"/>
                <w:u w:val="none"/>
                <w:lang w:val="en-US" w:eastAsia="zh-CN" w:bidi="ar"/>
              </w:rPr>
              <w:t>2023年度项目支出绩效自评情况表（二级项目）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5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序号</w:t>
            </w:r>
          </w:p>
        </w:tc>
        <w:tc>
          <w:tcPr>
            <w:tcW w:w="62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项目名称</w:t>
            </w:r>
          </w:p>
        </w:tc>
        <w:tc>
          <w:tcPr>
            <w:tcW w:w="17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指标名称</w:t>
            </w:r>
          </w:p>
        </w:tc>
        <w:tc>
          <w:tcPr>
            <w:tcW w:w="52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指标性质</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指标值</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计量单位</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指标权重</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全年完成值</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指标得分</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说明</w:t>
            </w:r>
          </w:p>
        </w:tc>
        <w:tc>
          <w:tcPr>
            <w:tcW w:w="69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restart"/>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21"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美术馆、图书馆、文化馆(站)免费开放专项</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开放时长</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小时</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96</w:t>
            </w:r>
          </w:p>
        </w:tc>
        <w:tc>
          <w:tcPr>
            <w:tcW w:w="69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5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开放时间</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9" w:hRule="atLeast"/>
        </w:trPr>
        <w:tc>
          <w:tcPr>
            <w:tcW w:w="537"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21"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受益人数</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r>
    </w:tbl>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eastAsia="zh-CN"/>
        </w:rPr>
        <w:t>（二）</w:t>
      </w:r>
      <w:r>
        <w:rPr>
          <w:rStyle w:val="8"/>
          <w:rFonts w:hint="default" w:ascii="Times New Roman" w:hAnsi="Times New Roman" w:eastAsia="方正楷体_GBK" w:cs="Times New Roman"/>
          <w:b w:val="0"/>
          <w:bCs/>
          <w:sz w:val="32"/>
          <w:szCs w:val="32"/>
          <w:shd w:val="clear" w:color="auto" w:fill="FFFFFF"/>
        </w:rPr>
        <w:t>单位绩效评价情况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b w:val="0"/>
          <w:bCs w:val="0"/>
          <w:sz w:val="32"/>
          <w:szCs w:val="32"/>
          <w:highlight w:val="none"/>
          <w:shd w:val="clear" w:color="auto" w:fill="auto"/>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highlight w:val="none"/>
          <w:shd w:val="clear" w:color="auto" w:fill="FFFFFF"/>
        </w:rPr>
      </w:pPr>
      <w:r>
        <w:rPr>
          <w:rFonts w:hint="eastAsia" w:ascii="Times New Roman" w:hAnsi="Times New Roman" w:eastAsia="方正仿宋_GBK" w:cs="Times New Roman"/>
          <w:b w:val="0"/>
          <w:bCs w:val="0"/>
          <w:sz w:val="32"/>
          <w:szCs w:val="32"/>
          <w:highlight w:val="none"/>
          <w:shd w:val="clear" w:color="auto" w:fill="FFFFFF"/>
          <w:lang w:eastAsia="zh-CN"/>
        </w:rPr>
        <w:t>县</w:t>
      </w:r>
      <w:r>
        <w:rPr>
          <w:rFonts w:hint="default" w:ascii="Times New Roman" w:hAnsi="Times New Roman" w:eastAsia="方正仿宋_GBK" w:cs="Times New Roman"/>
          <w:b w:val="0"/>
          <w:bCs w:val="0"/>
          <w:sz w:val="32"/>
          <w:szCs w:val="32"/>
          <w:highlight w:val="none"/>
          <w:shd w:val="clear" w:color="auto" w:fill="FFFFFF"/>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w:t>
      </w:r>
      <w:r>
        <w:rPr>
          <w:rFonts w:hint="eastAsia" w:ascii="方正仿宋_GBK" w:hAnsi="方正仿宋_GBK" w:eastAsia="方正仿宋_GBK" w:cs="方正仿宋_GBK"/>
          <w:sz w:val="32"/>
          <w:szCs w:val="32"/>
          <w:shd w:val="clear" w:color="auto" w:fill="FFFFFF"/>
        </w:rPr>
        <w:t>除“财政拨款收入”、“事业收入”、“经营收入”等以</w:t>
      </w:r>
      <w:r>
        <w:rPr>
          <w:rFonts w:hint="default" w:ascii="Times New Roman" w:hAnsi="Times New Roman" w:eastAsia="方正仿宋_GBK" w:cs="Times New Roman"/>
          <w:sz w:val="32"/>
          <w:szCs w:val="32"/>
          <w:shd w:val="clear" w:color="auto" w:fill="FFFFFF"/>
        </w:rPr>
        <w:t>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w:t>
      </w:r>
      <w:r>
        <w:rPr>
          <w:rFonts w:hint="eastAsia" w:ascii="方正仿宋_GBK" w:hAnsi="方正仿宋_GBK" w:eastAsia="方正仿宋_GBK" w:cs="方正仿宋_GBK"/>
          <w:sz w:val="32"/>
          <w:szCs w:val="32"/>
          <w:shd w:val="clear" w:color="auto" w:fill="FFFFFF"/>
        </w:rPr>
        <w:t>年的“财政拨款收入”、“事业收入”、“经营收入”、“其他收入”等不</w:t>
      </w:r>
      <w:r>
        <w:rPr>
          <w:rFonts w:hint="default" w:ascii="Times New Roman" w:hAnsi="Times New Roman" w:eastAsia="方正仿宋_GBK" w:cs="Times New Roman"/>
          <w:sz w:val="32"/>
          <w:szCs w:val="32"/>
          <w:shd w:val="clear" w:color="auto" w:fill="FFFFFF"/>
        </w:rPr>
        <w:t>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w:t>
      </w:r>
      <w:r>
        <w:rPr>
          <w:rFonts w:hint="eastAsia" w:ascii="方正仿宋_GBK" w:hAnsi="方正仿宋_GBK" w:eastAsia="方正仿宋_GBK" w:cs="方正仿宋_GBK"/>
          <w:sz w:val="32"/>
          <w:szCs w:val="32"/>
          <w:shd w:val="clear" w:color="auto" w:fill="FFFFFF"/>
        </w:rPr>
        <w:t>的“工资福利支出”和“对个人和家庭的补助”</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rPr>
        <w:t>“工资福利支出”和“对个人和家庭的补助”外</w:t>
      </w:r>
      <w:r>
        <w:rPr>
          <w:rFonts w:hint="default" w:ascii="Times New Roman" w:hAnsi="Times New Roman" w:eastAsia="方正仿宋_GBK" w:cs="Times New Roman"/>
          <w:sz w:val="32"/>
          <w:szCs w:val="32"/>
          <w:shd w:val="clear" w:color="auto" w:fill="FFFFFF"/>
        </w:rPr>
        <w:t>的其他支出。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w:t>
      </w:r>
      <w:r>
        <w:rPr>
          <w:rStyle w:val="8"/>
          <w:rFonts w:hint="eastAsia" w:ascii="方正楷体_GBK" w:hAnsi="方正楷体_GBK" w:eastAsia="方正楷体_GBK" w:cs="方正楷体_GBK"/>
          <w:b w:val="0"/>
          <w:bCs/>
          <w:sz w:val="32"/>
          <w:szCs w:val="32"/>
          <w:shd w:val="clear" w:color="auto" w:fill="FFFFFF"/>
        </w:rPr>
        <w:t>“三公”经</w:t>
      </w:r>
      <w:r>
        <w:rPr>
          <w:rStyle w:val="8"/>
          <w:rFonts w:hint="default" w:ascii="Times New Roman" w:hAnsi="Times New Roman" w:eastAsia="方正楷体_GBK" w:cs="Times New Roman"/>
          <w:b w:val="0"/>
          <w:bCs/>
          <w:sz w:val="32"/>
          <w:szCs w:val="32"/>
          <w:shd w:val="clear" w:color="auto" w:fill="FFFFFF"/>
        </w:rPr>
        <w:t>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仿宋_GBK" w:cs="Times New Roman"/>
          <w:sz w:val="32"/>
          <w:szCs w:val="32"/>
          <w:shd w:val="clear" w:color="auto" w:fill="FFFF00"/>
        </w:rPr>
        <w:sectPr>
          <w:headerReference r:id="rId3" w:type="default"/>
          <w:footerReference r:id="rId4"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eastAsia="zh-CN"/>
        </w:rPr>
        <w:t>杨光昱</w:t>
      </w:r>
      <w:r>
        <w:rPr>
          <w:rFonts w:hint="default" w:ascii="Times New Roman" w:hAnsi="Times New Roman" w:eastAsia="方正仿宋_GBK" w:cs="Times New Roman"/>
          <w:color w:val="auto"/>
          <w:sz w:val="32"/>
          <w:szCs w:val="32"/>
          <w:shd w:val="clear" w:color="auto" w:fill="FFFFFF"/>
          <w:lang w:val="en-US" w:eastAsia="zh-CN"/>
        </w:rPr>
        <w:t>76643180</w:t>
      </w: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重庆市秀山土家族苗族自治县妙泉镇文化服务中心</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32.55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38.66</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重庆市秀山土家族苗族自治县妙泉镇文化服务中心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38.66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38.66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重庆市秀山土家族苗族自治县妙泉镇文化服务中心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38.66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32.66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6.00</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32.55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重庆市秀山土家族苗族自治县妙泉镇文化服务中心</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38.66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32.66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32.55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26.55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26.55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重庆市秀山土家族苗族自治县妙泉镇文化服务中心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29.82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29.82</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重庆市秀山土家族苗族自治县妙泉镇文化服务中心</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重庆市秀山土家族苗族自治县妙泉镇文化服务中心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bookmarkStart w:id="0" w:name="_GoBack"/>
      <w:bookmarkEnd w:id="0"/>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B67846"/>
    <w:rsid w:val="00C20C3E"/>
    <w:rsid w:val="00F73F90"/>
    <w:rsid w:val="01474EBF"/>
    <w:rsid w:val="01F3521E"/>
    <w:rsid w:val="02B93144"/>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0B6919"/>
    <w:rsid w:val="0D673E11"/>
    <w:rsid w:val="0DDA54E4"/>
    <w:rsid w:val="0E3A5F83"/>
    <w:rsid w:val="0E431C02"/>
    <w:rsid w:val="0F836721"/>
    <w:rsid w:val="0FA25D96"/>
    <w:rsid w:val="100A447C"/>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FF1FC0"/>
    <w:rsid w:val="163A6CEE"/>
    <w:rsid w:val="173708E3"/>
    <w:rsid w:val="17C374FC"/>
    <w:rsid w:val="182E4AB6"/>
    <w:rsid w:val="189079DC"/>
    <w:rsid w:val="189B0D0B"/>
    <w:rsid w:val="18B43F7C"/>
    <w:rsid w:val="19454792"/>
    <w:rsid w:val="194A1770"/>
    <w:rsid w:val="19B906A4"/>
    <w:rsid w:val="1AA51101"/>
    <w:rsid w:val="1B6F15B6"/>
    <w:rsid w:val="1BAA2EDC"/>
    <w:rsid w:val="1CA55E64"/>
    <w:rsid w:val="1D014A01"/>
    <w:rsid w:val="1D022362"/>
    <w:rsid w:val="1D1B04B0"/>
    <w:rsid w:val="1DA52501"/>
    <w:rsid w:val="1DBD6767"/>
    <w:rsid w:val="1DC52125"/>
    <w:rsid w:val="1DD26311"/>
    <w:rsid w:val="1E374ACB"/>
    <w:rsid w:val="1E617B02"/>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8E1D33"/>
    <w:rsid w:val="27B23302"/>
    <w:rsid w:val="27CF0039"/>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B951D9"/>
    <w:rsid w:val="362F091D"/>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7214FE"/>
    <w:rsid w:val="3D177580"/>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9B5AA6"/>
    <w:rsid w:val="48225EF7"/>
    <w:rsid w:val="488F422B"/>
    <w:rsid w:val="48E36915"/>
    <w:rsid w:val="48EB6572"/>
    <w:rsid w:val="495C4A24"/>
    <w:rsid w:val="497135DF"/>
    <w:rsid w:val="4A263DF2"/>
    <w:rsid w:val="4A6F6675"/>
    <w:rsid w:val="4B135857"/>
    <w:rsid w:val="4B7951CB"/>
    <w:rsid w:val="4B7C315C"/>
    <w:rsid w:val="4C0435D4"/>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EF2DEE"/>
    <w:rsid w:val="5A3B59D6"/>
    <w:rsid w:val="5AD134D8"/>
    <w:rsid w:val="5C263CE4"/>
    <w:rsid w:val="5C5D2777"/>
    <w:rsid w:val="5CF66BF3"/>
    <w:rsid w:val="5D290C69"/>
    <w:rsid w:val="5F2D4A41"/>
    <w:rsid w:val="60C74F6C"/>
    <w:rsid w:val="61025A59"/>
    <w:rsid w:val="613D5BBC"/>
    <w:rsid w:val="61536C39"/>
    <w:rsid w:val="62944DD7"/>
    <w:rsid w:val="6319381F"/>
    <w:rsid w:val="632821AA"/>
    <w:rsid w:val="63C25DC5"/>
    <w:rsid w:val="63C62057"/>
    <w:rsid w:val="64571EF5"/>
    <w:rsid w:val="64FB113D"/>
    <w:rsid w:val="656152C6"/>
    <w:rsid w:val="6587477F"/>
    <w:rsid w:val="658C3A08"/>
    <w:rsid w:val="65C031CA"/>
    <w:rsid w:val="65CE6852"/>
    <w:rsid w:val="66267C04"/>
    <w:rsid w:val="663F505A"/>
    <w:rsid w:val="66EE5541"/>
    <w:rsid w:val="67924660"/>
    <w:rsid w:val="68002B7F"/>
    <w:rsid w:val="681C31DD"/>
    <w:rsid w:val="68407834"/>
    <w:rsid w:val="6883293E"/>
    <w:rsid w:val="688412AD"/>
    <w:rsid w:val="68EB1B71"/>
    <w:rsid w:val="69AF76E6"/>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E0A1E"/>
    <w:rsid w:val="708F6F7F"/>
    <w:rsid w:val="70D94BD3"/>
    <w:rsid w:val="71C34D91"/>
    <w:rsid w:val="72DB435C"/>
    <w:rsid w:val="72E2613A"/>
    <w:rsid w:val="72F771F4"/>
    <w:rsid w:val="73934AD2"/>
    <w:rsid w:val="750837F0"/>
    <w:rsid w:val="754758CF"/>
    <w:rsid w:val="764F62AB"/>
    <w:rsid w:val="765C45EC"/>
    <w:rsid w:val="768A7619"/>
    <w:rsid w:val="772E1EBA"/>
    <w:rsid w:val="78151C02"/>
    <w:rsid w:val="781926BC"/>
    <w:rsid w:val="796D60A4"/>
    <w:rsid w:val="79A031D5"/>
    <w:rsid w:val="7A1525F7"/>
    <w:rsid w:val="7B420052"/>
    <w:rsid w:val="7BD06A28"/>
    <w:rsid w:val="7C3A7C0B"/>
    <w:rsid w:val="7C5248E4"/>
    <w:rsid w:val="7C566698"/>
    <w:rsid w:val="7C5866A3"/>
    <w:rsid w:val="7D7406BB"/>
    <w:rsid w:val="7DE94331"/>
    <w:rsid w:val="7E70299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2024-09-27T02:20:08Z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