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rPr>
        <w:t>重庆市秀山土家族苗族自治县妙泉镇农业服务中心（特色产业发展中心）</w:t>
      </w:r>
      <w:r>
        <w:rPr>
          <w:rFonts w:hint="default" w:ascii="Times New Roman" w:hAnsi="Times New Roman" w:eastAsia="方正小标宋_GBK" w:cs="Times New Roman"/>
          <w:sz w:val="36"/>
          <w:szCs w:val="36"/>
          <w:shd w:val="clear" w:color="auto" w:fill="FFFFFF"/>
        </w:rPr>
        <w:t>2023年度决算公开说明</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sz w:val="36"/>
          <w:szCs w:val="36"/>
          <w:shd w:val="clear" w:color="auto" w:fill="FFFFFF"/>
        </w:rPr>
      </w:pPr>
    </w:p>
    <w:p>
      <w:pPr>
        <w:pStyle w:val="3"/>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黑体" w:cs="Times New Roman"/>
          <w:sz w:val="32"/>
          <w:szCs w:val="32"/>
        </w:rPr>
      </w:pPr>
      <w:r>
        <w:rPr>
          <w:rStyle w:val="9"/>
          <w:rFonts w:hint="default" w:ascii="Times New Roman" w:hAnsi="Times New Roman" w:eastAsia="方正黑体_GBK" w:cs="Times New Roman"/>
          <w:b w:val="0"/>
          <w:bCs/>
          <w:sz w:val="32"/>
          <w:szCs w:val="32"/>
          <w:shd w:val="clear" w:color="auto" w:fill="FFFFFF"/>
        </w:rPr>
        <w:t>一、单位基本情况</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（一）职能职责</w:t>
      </w:r>
    </w:p>
    <w:p>
      <w:pPr>
        <w:pStyle w:val="3"/>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贯彻执行法律、法规、规章和镇人民政府的决策部署、依法管理本辖区农业方面相关的公共事务。承担农技、农机、畜牧、水利水产等方面的技术推广、信息服务、水土保持、灾害防治、土地规模经营管理、农产品质量安全监管，农业综合服务等工作。承办镇党委、镇政府交办的其他工作。</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（二）机构设置</w:t>
      </w:r>
    </w:p>
    <w:p>
      <w:pPr>
        <w:pStyle w:val="3"/>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秀山土家族苗族自治县妙泉镇农业服务中心（特色产业发展中心）为妙泉镇人民政府下属二级单位。本单位有事业编制人员5名。</w:t>
      </w:r>
    </w:p>
    <w:p>
      <w:pPr>
        <w:pStyle w:val="3"/>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二、单位决算情况说明</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楷体" w:cs="Times New Roman"/>
          <w:b/>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lang w:val="en-US" w:eastAsia="zh-CN" w:bidi="ar-SA"/>
        </w:rPr>
        <w:t>（一）收入支出决算总体情况说明</w:t>
      </w:r>
    </w:p>
    <w:p>
      <w:pPr>
        <w:pStyle w:val="3"/>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2023年度收入总计334.17万元，支出总计</w:t>
      </w:r>
      <w:r>
        <w:rPr>
          <w:rFonts w:hint="default" w:ascii="Times New Roman" w:hAnsi="Times New Roman" w:eastAsia="方正仿宋_GBK" w:cs="Times New Roman"/>
          <w:sz w:val="32"/>
          <w:szCs w:val="32"/>
        </w:rPr>
        <w:t>334.17</w:t>
      </w:r>
      <w:r>
        <w:rPr>
          <w:rFonts w:hint="default" w:ascii="Times New Roman" w:hAnsi="Times New Roman" w:eastAsia="方正仿宋_GBK" w:cs="Times New Roman"/>
          <w:sz w:val="32"/>
          <w:szCs w:val="32"/>
          <w:shd w:val="clear" w:color="auto" w:fill="FFFFFF"/>
        </w:rPr>
        <w:t>万元。收支较上年决算数增加334.17万元，增长100.00%，主要原因是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2023年度收入合计334.17万元，较上年决算数增加334.17万元，增长100.00%，主要原因是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334.17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308.18</w:t>
      </w:r>
      <w:r>
        <w:rPr>
          <w:rFonts w:hint="default" w:ascii="Times New Roman" w:hAnsi="Times New Roman" w:eastAsia="方正仿宋_GBK" w:cs="Times New Roman"/>
          <w:sz w:val="32"/>
          <w:szCs w:val="32"/>
          <w:shd w:val="clear" w:color="auto" w:fill="FFFFFF"/>
        </w:rPr>
        <w:t>万元，较上年决算数增加308.18万元，增长100.00%，主要原因是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88.33</w:t>
      </w:r>
      <w:r>
        <w:rPr>
          <w:rFonts w:hint="default" w:ascii="Times New Roman" w:hAnsi="Times New Roman" w:eastAsia="方正仿宋_GBK" w:cs="Times New Roman"/>
          <w:sz w:val="32"/>
          <w:szCs w:val="32"/>
          <w:shd w:val="clear" w:color="auto" w:fill="FFFFFF"/>
        </w:rPr>
        <w:t>万元，占28.66%；项目支出</w:t>
      </w:r>
      <w:r>
        <w:rPr>
          <w:rFonts w:hint="default" w:ascii="Times New Roman" w:hAnsi="Times New Roman" w:eastAsia="方正仿宋_GBK" w:cs="Times New Roman"/>
          <w:sz w:val="32"/>
          <w:szCs w:val="32"/>
        </w:rPr>
        <w:t>219.85</w:t>
      </w:r>
      <w:r>
        <w:rPr>
          <w:rFonts w:hint="default" w:ascii="Times New Roman" w:hAnsi="Times New Roman" w:eastAsia="方正仿宋_GBK" w:cs="Times New Roman"/>
          <w:sz w:val="32"/>
          <w:szCs w:val="32"/>
          <w:shd w:val="clear" w:color="auto" w:fill="FFFFFF"/>
        </w:rPr>
        <w:t>万元，占71.34%；经营支出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25.99</w:t>
      </w:r>
      <w:r>
        <w:rPr>
          <w:rFonts w:hint="default" w:ascii="Times New Roman" w:hAnsi="Times New Roman" w:eastAsia="方正仿宋_GBK" w:cs="Times New Roman"/>
          <w:sz w:val="32"/>
          <w:szCs w:val="32"/>
          <w:shd w:val="clear" w:color="auto" w:fill="FFFFFF"/>
        </w:rPr>
        <w:t>万元，较上年决算数增加25.99万元，增长100.00%，主要原因是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（二）财政拨款收入支出决算总体情况说明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2023年度财政拨款收、支总计334.17万元。与2022年相比，财政拨款收、支总计各增加334.17万元，增长100.00%。主要原因是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（三）一般公共预算财政拨款收入支出决算情况说明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334.17</w:t>
      </w:r>
      <w:r>
        <w:rPr>
          <w:rFonts w:hint="default" w:ascii="Times New Roman" w:hAnsi="Times New Roman" w:eastAsia="方正仿宋_GBK" w:cs="Times New Roman"/>
          <w:sz w:val="32"/>
          <w:szCs w:val="32"/>
          <w:shd w:val="clear" w:color="auto" w:fill="FFFFFF"/>
        </w:rPr>
        <w:t>万元，较上年决算数增加334.17万元，增长100.00%。主要原因是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较年初预算数增加6.86万元，增长2.10%。主要原因是</w:t>
      </w:r>
      <w:r>
        <w:rPr>
          <w:rFonts w:hint="default" w:ascii="Times New Roman" w:hAnsi="Times New Roman" w:eastAsia="方正仿宋_GBK" w:cs="Times New Roman"/>
          <w:sz w:val="32"/>
          <w:szCs w:val="32"/>
          <w:shd w:val="clear" w:color="auto" w:fill="FFFFFF"/>
          <w:lang w:eastAsia="zh-CN"/>
        </w:rPr>
        <w:t>职工人数增加，相应经费支出增加。</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308.18</w:t>
      </w:r>
      <w:r>
        <w:rPr>
          <w:rFonts w:hint="default" w:ascii="Times New Roman" w:hAnsi="Times New Roman" w:eastAsia="方正仿宋_GBK" w:cs="Times New Roman"/>
          <w:sz w:val="32"/>
          <w:szCs w:val="32"/>
          <w:shd w:val="clear" w:color="auto" w:fill="FFFFFF"/>
        </w:rPr>
        <w:t>万元，较上年决算数增加308.18万元，增长100.00%。主要原因是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较年初预算数减少108.11万元，下降25.97%。主要原因是</w:t>
      </w:r>
      <w:r>
        <w:rPr>
          <w:rFonts w:hint="default" w:ascii="Times New Roman" w:hAnsi="Times New Roman" w:eastAsia="方正仿宋_GBK" w:cs="Times New Roman"/>
          <w:color w:val="auto"/>
          <w:sz w:val="32"/>
          <w:szCs w:val="32"/>
          <w:shd w:val="clear" w:color="auto" w:fill="FFFFFF"/>
          <w:lang w:eastAsia="zh-CN"/>
        </w:rPr>
        <w:t>农林水方面支出减少</w:t>
      </w:r>
      <w:r>
        <w:rPr>
          <w:rFonts w:hint="default" w:ascii="Times New Roman" w:hAnsi="Times New Roman" w:eastAsia="方正仿宋_GBK" w:cs="Times New Roman"/>
          <w:color w:val="auto"/>
          <w:sz w:val="32"/>
          <w:szCs w:val="32"/>
          <w:shd w:val="clear" w:color="auto" w:fill="FFFFFF"/>
          <w:lang w:val="en-US" w:eastAsia="zh-CN"/>
        </w:rPr>
        <w:t>100.07万元。</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25.99</w:t>
      </w:r>
      <w:r>
        <w:rPr>
          <w:rFonts w:hint="default" w:ascii="Times New Roman" w:hAnsi="Times New Roman" w:eastAsia="方正仿宋_GBK" w:cs="Times New Roman"/>
          <w:sz w:val="32"/>
          <w:szCs w:val="32"/>
          <w:shd w:val="clear" w:color="auto" w:fill="FFFFFF"/>
        </w:rPr>
        <w:t>万元，较上年决算数增加25.99万元，增长100.00%，主要原因是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9"/>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10.62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3.44</w:t>
      </w:r>
      <w:r>
        <w:rPr>
          <w:rFonts w:hint="default" w:ascii="Times New Roman" w:hAnsi="Times New Roman" w:eastAsia="方正仿宋_GBK" w:cs="Times New Roman"/>
          <w:sz w:val="32"/>
          <w:szCs w:val="32"/>
          <w:shd w:val="clear" w:color="auto" w:fill="FFFFFF"/>
        </w:rPr>
        <w:t>%，较年初预算数减少8.03万元，下降43.06%，主要原因是</w:t>
      </w:r>
      <w:r>
        <w:rPr>
          <w:rFonts w:hint="default" w:ascii="Times New Roman" w:hAnsi="Times New Roman" w:eastAsia="方正仿宋_GBK" w:cs="Times New Roman"/>
          <w:sz w:val="32"/>
          <w:szCs w:val="32"/>
          <w:shd w:val="clear" w:color="auto" w:fill="FFFFFF"/>
          <w:lang w:eastAsia="zh-CN"/>
        </w:rPr>
        <w:t>公益性岗位、三支一扶等员工减少，所需经费减少。</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4.86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1.58</w:t>
      </w:r>
      <w:r>
        <w:rPr>
          <w:rFonts w:hint="default" w:ascii="Times New Roman" w:hAnsi="Times New Roman" w:eastAsia="方正仿宋_GBK" w:cs="Times New Roman"/>
          <w:sz w:val="32"/>
          <w:szCs w:val="32"/>
          <w:shd w:val="clear" w:color="auto" w:fill="FFFFFF"/>
        </w:rPr>
        <w:t>%，较年初预算数无增减，主要原因是</w:t>
      </w:r>
      <w:r>
        <w:rPr>
          <w:rFonts w:hint="default" w:ascii="Times New Roman" w:hAnsi="Times New Roman" w:eastAsia="方正仿宋_GBK" w:cs="Times New Roman"/>
          <w:sz w:val="32"/>
          <w:szCs w:val="32"/>
          <w:shd w:val="clear" w:color="auto" w:fill="FFFFFF"/>
          <w:lang w:eastAsia="zh-CN"/>
        </w:rPr>
        <w:t>经费按实际整年需求设置预算，支出方面严格按照预算要求执行，所以不存在增减。</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rPr>
        <w:t>283.47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91.98</w:t>
      </w:r>
      <w:r>
        <w:rPr>
          <w:rFonts w:hint="default" w:ascii="Times New Roman" w:hAnsi="Times New Roman" w:eastAsia="方正仿宋_GBK" w:cs="Times New Roman"/>
          <w:sz w:val="32"/>
          <w:szCs w:val="32"/>
          <w:shd w:val="clear" w:color="auto" w:fill="FFFFFF"/>
        </w:rPr>
        <w:t>%，较年初预算数减少100.07万元，下降26.09%，主要原因是</w:t>
      </w:r>
      <w:r>
        <w:rPr>
          <w:rFonts w:hint="default" w:ascii="Times New Roman" w:hAnsi="Times New Roman" w:eastAsia="方正仿宋_GBK" w:cs="Times New Roman"/>
          <w:sz w:val="32"/>
          <w:szCs w:val="32"/>
          <w:shd w:val="clear" w:color="auto" w:fill="FFFFFF"/>
          <w:lang w:eastAsia="zh-CN"/>
        </w:rPr>
        <w:t>总体如</w:t>
      </w:r>
      <w:r>
        <w:rPr>
          <w:rFonts w:hint="default" w:ascii="Times New Roman" w:hAnsi="Times New Roman" w:eastAsia="方正仿宋_GBK" w:cs="Times New Roman"/>
          <w:sz w:val="32"/>
          <w:szCs w:val="32"/>
          <w:shd w:val="clear" w:color="auto" w:fill="FFFFFF"/>
        </w:rPr>
        <w:t>驻村工作</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森林防火</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森林资源管护</w:t>
      </w:r>
      <w:r>
        <w:rPr>
          <w:rFonts w:hint="default" w:ascii="Times New Roman" w:hAnsi="Times New Roman" w:eastAsia="方正仿宋_GBK" w:cs="Times New Roman"/>
          <w:sz w:val="32"/>
          <w:szCs w:val="32"/>
          <w:shd w:val="clear" w:color="auto" w:fill="FFFFFF"/>
          <w:lang w:eastAsia="zh-CN"/>
        </w:rPr>
        <w:t>、森林资源管护等开支，由于</w:t>
      </w:r>
      <w:r>
        <w:rPr>
          <w:rFonts w:hint="default" w:ascii="Times New Roman" w:hAnsi="Times New Roman" w:eastAsia="方正仿宋_GBK" w:cs="Times New Roman"/>
          <w:sz w:val="32"/>
          <w:szCs w:val="32"/>
          <w:shd w:val="clear" w:color="auto" w:fill="FFFFFF"/>
          <w:lang w:val="en-US" w:eastAsia="zh-CN"/>
        </w:rPr>
        <w:t>2023年气候炎热，防旱、森林土地保护相关开支增大，导致较年初预算数增加，但是本单位相应分摊的农林水支出开支减少。</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住房保障支出9.24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3.00</w:t>
      </w:r>
      <w:r>
        <w:rPr>
          <w:rFonts w:hint="default" w:ascii="Times New Roman" w:hAnsi="Times New Roman" w:eastAsia="方正仿宋_GBK" w:cs="Times New Roman"/>
          <w:sz w:val="32"/>
          <w:szCs w:val="32"/>
          <w:shd w:val="clear" w:color="auto" w:fill="FFFFFF"/>
        </w:rPr>
        <w:t>%，较年初预算数无增减，主要原因是</w:t>
      </w:r>
      <w:r>
        <w:rPr>
          <w:rFonts w:hint="default" w:ascii="Times New Roman" w:hAnsi="Times New Roman" w:eastAsia="方正仿宋_GBK" w:cs="Times New Roman"/>
          <w:sz w:val="32"/>
          <w:szCs w:val="32"/>
          <w:shd w:val="clear" w:color="auto" w:fill="FFFFFF"/>
          <w:lang w:eastAsia="zh-CN"/>
        </w:rPr>
        <w:t>经费按实际整年需求设置预算，支出方面严格按照预算要求执行，所以不存在增减。</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（四）一般公共预算财政拨款基本支出决算情况说明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88.33</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83.63</w:t>
      </w:r>
      <w:r>
        <w:rPr>
          <w:rFonts w:hint="default" w:ascii="Times New Roman" w:hAnsi="Times New Roman" w:eastAsia="方正仿宋_GBK" w:cs="Times New Roman"/>
          <w:sz w:val="32"/>
          <w:szCs w:val="32"/>
          <w:shd w:val="clear" w:color="auto" w:fill="FFFFFF"/>
        </w:rPr>
        <w:t>万元，较上年决算数增加83.63万元，增长100.00%，主要原因是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rPr>
        <w:t>基本工资、津贴补贴、奖金、社会保障缴费、生活补助、住房公积金等。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4.70</w:t>
      </w:r>
      <w:r>
        <w:rPr>
          <w:rFonts w:hint="default" w:ascii="Times New Roman" w:hAnsi="Times New Roman" w:eastAsia="方正仿宋_GBK" w:cs="Times New Roman"/>
          <w:sz w:val="32"/>
          <w:szCs w:val="32"/>
          <w:shd w:val="clear" w:color="auto" w:fill="FFFFFF"/>
        </w:rPr>
        <w:t>万元，较上年决算数增加4.70万元，增长100.00%，主要原因是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sz w:val="32"/>
        </w:rPr>
        <w:t>办公费、邮电费、差旅费、劳务费、其他交通费用等</w:t>
      </w:r>
      <w:r>
        <w:rPr>
          <w:rFonts w:hint="default" w:ascii="Times New Roman" w:hAnsi="Times New Roman" w:eastAsia="方正仿宋_GBK" w:cs="Times New Roman"/>
          <w:sz w:val="32"/>
          <w:lang w:eastAsia="zh-CN"/>
        </w:rPr>
        <w:t>。</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（五）政府性基金预算收支决算情况说明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auto"/>
        </w:rPr>
      </w:pPr>
      <w:r>
        <w:rPr>
          <w:rStyle w:val="9"/>
          <w:rFonts w:hint="eastAsia" w:ascii="方正仿宋_GBK" w:hAnsi="方正仿宋_GBK" w:eastAsia="方正仿宋_GBK" w:cs="方正仿宋_GBK"/>
          <w:b w:val="0"/>
          <w:bCs/>
          <w:sz w:val="32"/>
          <w:szCs w:val="32"/>
          <w:shd w:val="clear" w:color="auto" w:fill="auto"/>
        </w:rPr>
        <w:t>本单位</w:t>
      </w:r>
      <w:r>
        <w:rPr>
          <w:rStyle w:val="9"/>
          <w:rFonts w:hint="default" w:ascii="Times New Roman" w:hAnsi="Times New Roman" w:eastAsia="方正仿宋_GBK" w:cs="Times New Roman"/>
          <w:b w:val="0"/>
          <w:bCs/>
          <w:sz w:val="32"/>
          <w:szCs w:val="32"/>
          <w:shd w:val="clear" w:color="auto" w:fill="auto"/>
        </w:rPr>
        <w:t>2023</w:t>
      </w:r>
      <w:r>
        <w:rPr>
          <w:rStyle w:val="9"/>
          <w:rFonts w:hint="eastAsia" w:ascii="方正仿宋_GBK" w:hAnsi="方正仿宋_GBK" w:eastAsia="方正仿宋_GBK" w:cs="方正仿宋_GBK"/>
          <w:b w:val="0"/>
          <w:bCs/>
          <w:sz w:val="32"/>
          <w:szCs w:val="32"/>
          <w:shd w:val="clear" w:color="auto" w:fill="auto"/>
        </w:rPr>
        <w:t>年度无政府性基金预算财政拨款收支。</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（六）国有资本经营预算财政拨款支出决算情况说明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auto"/>
        </w:rPr>
      </w:pPr>
      <w:r>
        <w:rPr>
          <w:rStyle w:val="9"/>
          <w:rFonts w:hint="eastAsia" w:ascii="方正仿宋_GBK" w:hAnsi="方正仿宋_GBK" w:eastAsia="方正仿宋_GBK" w:cs="方正仿宋_GBK"/>
          <w:b w:val="0"/>
          <w:bCs/>
          <w:sz w:val="32"/>
          <w:szCs w:val="32"/>
          <w:shd w:val="clear" w:color="auto" w:fill="auto"/>
        </w:rPr>
        <w:t>本单位</w:t>
      </w:r>
      <w:r>
        <w:rPr>
          <w:rStyle w:val="9"/>
          <w:rFonts w:hint="default" w:ascii="Times New Roman" w:hAnsi="Times New Roman" w:eastAsia="方正仿宋_GBK" w:cs="Times New Roman"/>
          <w:b w:val="0"/>
          <w:bCs/>
          <w:sz w:val="32"/>
          <w:szCs w:val="32"/>
          <w:shd w:val="clear" w:color="auto" w:fill="auto"/>
        </w:rPr>
        <w:t>2023年</w:t>
      </w:r>
      <w:r>
        <w:rPr>
          <w:rStyle w:val="9"/>
          <w:rFonts w:hint="eastAsia" w:ascii="方正仿宋_GBK" w:hAnsi="方正仿宋_GBK" w:eastAsia="方正仿宋_GBK" w:cs="方正仿宋_GBK"/>
          <w:b w:val="0"/>
          <w:bCs/>
          <w:sz w:val="32"/>
          <w:szCs w:val="32"/>
          <w:shd w:val="clear" w:color="auto" w:fill="auto"/>
        </w:rPr>
        <w:t>度无国有资本经营预算财政拨款支出。</w:t>
      </w:r>
    </w:p>
    <w:p>
      <w:pPr>
        <w:pStyle w:val="3"/>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三、</w:t>
      </w:r>
      <w:r>
        <w:rPr>
          <w:rStyle w:val="9"/>
          <w:rFonts w:hint="eastAsia" w:ascii="方正黑体_GBK" w:hAnsi="方正黑体_GBK" w:eastAsia="方正黑体_GBK" w:cs="方正黑体_GBK"/>
          <w:b w:val="0"/>
          <w:bCs/>
          <w:sz w:val="32"/>
          <w:szCs w:val="32"/>
          <w:shd w:val="clear" w:color="auto" w:fill="FFFFFF"/>
        </w:rPr>
        <w:t>“三公”经</w:t>
      </w:r>
      <w:r>
        <w:rPr>
          <w:rStyle w:val="9"/>
          <w:rFonts w:hint="default" w:ascii="Times New Roman" w:hAnsi="Times New Roman" w:eastAsia="方正黑体_GBK" w:cs="Times New Roman"/>
          <w:b w:val="0"/>
          <w:bCs/>
          <w:sz w:val="32"/>
          <w:szCs w:val="32"/>
          <w:shd w:val="clear" w:color="auto" w:fill="FFFFFF"/>
        </w:rPr>
        <w:t>费情况说明</w:t>
      </w:r>
    </w:p>
    <w:p>
      <w:pPr>
        <w:pStyle w:val="17"/>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val="0"/>
          <w:sz w:val="32"/>
          <w:szCs w:val="32"/>
          <w:shd w:val="clear" w:color="auto" w:fill="FFFFFF"/>
        </w:rPr>
      </w:pPr>
      <w:r>
        <w:rPr>
          <w:rStyle w:val="9"/>
          <w:rFonts w:hint="default" w:ascii="Times New Roman" w:hAnsi="Times New Roman" w:eastAsia="方正楷体_GBK" w:cs="Times New Roman"/>
          <w:b w:val="0"/>
          <w:bCs w:val="0"/>
          <w:sz w:val="32"/>
          <w:szCs w:val="32"/>
          <w:shd w:val="clear" w:color="auto" w:fill="FFFFFF"/>
        </w:rPr>
        <w:t>（一）“三公”经费支出总体情况说明</w:t>
      </w:r>
    </w:p>
    <w:p>
      <w:pPr>
        <w:pStyle w:val="17"/>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2023年度“三公”经费支出共计0.00万元，较年初预算数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上年支出数无增减，主要原因是</w:t>
      </w:r>
      <w:r>
        <w:rPr>
          <w:rFonts w:hint="default" w:ascii="Times New Roman" w:hAnsi="Times New Roman" w:eastAsia="方正仿宋_GBK" w:cs="Times New Roman"/>
          <w:b w:val="0"/>
          <w:bCs w:val="0"/>
          <w:sz w:val="32"/>
          <w:szCs w:val="32"/>
          <w:shd w:val="clear" w:color="auto" w:fill="FFFFFF"/>
          <w:lang w:val="en-US" w:eastAsia="zh-CN"/>
        </w:rPr>
        <w:t>本单位为</w:t>
      </w:r>
      <w:r>
        <w:rPr>
          <w:rFonts w:hint="eastAsia" w:ascii="Times New Roman" w:hAnsi="Times New Roman" w:eastAsia="方正仿宋_GBK" w:cs="Times New Roman"/>
          <w:b w:val="0"/>
          <w:bCs w:val="0"/>
          <w:sz w:val="32"/>
          <w:szCs w:val="32"/>
          <w:shd w:val="clear" w:color="auto" w:fill="FFFFFF"/>
          <w:lang w:val="en-US" w:eastAsia="zh-CN"/>
        </w:rPr>
        <w:t>妙泉</w:t>
      </w:r>
      <w:r>
        <w:rPr>
          <w:rFonts w:hint="default" w:ascii="Times New Roman" w:hAnsi="Times New Roman" w:eastAsia="方正仿宋_GBK" w:cs="Times New Roman"/>
          <w:b w:val="0"/>
          <w:bCs w:val="0"/>
          <w:sz w:val="32"/>
          <w:szCs w:val="32"/>
          <w:shd w:val="clear" w:color="auto" w:fill="FFFFFF"/>
          <w:lang w:val="en-US" w:eastAsia="zh-CN"/>
        </w:rPr>
        <w:t>镇人民政府下属二级单位，</w:t>
      </w:r>
      <w:r>
        <w:rPr>
          <w:rFonts w:hint="eastAsia" w:ascii="Times New Roman" w:hAnsi="Times New Roman" w:eastAsia="方正仿宋_GBK" w:cs="Times New Roman"/>
          <w:b w:val="0"/>
          <w:bCs w:val="0"/>
          <w:sz w:val="32"/>
          <w:szCs w:val="32"/>
          <w:shd w:val="clear" w:color="auto" w:fill="FFFFFF"/>
          <w:lang w:val="en-US" w:eastAsia="zh-CN"/>
        </w:rPr>
        <w:t>三公经费预算及支出由本级统一核算，我单位无相关支出。</w:t>
      </w:r>
    </w:p>
    <w:p>
      <w:pPr>
        <w:pStyle w:val="17"/>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val="0"/>
          <w:sz w:val="32"/>
          <w:szCs w:val="32"/>
          <w:shd w:val="clear" w:color="auto" w:fill="FFFFFF"/>
        </w:rPr>
      </w:pPr>
      <w:r>
        <w:rPr>
          <w:rStyle w:val="9"/>
          <w:rFonts w:hint="default" w:ascii="Times New Roman" w:hAnsi="Times New Roman" w:eastAsia="方正楷体_GBK" w:cs="Times New Roman"/>
          <w:b w:val="0"/>
          <w:bCs w:val="0"/>
          <w:sz w:val="32"/>
          <w:szCs w:val="32"/>
          <w:shd w:val="clear" w:color="auto" w:fill="FFFFFF"/>
        </w:rPr>
        <w:t>（二）“三公”经费分项支出情况</w:t>
      </w:r>
    </w:p>
    <w:p>
      <w:pPr>
        <w:pStyle w:val="17"/>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eastAsia"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2023年度本单位因公出国（境）费用0.00万元，较年初预算数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17"/>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eastAsia"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 公务车购置费0.00万元，较年初预算数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17"/>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eastAsia"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 公务车运行维护费0.00万元</w:t>
      </w:r>
      <w:r>
        <w:rPr>
          <w:rFonts w:hint="default" w:ascii="Times New Roman" w:hAnsi="Times New Roman" w:eastAsia="方正仿宋_GBK" w:cs="Times New Roman"/>
          <w:b w:val="0"/>
          <w:bCs w:val="0"/>
          <w:sz w:val="32"/>
          <w:szCs w:val="32"/>
          <w:shd w:val="clear" w:color="auto" w:fill="FFFFFF"/>
          <w:lang w:val="en-US" w:eastAsia="zh-CN"/>
        </w:rPr>
        <w:t>。</w:t>
      </w:r>
      <w:r>
        <w:rPr>
          <w:rFonts w:hint="default" w:ascii="Times New Roman" w:hAnsi="Times New Roman" w:eastAsia="方正仿宋_GBK" w:cs="Times New Roman"/>
          <w:b w:val="0"/>
          <w:bCs w:val="0"/>
          <w:sz w:val="32"/>
          <w:szCs w:val="32"/>
          <w:shd w:val="clear" w:color="auto" w:fill="FFFFFF"/>
        </w:rPr>
        <w:t>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17"/>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 公务接待费0.00万元，较年初预算数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17"/>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val="0"/>
          <w:sz w:val="32"/>
          <w:szCs w:val="32"/>
          <w:shd w:val="clear" w:color="auto" w:fill="FFFFFF"/>
        </w:rPr>
      </w:pPr>
      <w:r>
        <w:rPr>
          <w:rStyle w:val="9"/>
          <w:rFonts w:hint="default" w:ascii="Times New Roman" w:hAnsi="Times New Roman" w:eastAsia="方正楷体_GBK" w:cs="Times New Roman"/>
          <w:b w:val="0"/>
          <w:bCs w:val="0"/>
          <w:sz w:val="32"/>
          <w:szCs w:val="32"/>
          <w:shd w:val="clear" w:color="auto" w:fill="FFFFFF"/>
        </w:rPr>
        <w:t>（三）“三公”经费实物量情况</w:t>
      </w:r>
    </w:p>
    <w:p>
      <w:pPr>
        <w:pStyle w:val="17"/>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3"/>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四、其他需要说明的事项</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（一）财政拨款会议费和培训费情况说明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0.39</w:t>
      </w:r>
      <w:r>
        <w:rPr>
          <w:rFonts w:hint="default" w:ascii="Times New Roman" w:hAnsi="Times New Roman" w:eastAsia="方正仿宋_GBK" w:cs="Times New Roman"/>
          <w:sz w:val="32"/>
          <w:szCs w:val="32"/>
          <w:shd w:val="clear" w:color="auto" w:fill="FFFFFF"/>
        </w:rPr>
        <w:t>万元，较上年决算数增加0.39万元，增长100.00%，主要原因是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（二）机关运行经费情况说明</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lang w:eastAsia="zh-CN"/>
        </w:rPr>
      </w:pPr>
      <w:r>
        <w:rPr>
          <w:rFonts w:hint="eastAsia" w:ascii="Times New Roman" w:hAnsi="Times New Roman" w:eastAsia="方正仿宋_GBK" w:cs="Times New Roman"/>
          <w:sz w:val="32"/>
          <w:szCs w:val="32"/>
          <w:shd w:val="clear" w:color="auto" w:fill="FFFFFF"/>
          <w:lang w:eastAsia="zh-CN"/>
        </w:rPr>
        <w:t>按照部门决算填报口径，我单位不在机关运行经费统计范围之内。</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（三）国有资产占用情况说明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（四）政府采购支出情况说明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2023年度我单位未发生政府采购事项，无相关经费支出。</w:t>
      </w:r>
    </w:p>
    <w:p>
      <w:pPr>
        <w:pStyle w:val="3"/>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lang w:eastAsia="zh-CN"/>
        </w:rPr>
        <w:t>五、</w:t>
      </w:r>
      <w:r>
        <w:rPr>
          <w:rStyle w:val="9"/>
          <w:rFonts w:hint="default" w:ascii="Times New Roman" w:hAnsi="Times New Roman" w:eastAsia="方正黑体_GBK" w:cs="Times New Roman"/>
          <w:b w:val="0"/>
          <w:bCs/>
          <w:sz w:val="32"/>
          <w:szCs w:val="32"/>
          <w:shd w:val="clear" w:color="auto" w:fill="FFFFFF"/>
        </w:rPr>
        <w:t>预算绩效管理情况说明</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楷体" w:cs="Times New Roman"/>
          <w:b/>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lang w:val="en-US" w:eastAsia="zh-CN" w:bidi="ar-SA"/>
        </w:rPr>
        <w:t>（一）单位自评情况</w:t>
      </w:r>
    </w:p>
    <w:p>
      <w:pPr>
        <w:pStyle w:val="13"/>
        <w:keepNext w:val="0"/>
        <w:keepLines w:val="0"/>
        <w:pageBreakBefore w:val="0"/>
        <w:widowControl/>
        <w:kinsoku/>
        <w:wordWrap/>
        <w:overflowPunct/>
        <w:topLinePunct w:val="0"/>
        <w:autoSpaceDE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highlight w:val="yellow"/>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根据预算绩效管理要求，我单位对</w:t>
      </w:r>
      <w:r>
        <w:rPr>
          <w:rFonts w:hint="default" w:ascii="Times New Roman" w:hAnsi="Times New Roman" w:eastAsia="方正仿宋_GBK" w:cs="Times New Roman"/>
          <w:sz w:val="32"/>
          <w:szCs w:val="32"/>
          <w:shd w:val="clear" w:color="auto" w:fill="FFFFFF"/>
          <w:lang w:val="en-US" w:eastAsia="zh-CN"/>
        </w:rPr>
        <w:t>10</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219.8</w:t>
      </w:r>
      <w:r>
        <w:rPr>
          <w:rFonts w:hint="eastAsia"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tbl>
      <w:tblPr>
        <w:tblStyle w:val="10"/>
        <w:tblW w:w="83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7"/>
        <w:gridCol w:w="621"/>
        <w:gridCol w:w="1746"/>
        <w:gridCol w:w="15"/>
        <w:gridCol w:w="522"/>
        <w:gridCol w:w="43"/>
        <w:gridCol w:w="654"/>
        <w:gridCol w:w="22"/>
        <w:gridCol w:w="675"/>
        <w:gridCol w:w="697"/>
        <w:gridCol w:w="697"/>
        <w:gridCol w:w="697"/>
        <w:gridCol w:w="611"/>
        <w:gridCol w:w="86"/>
        <w:gridCol w:w="674"/>
        <w:gridCol w:w="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13" w:hRule="atLeast"/>
        </w:trPr>
        <w:tc>
          <w:tcPr>
            <w:tcW w:w="8320"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60" w:lineRule="exact"/>
              <w:jc w:val="center"/>
              <w:textAlignment w:val="center"/>
              <w:outlineLvl w:val="9"/>
              <w:rPr>
                <w:rFonts w:hint="eastAsia" w:ascii="宋体" w:hAnsi="宋体" w:eastAsia="宋体" w:cs="宋体"/>
                <w:b w:val="0"/>
                <w:bCs w:val="0"/>
                <w:i w:val="0"/>
                <w:color w:val="000000"/>
                <w:kern w:val="0"/>
                <w:sz w:val="32"/>
                <w:szCs w:val="32"/>
                <w:u w:val="none"/>
                <w:lang w:val="en-US" w:eastAsia="zh-CN" w:bidi="ar"/>
              </w:rPr>
            </w:pPr>
            <w:r>
              <w:rPr>
                <w:rFonts w:hint="eastAsia" w:ascii="宋体" w:hAnsi="宋体" w:eastAsia="宋体" w:cs="宋体"/>
                <w:b w:val="0"/>
                <w:bCs w:val="0"/>
                <w:i w:val="0"/>
                <w:color w:val="000000"/>
                <w:kern w:val="0"/>
                <w:sz w:val="32"/>
                <w:szCs w:val="32"/>
                <w:u w:val="none"/>
                <w:lang w:val="en-US" w:eastAsia="zh-CN" w:bidi="ar"/>
              </w:rPr>
              <w:t>妙泉镇农业服务中心（特色产业发展中心）</w:t>
            </w:r>
          </w:p>
          <w:p>
            <w:pPr>
              <w:keepNext w:val="0"/>
              <w:keepLines w:val="0"/>
              <w:pageBreakBefore w:val="0"/>
              <w:widowControl/>
              <w:suppressLineNumbers w:val="0"/>
              <w:kinsoku/>
              <w:wordWrap/>
              <w:overflowPunct/>
              <w:topLinePunct w:val="0"/>
              <w:autoSpaceDN/>
              <w:bidi w:val="0"/>
              <w:adjustRightInd/>
              <w:spacing w:line="560" w:lineRule="exact"/>
              <w:jc w:val="center"/>
              <w:textAlignment w:val="center"/>
              <w:outlineLvl w:val="9"/>
              <w:rPr>
                <w:rFonts w:hint="eastAsia" w:ascii="宋体" w:hAnsi="宋体" w:eastAsia="宋体" w:cs="宋体"/>
                <w:b w:val="0"/>
                <w:bCs w:val="0"/>
                <w:i w:val="0"/>
                <w:color w:val="000000"/>
                <w:sz w:val="32"/>
                <w:szCs w:val="32"/>
                <w:u w:val="none"/>
              </w:rPr>
            </w:pPr>
            <w:r>
              <w:rPr>
                <w:rFonts w:hint="eastAsia" w:ascii="宋体" w:hAnsi="宋体" w:eastAsia="宋体" w:cs="宋体"/>
                <w:b w:val="0"/>
                <w:bCs w:val="0"/>
                <w:i w:val="0"/>
                <w:color w:val="000000"/>
                <w:kern w:val="0"/>
                <w:sz w:val="32"/>
                <w:szCs w:val="32"/>
                <w:u w:val="none"/>
                <w:lang w:val="en-US" w:eastAsia="zh-CN" w:bidi="ar"/>
              </w:rPr>
              <w:t>2023年度项目支出绩效自评情况表（二级项目）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0" w:hRule="atLeast"/>
        </w:trPr>
        <w:tc>
          <w:tcPr>
            <w:tcW w:w="53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序号</w:t>
            </w:r>
          </w:p>
        </w:tc>
        <w:tc>
          <w:tcPr>
            <w:tcW w:w="62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项目名称</w:t>
            </w:r>
          </w:p>
        </w:tc>
        <w:tc>
          <w:tcPr>
            <w:tcW w:w="1761"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指标名称</w:t>
            </w:r>
          </w:p>
        </w:tc>
        <w:tc>
          <w:tcPr>
            <w:tcW w:w="52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指标性质</w:t>
            </w:r>
          </w:p>
        </w:tc>
        <w:tc>
          <w:tcPr>
            <w:tcW w:w="69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指标值</w:t>
            </w:r>
          </w:p>
        </w:tc>
        <w:tc>
          <w:tcPr>
            <w:tcW w:w="69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计量单位</w:t>
            </w:r>
          </w:p>
        </w:tc>
        <w:tc>
          <w:tcPr>
            <w:tcW w:w="69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指标权重</w:t>
            </w:r>
          </w:p>
        </w:tc>
        <w:tc>
          <w:tcPr>
            <w:tcW w:w="69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全年完成值</w:t>
            </w:r>
          </w:p>
        </w:tc>
        <w:tc>
          <w:tcPr>
            <w:tcW w:w="69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指标得分</w:t>
            </w:r>
          </w:p>
        </w:tc>
        <w:tc>
          <w:tcPr>
            <w:tcW w:w="69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说明</w:t>
            </w:r>
          </w:p>
        </w:tc>
        <w:tc>
          <w:tcPr>
            <w:tcW w:w="697"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19" w:hRule="atLeast"/>
        </w:trPr>
        <w:tc>
          <w:tcPr>
            <w:tcW w:w="537" w:type="dxa"/>
            <w:vMerge w:val="restart"/>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621" w:type="dxa"/>
            <w:vMerge w:val="restart"/>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村道公路养护资金补助</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及时对辖区内需整治路段进行整修</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千米</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w:t>
            </w:r>
          </w:p>
        </w:tc>
        <w:tc>
          <w:tcPr>
            <w:tcW w:w="69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6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保障妙泉辖区内人居环境</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10050</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人/户</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10050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69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9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19"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保障服务对象所处村道公路的公路顺畅</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10050</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人/户</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10050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atLeast"/>
        </w:trPr>
        <w:tc>
          <w:tcPr>
            <w:tcW w:w="537"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621"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村防疫员定额补助</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7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确保各村居防疫员到位</w:t>
            </w:r>
          </w:p>
        </w:tc>
        <w:tc>
          <w:tcPr>
            <w:tcW w:w="522"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97"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697"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人数</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697"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97"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19" w:hRule="atLeast"/>
        </w:trPr>
        <w:tc>
          <w:tcPr>
            <w:tcW w:w="53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21"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7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提高村防疫员工作积极性，工作效率提高</w:t>
            </w:r>
          </w:p>
        </w:tc>
        <w:tc>
          <w:tcPr>
            <w:tcW w:w="522"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97"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99</w:t>
            </w:r>
          </w:p>
        </w:tc>
        <w:tc>
          <w:tcPr>
            <w:tcW w:w="697"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99</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697"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97"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atLeast"/>
        </w:trPr>
        <w:tc>
          <w:tcPr>
            <w:tcW w:w="53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2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7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提高村防疫员的生活质量</w:t>
            </w:r>
          </w:p>
        </w:tc>
        <w:tc>
          <w:tcPr>
            <w:tcW w:w="522"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97"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99</w:t>
            </w:r>
          </w:p>
        </w:tc>
        <w:tc>
          <w:tcPr>
            <w:tcW w:w="697"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99</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697"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97"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3" w:type="dxa"/>
          <w:trHeight w:val="611" w:hRule="atLeast"/>
        </w:trPr>
        <w:tc>
          <w:tcPr>
            <w:tcW w:w="537" w:type="dxa"/>
            <w:vMerge w:val="restart"/>
            <w:tcBorders>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621" w:type="dxa"/>
            <w:vMerge w:val="restart"/>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服务群众专项经费</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服务群众专项经费</w:t>
            </w:r>
          </w:p>
        </w:tc>
        <w:tc>
          <w:tcPr>
            <w:tcW w:w="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元/村年</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20000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0"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gridAfter w:val="1"/>
          <w:wAfter w:w="23" w:type="dxa"/>
          <w:trHeight w:val="611" w:hRule="atLeast"/>
        </w:trPr>
        <w:tc>
          <w:tcPr>
            <w:tcW w:w="53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覆盖村居个数</w:t>
            </w:r>
          </w:p>
        </w:tc>
        <w:tc>
          <w:tcPr>
            <w:tcW w:w="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0"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3" w:type="dxa"/>
          <w:trHeight w:val="906" w:hRule="atLeast"/>
        </w:trPr>
        <w:tc>
          <w:tcPr>
            <w:tcW w:w="53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更好的服务群众</w:t>
            </w:r>
          </w:p>
        </w:tc>
        <w:tc>
          <w:tcPr>
            <w:tcW w:w="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定性</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明显改善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全部</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完成</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0"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gridAfter w:val="1"/>
          <w:wAfter w:w="23" w:type="dxa"/>
          <w:trHeight w:val="949" w:hRule="atLeast"/>
        </w:trPr>
        <w:tc>
          <w:tcPr>
            <w:tcW w:w="53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群众满意度</w:t>
            </w:r>
          </w:p>
        </w:tc>
        <w:tc>
          <w:tcPr>
            <w:tcW w:w="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0"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r>
    </w:tbl>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楷体" w:cs="Times New Roman"/>
          <w:b/>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lang w:val="en-US" w:eastAsia="zh-CN" w:bidi="ar-SA"/>
        </w:rPr>
        <w:t>（二）单位绩效评价情况</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val="0"/>
          <w:bCs w:val="0"/>
          <w:sz w:val="32"/>
          <w:szCs w:val="32"/>
          <w:highlight w:val="none"/>
          <w:shd w:val="clear" w:color="auto" w:fill="auto"/>
        </w:rPr>
        <w:t>我单位未组织开展绩效评价。</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楷体" w:cs="Times New Roman"/>
          <w:b/>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lang w:val="en-US" w:eastAsia="zh-CN" w:bidi="ar-SA"/>
        </w:rPr>
        <w:t>（三）财政绩效评价情况</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highlight w:val="none"/>
          <w:shd w:val="clear" w:color="auto" w:fill="FFFFFF"/>
        </w:rPr>
      </w:pPr>
      <w:r>
        <w:rPr>
          <w:rFonts w:hint="eastAsia" w:ascii="Times New Roman" w:hAnsi="Times New Roman" w:eastAsia="方正仿宋_GBK" w:cs="Times New Roman"/>
          <w:b w:val="0"/>
          <w:bCs w:val="0"/>
          <w:sz w:val="32"/>
          <w:szCs w:val="32"/>
          <w:highlight w:val="none"/>
          <w:shd w:val="clear" w:color="auto" w:fill="FFFFFF"/>
          <w:lang w:eastAsia="zh-CN"/>
        </w:rPr>
        <w:t>县</w:t>
      </w:r>
      <w:r>
        <w:rPr>
          <w:rFonts w:hint="default" w:ascii="Times New Roman" w:hAnsi="Times New Roman" w:eastAsia="方正仿宋_GBK" w:cs="Times New Roman"/>
          <w:b w:val="0"/>
          <w:bCs w:val="0"/>
          <w:sz w:val="32"/>
          <w:szCs w:val="32"/>
          <w:highlight w:val="none"/>
          <w:shd w:val="clear" w:color="auto" w:fill="FFFFFF"/>
        </w:rPr>
        <w:t>财政局未委托第三方对我单位开展绩效评价。</w:t>
      </w:r>
    </w:p>
    <w:p>
      <w:pPr>
        <w:pStyle w:val="3"/>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六、专业名词解释</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w:t>
      </w:r>
      <w:r>
        <w:rPr>
          <w:rStyle w:val="9"/>
          <w:rFonts w:hint="default" w:ascii="方正仿宋_GBK" w:hAnsi="方正仿宋_GBK" w:eastAsia="方正仿宋_GBK" w:cs="方正仿宋_GBK"/>
          <w:b w:val="0"/>
          <w:bCs/>
          <w:sz w:val="32"/>
          <w:szCs w:val="32"/>
          <w:shd w:val="clear" w:color="auto" w:fill="auto"/>
        </w:rPr>
        <w:t>除“财政拨款收入”、“事业收入”、“经营收入”等以外</w:t>
      </w:r>
      <w:r>
        <w:rPr>
          <w:rFonts w:hint="default" w:ascii="Times New Roman" w:hAnsi="Times New Roman" w:eastAsia="方正仿宋_GBK" w:cs="Times New Roman"/>
          <w:sz w:val="32"/>
          <w:szCs w:val="32"/>
          <w:shd w:val="clear" w:color="auto" w:fill="FFFFFF"/>
        </w:rPr>
        <w:t>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w:t>
      </w:r>
      <w:r>
        <w:rPr>
          <w:rStyle w:val="9"/>
          <w:rFonts w:hint="default" w:ascii="方正仿宋_GBK" w:hAnsi="方正仿宋_GBK" w:eastAsia="方正仿宋_GBK" w:cs="方正仿宋_GBK"/>
          <w:b w:val="0"/>
          <w:bCs/>
          <w:sz w:val="32"/>
          <w:szCs w:val="32"/>
          <w:shd w:val="clear" w:color="auto" w:fill="auto"/>
        </w:rPr>
        <w:t>的“财政拨款收入”、“事业收入”、“经营收入”、“其他收入”等</w:t>
      </w:r>
      <w:r>
        <w:rPr>
          <w:rFonts w:hint="default" w:ascii="Times New Roman" w:hAnsi="Times New Roman" w:eastAsia="方正仿宋_GBK" w:cs="Times New Roman"/>
          <w:sz w:val="32"/>
          <w:szCs w:val="32"/>
          <w:shd w:val="clear" w:color="auto" w:fill="FFFFFF"/>
        </w:rPr>
        <w:t>不足以安排当年支出的情况下，使用以前年度积累的非财政拨款结余弥补本年度收支缺口的资金。</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w:t>
      </w:r>
      <w:r>
        <w:rPr>
          <w:rStyle w:val="9"/>
          <w:rFonts w:hint="default" w:ascii="方正仿宋_GBK" w:hAnsi="方正仿宋_GBK" w:eastAsia="方正仿宋_GBK" w:cs="方正仿宋_GBK"/>
          <w:b w:val="0"/>
          <w:bCs/>
          <w:sz w:val="32"/>
          <w:szCs w:val="32"/>
          <w:shd w:val="clear" w:color="auto" w:fill="auto"/>
        </w:rPr>
        <w:t>“工资福利支出”和“对个人和家庭的补助”</w:t>
      </w:r>
      <w:r>
        <w:rPr>
          <w:rFonts w:hint="default" w:ascii="Times New Roman" w:hAnsi="Times New Roman" w:eastAsia="方正仿宋_GBK" w:cs="Times New Roman"/>
          <w:sz w:val="32"/>
          <w:szCs w:val="32"/>
          <w:shd w:val="clear" w:color="auto" w:fill="FFFFFF"/>
        </w:rPr>
        <w:t>；公用经费指政府收支分类经济科目中除</w:t>
      </w:r>
      <w:r>
        <w:rPr>
          <w:rStyle w:val="9"/>
          <w:rFonts w:hint="default" w:ascii="方正仿宋_GBK" w:hAnsi="方正仿宋_GBK" w:eastAsia="方正仿宋_GBK" w:cs="方正仿宋_GBK"/>
          <w:b w:val="0"/>
          <w:bCs/>
          <w:sz w:val="32"/>
          <w:szCs w:val="32"/>
          <w:shd w:val="clear" w:color="auto" w:fill="auto"/>
        </w:rPr>
        <w:t>“工资福利支出”和“对个人和家庭的补助”外的</w:t>
      </w:r>
      <w:r>
        <w:rPr>
          <w:rFonts w:hint="default" w:ascii="Times New Roman" w:hAnsi="Times New Roman" w:eastAsia="方正仿宋_GBK" w:cs="Times New Roman"/>
          <w:sz w:val="32"/>
          <w:szCs w:val="32"/>
          <w:shd w:val="clear" w:color="auto" w:fill="FFFFFF"/>
        </w:rPr>
        <w:t>其他支出。</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（十二）</w:t>
      </w:r>
      <w:r>
        <w:rPr>
          <w:rStyle w:val="9"/>
          <w:rFonts w:hint="eastAsia" w:ascii="方正楷体_GBK" w:hAnsi="方正楷体_GBK" w:eastAsia="方正楷体_GBK" w:cs="方正楷体_GBK"/>
          <w:b w:val="0"/>
          <w:bCs/>
          <w:sz w:val="32"/>
          <w:szCs w:val="32"/>
          <w:shd w:val="clear" w:color="auto" w:fill="FFFFFF"/>
        </w:rPr>
        <w:t>“三公”经费</w:t>
      </w:r>
      <w:r>
        <w:rPr>
          <w:rStyle w:val="9"/>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（十七）其他资本性支出（支出经济分类科目类级）</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3"/>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9"/>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七、决算公开联系方式及信息反馈渠道</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Style w:val="9"/>
          <w:rFonts w:hint="default" w:ascii="Times New Roman" w:hAnsi="Times New Roman" w:eastAsia="方正仿宋_GBK" w:cs="Times New Roman"/>
          <w:sz w:val="32"/>
          <w:szCs w:val="32"/>
          <w:shd w:val="clear" w:color="auto" w:fill="FFFF00"/>
          <w:lang w:val="en-US" w:eastAsia="zh-CN"/>
        </w:rPr>
        <w:sectPr>
          <w:headerReference r:id="rId3" w:type="default"/>
          <w:footerReference r:id="rId4"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eastAsia" w:ascii="Times New Roman" w:hAnsi="Times New Roman" w:eastAsia="方正仿宋_GBK" w:cs="Times New Roman"/>
          <w:sz w:val="32"/>
          <w:szCs w:val="32"/>
          <w:shd w:val="clear" w:color="auto" w:fill="FFFFFF"/>
          <w:lang w:eastAsia="zh-CN"/>
        </w:rPr>
        <w:t>杨光昱</w:t>
      </w:r>
      <w:r>
        <w:rPr>
          <w:rFonts w:hint="default" w:ascii="Times New Roman" w:hAnsi="Times New Roman" w:eastAsia="方正仿宋_GBK" w:cs="Times New Roman"/>
          <w:color w:val="auto"/>
          <w:sz w:val="32"/>
          <w:szCs w:val="32"/>
          <w:shd w:val="clear" w:color="auto" w:fill="FFFFFF"/>
          <w:lang w:val="en-US" w:eastAsia="zh-CN"/>
        </w:rPr>
        <w:t>76643180</w:t>
      </w:r>
    </w:p>
    <w:p>
      <w:pPr>
        <w:rPr>
          <w:rFonts w:hint="default" w:ascii="Times New Roman" w:hAnsi="Times New Roman" w:cs="Times New Roman"/>
          <w:sz w:val="21"/>
          <w:szCs w:val="21"/>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重庆市秀山土家族苗族自治县妙泉镇农业服务中心（特色产业发展中心）</w:t>
            </w: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334.17</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10.62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283.47</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334.17</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308.18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25.99</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334.17</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334.17</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重庆市秀山土家族苗族自治县妙泉镇农业服务中心（特色产业发展中心）</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334.17</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334.17</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10.62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10.62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10.62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10.62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309.46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309.46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90.33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90.33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89.61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89.61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13.60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13.60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抗旱</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13.60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13.60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14.38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14.38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14.38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14.38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182.86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182.86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182.86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182.86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8.30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8.30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9.24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9.24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9.24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9.24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10"/>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重庆市秀山土家族苗族自治县妙泉镇农业服务中心（特色产业发展中心）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308.18</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88.33</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219.85</w:t>
            </w: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10.62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10.62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10.62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10.62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283.47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63.62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219.85</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64.34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63.62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0.72</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63.62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63.62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13.60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13.60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抗旱</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13.60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13.60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14.38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14.38</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14.38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14.38</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182.86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182.86</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182.86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182.86</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8.30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8.30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9.24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9.24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9.24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9.24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重庆市秀山土家族苗族自治县妙泉镇农业服务中心（特色产业发展中心）</w:t>
            </w: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334.17</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10.62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10.62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283.47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283.47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9.24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9.24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334.17</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308.18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308.18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25.99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25.99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334.17</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334.17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334.17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0"/>
        <w:tblW w:w="15280" w:type="dxa"/>
        <w:tblInd w:w="0" w:type="dxa"/>
        <w:tblLayout w:type="fixed"/>
        <w:tblCellMar>
          <w:top w:w="0" w:type="dxa"/>
          <w:left w:w="0" w:type="dxa"/>
          <w:bottom w:w="0" w:type="dxa"/>
          <w:right w:w="0" w:type="dxa"/>
        </w:tblCellMar>
      </w:tblPr>
      <w:tblGrid>
        <w:gridCol w:w="1845"/>
        <w:gridCol w:w="3527"/>
        <w:gridCol w:w="3297"/>
        <w:gridCol w:w="1"/>
        <w:gridCol w:w="3297"/>
        <w:gridCol w:w="1"/>
        <w:gridCol w:w="3312"/>
      </w:tblGrid>
      <w:tr>
        <w:tblPrEx>
          <w:tblLayout w:type="fixed"/>
          <w:tblCellMar>
            <w:top w:w="0" w:type="dxa"/>
            <w:left w:w="0" w:type="dxa"/>
            <w:bottom w:w="0" w:type="dxa"/>
            <w:right w:w="0" w:type="dxa"/>
          </w:tblCellMar>
        </w:tblPrEx>
        <w:trPr>
          <w:trHeight w:val="90" w:hRule="atLeast"/>
        </w:trPr>
        <w:tc>
          <w:tcPr>
            <w:tcW w:w="15280"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90" w:hRule="atLeast"/>
        </w:trPr>
        <w:tc>
          <w:tcPr>
            <w:tcW w:w="537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重庆市秀山土家族苗族自治县妙泉镇农业服务中心（特色产业发展中心）</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298"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13" w:type="dxa"/>
            <w:gridSpan w:val="2"/>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90" w:hRule="atLeast"/>
        </w:trPr>
        <w:tc>
          <w:tcPr>
            <w:tcW w:w="537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298"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13" w:type="dxa"/>
            <w:gridSpan w:val="2"/>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537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08" w:type="dxa"/>
            <w:gridSpan w:val="5"/>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12" w:hRule="atLeast"/>
        </w:trPr>
        <w:tc>
          <w:tcPr>
            <w:tcW w:w="184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298"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298"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12" w:hRule="atLeast"/>
        </w:trPr>
        <w:tc>
          <w:tcPr>
            <w:tcW w:w="184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298"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298"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12" w:hRule="atLeast"/>
        </w:trPr>
        <w:tc>
          <w:tcPr>
            <w:tcW w:w="184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298"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298"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90" w:hRule="atLeast"/>
        </w:trPr>
        <w:tc>
          <w:tcPr>
            <w:tcW w:w="537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308.18</w:t>
            </w:r>
            <w:r>
              <w:rPr>
                <w:rFonts w:hint="default" w:ascii="Times New Roman" w:hAnsi="Times New Roman" w:cs="Times New Roman"/>
                <w:b/>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88.33</w:t>
            </w:r>
            <w:r>
              <w:rPr>
                <w:rFonts w:hint="default" w:ascii="Times New Roman" w:hAnsi="Times New Roman" w:cs="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219.85</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10.62</w:t>
            </w:r>
            <w:r>
              <w:rPr>
                <w:rFonts w:hint="default" w:ascii="Times New Roman" w:hAnsi="Times New Roman" w:cs="Times New Roman"/>
                <w:b/>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10.62</w:t>
            </w:r>
            <w:r>
              <w:rPr>
                <w:rFonts w:hint="default" w:ascii="Times New Roman" w:hAnsi="Times New Roman" w:cs="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10.62</w:t>
            </w:r>
            <w:r>
              <w:rPr>
                <w:rFonts w:hint="default" w:ascii="Times New Roman" w:hAnsi="Times New Roman" w:cs="Times New Roman"/>
                <w:b/>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10.62</w:t>
            </w:r>
            <w:r>
              <w:rPr>
                <w:rFonts w:hint="default" w:ascii="Times New Roman" w:hAnsi="Times New Roman" w:cs="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2.58</w:t>
            </w:r>
            <w:r>
              <w:rPr>
                <w:rFonts w:hint="default" w:ascii="Times New Roman" w:hAnsi="Times New Roman" w:cs="Times New Roman"/>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2.58</w:t>
            </w:r>
            <w:r>
              <w:rPr>
                <w:rFonts w:hint="default" w:ascii="Times New Roman" w:hAnsi="Times New Roman" w:cs="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5.16</w:t>
            </w:r>
            <w:r>
              <w:rPr>
                <w:rFonts w:hint="default" w:ascii="Times New Roman" w:hAnsi="Times New Roman" w:cs="Times New Roman"/>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5.16</w:t>
            </w:r>
            <w:r>
              <w:rPr>
                <w:rFonts w:hint="default" w:ascii="Times New Roman" w:hAnsi="Times New Roman" w:cs="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4.86</w:t>
            </w:r>
            <w:r>
              <w:rPr>
                <w:rFonts w:hint="default" w:ascii="Times New Roman" w:hAnsi="Times New Roman" w:cs="Times New Roman"/>
                <w:b/>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4.86</w:t>
            </w:r>
            <w:r>
              <w:rPr>
                <w:rFonts w:hint="default" w:ascii="Times New Roman" w:hAnsi="Times New Roman" w:cs="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4.86</w:t>
            </w:r>
            <w:r>
              <w:rPr>
                <w:rFonts w:hint="default" w:ascii="Times New Roman" w:hAnsi="Times New Roman" w:cs="Times New Roman"/>
                <w:b/>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4.86</w:t>
            </w:r>
            <w:r>
              <w:rPr>
                <w:rFonts w:hint="default" w:ascii="Times New Roman" w:hAnsi="Times New Roman" w:cs="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4.86</w:t>
            </w:r>
            <w:r>
              <w:rPr>
                <w:rFonts w:hint="default" w:ascii="Times New Roman" w:hAnsi="Times New Roman" w:cs="Times New Roman"/>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4.86</w:t>
            </w:r>
            <w:r>
              <w:rPr>
                <w:rFonts w:hint="default" w:ascii="Times New Roman" w:hAnsi="Times New Roman" w:cs="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283.47</w:t>
            </w:r>
            <w:r>
              <w:rPr>
                <w:rFonts w:hint="default" w:ascii="Times New Roman" w:hAnsi="Times New Roman" w:cs="Times New Roman"/>
                <w:b/>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63.62</w:t>
            </w:r>
            <w:r>
              <w:rPr>
                <w:rFonts w:hint="default" w:ascii="Times New Roman" w:hAnsi="Times New Roman" w:cs="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219.85</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64.34</w:t>
            </w:r>
            <w:r>
              <w:rPr>
                <w:rFonts w:hint="default" w:ascii="Times New Roman" w:hAnsi="Times New Roman" w:cs="Times New Roman"/>
                <w:b/>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63.62</w:t>
            </w:r>
            <w:r>
              <w:rPr>
                <w:rFonts w:hint="default" w:ascii="Times New Roman" w:hAnsi="Times New Roman" w:cs="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0.72</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63.62</w:t>
            </w:r>
            <w:r>
              <w:rPr>
                <w:rFonts w:hint="default" w:ascii="Times New Roman" w:hAnsi="Times New Roman" w:cs="Times New Roman"/>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63.62</w:t>
            </w:r>
            <w:r>
              <w:rPr>
                <w:rFonts w:hint="default" w:ascii="Times New Roman" w:hAnsi="Times New Roman" w:cs="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13.60</w:t>
            </w:r>
            <w:r>
              <w:rPr>
                <w:rFonts w:hint="default" w:ascii="Times New Roman" w:hAnsi="Times New Roman" w:cs="Times New Roman"/>
                <w:b/>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13.60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2130315</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抗旱</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13.60</w:t>
            </w:r>
            <w:r>
              <w:rPr>
                <w:rFonts w:hint="default" w:ascii="Times New Roman" w:hAnsi="Times New Roman" w:cs="Times New Roman"/>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13.60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14.38</w:t>
            </w:r>
            <w:r>
              <w:rPr>
                <w:rFonts w:hint="default" w:ascii="Times New Roman" w:hAnsi="Times New Roman" w:cs="Times New Roman"/>
                <w:b/>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14.38</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14.38</w:t>
            </w:r>
            <w:r>
              <w:rPr>
                <w:rFonts w:hint="default" w:ascii="Times New Roman" w:hAnsi="Times New Roman" w:cs="Times New Roman"/>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14.38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182.86</w:t>
            </w:r>
            <w:r>
              <w:rPr>
                <w:rFonts w:hint="default" w:ascii="Times New Roman" w:hAnsi="Times New Roman" w:cs="Times New Roman"/>
                <w:b/>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182.86</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182.86</w:t>
            </w:r>
            <w:r>
              <w:rPr>
                <w:rFonts w:hint="default" w:ascii="Times New Roman" w:hAnsi="Times New Roman" w:cs="Times New Roman"/>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182.86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21399</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其他农林水支出</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8.30</w:t>
            </w:r>
            <w:r>
              <w:rPr>
                <w:rFonts w:hint="default" w:ascii="Times New Roman" w:hAnsi="Times New Roman" w:cs="Times New Roman"/>
                <w:b/>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8.30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2139999</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其他农林水支出</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8.30</w:t>
            </w:r>
            <w:r>
              <w:rPr>
                <w:rFonts w:hint="default" w:ascii="Times New Roman" w:hAnsi="Times New Roman" w:cs="Times New Roman"/>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8.30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9.24</w:t>
            </w:r>
            <w:r>
              <w:rPr>
                <w:rFonts w:hint="default" w:ascii="Times New Roman" w:hAnsi="Times New Roman" w:cs="Times New Roman"/>
                <w:b/>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9.24</w:t>
            </w:r>
            <w:r>
              <w:rPr>
                <w:rFonts w:hint="default" w:ascii="Times New Roman" w:hAnsi="Times New Roman" w:cs="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9.24</w:t>
            </w:r>
            <w:r>
              <w:rPr>
                <w:rFonts w:hint="default" w:ascii="Times New Roman" w:hAnsi="Times New Roman" w:cs="Times New Roman"/>
                <w:b/>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9.24</w:t>
            </w:r>
            <w:r>
              <w:rPr>
                <w:rFonts w:hint="default" w:ascii="Times New Roman" w:hAnsi="Times New Roman" w:cs="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9.24</w:t>
            </w:r>
            <w:r>
              <w:rPr>
                <w:rFonts w:hint="default" w:ascii="Times New Roman" w:hAnsi="Times New Roman" w:cs="Times New Roman"/>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9.24</w:t>
            </w:r>
            <w:r>
              <w:rPr>
                <w:rFonts w:hint="default" w:ascii="Times New Roman" w:hAnsi="Times New Roman" w:cs="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重庆市秀山土家族苗族自治县妙泉镇农业服务中心（特色产业发展中心）</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81.05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17.10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2.03</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5.29</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29.92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9.24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0.39</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0.35</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83.63</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4.70</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重庆市秀山土家族苗族自治县妙泉镇农业服务中心（特色产业发展中心）</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重庆市秀山土家族苗族自治县妙泉镇农业服务中心（特色产业发展中心）</w:t>
            </w: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重庆市秀山土家族苗族自治县妙泉镇农业服务中心（特色产业发展中心）</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0.39</w:t>
            </w: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bookmarkStart w:id="0" w:name="_GoBack"/>
      <w:bookmarkEnd w:id="0"/>
    </w:p>
    <w:sectPr>
      <w:headerReference r:id="rId5" w:type="default"/>
      <w:footerReference r:id="rId6"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2C205A"/>
    <w:rsid w:val="114278C6"/>
    <w:rsid w:val="1158083A"/>
    <w:rsid w:val="11643A4B"/>
    <w:rsid w:val="11ED0F98"/>
    <w:rsid w:val="11F03528"/>
    <w:rsid w:val="12370A5C"/>
    <w:rsid w:val="12C921C4"/>
    <w:rsid w:val="13871C70"/>
    <w:rsid w:val="13A71CB4"/>
    <w:rsid w:val="13AF1D43"/>
    <w:rsid w:val="13CE1647"/>
    <w:rsid w:val="13FD55AB"/>
    <w:rsid w:val="14200702"/>
    <w:rsid w:val="14595ABD"/>
    <w:rsid w:val="163A6CEE"/>
    <w:rsid w:val="173708E3"/>
    <w:rsid w:val="17C374FC"/>
    <w:rsid w:val="182E4AB6"/>
    <w:rsid w:val="189079DC"/>
    <w:rsid w:val="189B0D0B"/>
    <w:rsid w:val="18B43F7C"/>
    <w:rsid w:val="194A1770"/>
    <w:rsid w:val="19581962"/>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433FF8"/>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7D2CC7"/>
    <w:rsid w:val="33E31118"/>
    <w:rsid w:val="33E61C11"/>
    <w:rsid w:val="33EF7674"/>
    <w:rsid w:val="342D7BC6"/>
    <w:rsid w:val="352930DB"/>
    <w:rsid w:val="35573069"/>
    <w:rsid w:val="355F6038"/>
    <w:rsid w:val="358C217E"/>
    <w:rsid w:val="36C9128A"/>
    <w:rsid w:val="373640F2"/>
    <w:rsid w:val="37841E99"/>
    <w:rsid w:val="37BF1123"/>
    <w:rsid w:val="383C3F15"/>
    <w:rsid w:val="38690E1F"/>
    <w:rsid w:val="38BE4696"/>
    <w:rsid w:val="3939115E"/>
    <w:rsid w:val="39B82A39"/>
    <w:rsid w:val="39C42CA8"/>
    <w:rsid w:val="39DC4FD6"/>
    <w:rsid w:val="39F03D7A"/>
    <w:rsid w:val="39F33306"/>
    <w:rsid w:val="3A2C1C67"/>
    <w:rsid w:val="3ADD7F09"/>
    <w:rsid w:val="3B1705E5"/>
    <w:rsid w:val="3B18334B"/>
    <w:rsid w:val="3B36794F"/>
    <w:rsid w:val="3B6F6EE0"/>
    <w:rsid w:val="3BD37DAB"/>
    <w:rsid w:val="3BE54E5B"/>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5018E"/>
    <w:rsid w:val="56FF7E9E"/>
    <w:rsid w:val="578867FC"/>
    <w:rsid w:val="5842572D"/>
    <w:rsid w:val="5A3B59D6"/>
    <w:rsid w:val="5AD134D8"/>
    <w:rsid w:val="5C263CE4"/>
    <w:rsid w:val="5C5D2777"/>
    <w:rsid w:val="5CF66BF3"/>
    <w:rsid w:val="5D290C69"/>
    <w:rsid w:val="5D37241B"/>
    <w:rsid w:val="5F2D4A41"/>
    <w:rsid w:val="60C74F6C"/>
    <w:rsid w:val="61025A59"/>
    <w:rsid w:val="613D5BBC"/>
    <w:rsid w:val="61536C39"/>
    <w:rsid w:val="62944DD7"/>
    <w:rsid w:val="6319381F"/>
    <w:rsid w:val="63C25DC5"/>
    <w:rsid w:val="63C62057"/>
    <w:rsid w:val="64571EF5"/>
    <w:rsid w:val="64FB113D"/>
    <w:rsid w:val="65531CB1"/>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B9F11F2"/>
    <w:rsid w:val="6C0A5AC5"/>
    <w:rsid w:val="6C560CAE"/>
    <w:rsid w:val="6C576495"/>
    <w:rsid w:val="6D903FF5"/>
    <w:rsid w:val="6DA955B8"/>
    <w:rsid w:val="6DE346AB"/>
    <w:rsid w:val="6DE5391A"/>
    <w:rsid w:val="6E307BF0"/>
    <w:rsid w:val="6E99008C"/>
    <w:rsid w:val="6EFD1324"/>
    <w:rsid w:val="6F0648DD"/>
    <w:rsid w:val="6F5A53AC"/>
    <w:rsid w:val="6FAC003D"/>
    <w:rsid w:val="6FE55E12"/>
    <w:rsid w:val="6FFB2E76"/>
    <w:rsid w:val="708F6F7F"/>
    <w:rsid w:val="70D94BD3"/>
    <w:rsid w:val="71C34D91"/>
    <w:rsid w:val="72DB435C"/>
    <w:rsid w:val="72E2613A"/>
    <w:rsid w:val="72F771F4"/>
    <w:rsid w:val="73934AD2"/>
    <w:rsid w:val="750837F0"/>
    <w:rsid w:val="754758CF"/>
    <w:rsid w:val="75B152E3"/>
    <w:rsid w:val="75BC5712"/>
    <w:rsid w:val="764F62AB"/>
    <w:rsid w:val="765C45EC"/>
    <w:rsid w:val="768A7619"/>
    <w:rsid w:val="76930EC5"/>
    <w:rsid w:val="772E1EBA"/>
    <w:rsid w:val="781926BC"/>
    <w:rsid w:val="796D60A4"/>
    <w:rsid w:val="79A031D5"/>
    <w:rsid w:val="7A1525F7"/>
    <w:rsid w:val="7B420052"/>
    <w:rsid w:val="7BD06A28"/>
    <w:rsid w:val="7C251201"/>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rPr>
      <w:rFonts w:eastAsia="仿宋_GB2312"/>
      <w:sz w:val="32"/>
    </w:rPr>
  </w:style>
  <w:style w:type="paragraph" w:styleId="3">
    <w:name w:val="Normal (Web)"/>
    <w:basedOn w:val="1"/>
    <w:unhideWhenUsed/>
    <w:qFormat/>
    <w:uiPriority w:val="0"/>
    <w:pPr>
      <w:spacing w:before="100" w:beforeAutospacing="1" w:after="100" w:afterAutospacing="1"/>
    </w:pPr>
  </w:style>
  <w:style w:type="paragraph" w:styleId="4">
    <w:name w:val="Balloon Text"/>
    <w:basedOn w:val="1"/>
    <w:link w:val="16"/>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4"/>
    <w:qFormat/>
    <w:uiPriority w:val="0"/>
    <w:rPr>
      <w:rFonts w:ascii="宋体" w:hAnsi="宋体"/>
      <w:sz w:val="18"/>
      <w:szCs w:val="18"/>
    </w:rPr>
  </w:style>
  <w:style w:type="paragraph" w:customStyle="1" w:styleId="17">
    <w:name w:val="Normal (Web)"/>
    <w:basedOn w:val="1"/>
    <w:qFormat/>
    <w:uiPriority w:val="0"/>
    <w:pPr>
      <w:spacing w:before="100" w:beforeLines="0" w:beforeAutospacing="1" w:after="100" w:afterLines="0" w:afterAutospacing="1"/>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4</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2024-09-27T02:18:45Z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