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rPr>
        <w:t>重庆市秀山土家族苗族自治县妙泉镇人民政府</w:t>
      </w:r>
      <w:r>
        <w:rPr>
          <w:rFonts w:hint="eastAsia" w:ascii="Times New Roman" w:hAnsi="Times New Roman" w:eastAsia="方正小标宋_GBK" w:cs="Times New Roman"/>
          <w:sz w:val="36"/>
          <w:szCs w:val="36"/>
          <w:lang w:eastAsia="zh-CN"/>
        </w:rPr>
        <w:t>（本级</w:t>
      </w:r>
      <w:bookmarkStart w:id="0" w:name="_GoBack"/>
      <w:bookmarkEnd w:id="0"/>
      <w:r>
        <w:rPr>
          <w:rFonts w:hint="eastAsia" w:ascii="Times New Roman" w:hAnsi="Times New Roman" w:eastAsia="方正小标宋_GBK" w:cs="Times New Roman"/>
          <w:sz w:val="36"/>
          <w:szCs w:val="36"/>
          <w:lang w:eastAsia="zh-CN"/>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2023年度决算公开说明</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36"/>
          <w:szCs w:val="36"/>
          <w:shd w:val="clear" w:color="auto" w:fill="FFFFFF"/>
        </w:rPr>
      </w:pP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b w:val="0"/>
          <w:bCs/>
          <w:sz w:val="32"/>
          <w:szCs w:val="32"/>
        </w:rPr>
      </w:pPr>
      <w:r>
        <w:rPr>
          <w:rStyle w:val="9"/>
          <w:rFonts w:hint="default" w:ascii="Times New Roman" w:hAnsi="Times New Roman" w:eastAsia="方正黑体_GBK" w:cs="Times New Roman"/>
          <w:b w:val="0"/>
          <w:bCs/>
          <w:sz w:val="32"/>
          <w:szCs w:val="32"/>
          <w:shd w:val="clear" w:color="auto" w:fill="FFFFFF"/>
        </w:rPr>
        <w:t>一、单位基本情况</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（一）职能职责</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（二）机构设置</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秀山土家族苗族自治县妙泉镇人民政府（本级）为妙泉镇人民政府下属二级单位，内设10个职能科室，分别是：党政办公室、党建工作办公室、经济发展办公室（挂统计办公室牌子）、民政和社会事务办公室（挂卫生健康办公室）、平安建设办公室、规划建设管理环保办公室、应急管理办公室、社区事务服务中心、社区文化服务中心。本单位有机关行政编制人员21名。</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二、单位决算情况说明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2023年度收入总计1607.41万元，支出总计</w:t>
      </w:r>
      <w:r>
        <w:rPr>
          <w:rFonts w:hint="default" w:ascii="Times New Roman" w:hAnsi="Times New Roman" w:eastAsia="方正仿宋_GBK" w:cs="Times New Roman"/>
          <w:sz w:val="32"/>
          <w:szCs w:val="32"/>
        </w:rPr>
        <w:t>1607.41</w:t>
      </w:r>
      <w:r>
        <w:rPr>
          <w:rFonts w:hint="default" w:ascii="Times New Roman" w:hAnsi="Times New Roman" w:eastAsia="方正仿宋_GBK" w:cs="Times New Roman"/>
          <w:sz w:val="32"/>
          <w:szCs w:val="32"/>
          <w:shd w:val="clear" w:color="auto" w:fill="FFFFFF"/>
        </w:rPr>
        <w:t>万元。收支较上年决算数减少1162.37万元，下降41.97%，主要原因是一般公共预算财政拨款收入</w:t>
      </w:r>
      <w:r>
        <w:rPr>
          <w:rFonts w:hint="default"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lang w:val="en-US" w:eastAsia="zh-CN"/>
        </w:rPr>
        <w:t>891.82万元、政府性基金预算财政拨款收入减少7.37万元、年初结转和结余减少263.19万元。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2023年度收入合计1548.74万元，较上年决算数减少899.18万元，下降36.73%，主要原因是一般公共预算财政拨款收入</w:t>
      </w:r>
      <w:r>
        <w:rPr>
          <w:rFonts w:hint="default"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lang w:val="en-US" w:eastAsia="zh-CN"/>
        </w:rPr>
        <w:t>891.82万元、政府性基金预算财政拨款收入减少7.37万元。</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1548.74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58.67</w:t>
      </w:r>
      <w:r>
        <w:rPr>
          <w:rFonts w:hint="default" w:ascii="Times New Roman" w:hAnsi="Times New Roman" w:eastAsia="方正仿宋_GBK" w:cs="Times New Roman"/>
          <w:sz w:val="32"/>
          <w:szCs w:val="32"/>
          <w:shd w:val="clear" w:color="auto" w:fill="FFFFFF"/>
        </w:rPr>
        <w:t>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1607.41</w:t>
      </w:r>
      <w:r>
        <w:rPr>
          <w:rFonts w:hint="default" w:ascii="Times New Roman" w:hAnsi="Times New Roman" w:eastAsia="方正仿宋_GBK" w:cs="Times New Roman"/>
          <w:sz w:val="32"/>
          <w:szCs w:val="32"/>
          <w:shd w:val="clear" w:color="auto" w:fill="FFFFFF"/>
        </w:rPr>
        <w:t>万元，较上年决算数减少1162.37万元，下降41.97%，主要原因是一般公共服务支出</w:t>
      </w:r>
      <w:r>
        <w:rPr>
          <w:rFonts w:hint="default"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lang w:val="en-US" w:eastAsia="zh-CN"/>
        </w:rPr>
        <w:t>146.66万元、社会保障和就业支出减少715.53万元、农林水支出减少129.09万元、交通运输支出减少134.05万元等。</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637.93</w:t>
      </w:r>
      <w:r>
        <w:rPr>
          <w:rFonts w:hint="default" w:ascii="Times New Roman" w:hAnsi="Times New Roman" w:eastAsia="方正仿宋_GBK" w:cs="Times New Roman"/>
          <w:sz w:val="32"/>
          <w:szCs w:val="32"/>
          <w:shd w:val="clear" w:color="auto" w:fill="FFFFFF"/>
        </w:rPr>
        <w:t>万元，占39.69%；项目支出</w:t>
      </w:r>
      <w:r>
        <w:rPr>
          <w:rFonts w:hint="default" w:ascii="Times New Roman" w:hAnsi="Times New Roman" w:eastAsia="方正仿宋_GBK" w:cs="Times New Roman"/>
          <w:sz w:val="32"/>
          <w:szCs w:val="32"/>
        </w:rPr>
        <w:t>969.48</w:t>
      </w:r>
      <w:r>
        <w:rPr>
          <w:rFonts w:hint="default" w:ascii="Times New Roman" w:hAnsi="Times New Roman" w:eastAsia="方正仿宋_GBK" w:cs="Times New Roman"/>
          <w:sz w:val="32"/>
          <w:szCs w:val="32"/>
          <w:shd w:val="clear" w:color="auto" w:fill="FFFFFF"/>
        </w:rPr>
        <w:t>万元，占60.31%；经营支出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2022年度无</w:t>
      </w:r>
      <w:r>
        <w:rPr>
          <w:rFonts w:hint="default" w:ascii="Times New Roman" w:hAnsi="Times New Roman" w:eastAsia="方正仿宋_GBK" w:cs="Times New Roman"/>
          <w:sz w:val="32"/>
          <w:szCs w:val="32"/>
          <w:shd w:val="clear" w:color="auto" w:fill="FFFFFF"/>
        </w:rPr>
        <w:t>年末结转和结余</w:t>
      </w:r>
      <w:r>
        <w:rPr>
          <w:rFonts w:hint="default" w:ascii="Times New Roman" w:hAnsi="Times New Roman" w:eastAsia="方正仿宋_GBK" w:cs="Times New Roman"/>
          <w:sz w:val="32"/>
          <w:szCs w:val="32"/>
          <w:lang w:eastAsia="zh-CN"/>
        </w:rPr>
        <w:t>。</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（二）财政拨款收入支出决算总体情况说明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2023年度财政拨款收、支总计1607.41万元。与2022年相比，财政拨款收、支总计各减少840.51万元，下降34.34%。主要原因是一般公共预算</w:t>
      </w:r>
      <w:r>
        <w:rPr>
          <w:rFonts w:hint="default"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lang w:val="en-US" w:eastAsia="zh-CN"/>
        </w:rPr>
        <w:t>891.82万元、政府性基金预算减少7.37万元、一般公共预算年初结转和结余增加58.67万元。</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1536.39</w:t>
      </w:r>
      <w:r>
        <w:rPr>
          <w:rFonts w:hint="default" w:ascii="Times New Roman" w:hAnsi="Times New Roman" w:eastAsia="方正仿宋_GBK" w:cs="Times New Roman"/>
          <w:sz w:val="32"/>
          <w:szCs w:val="32"/>
          <w:shd w:val="clear" w:color="auto" w:fill="FFFFFF"/>
        </w:rPr>
        <w:t>万元，较上年决算数减少891.82万元，下降36.73%。主要原因是是</w:t>
      </w:r>
      <w:r>
        <w:rPr>
          <w:rFonts w:hint="default" w:ascii="Times New Roman" w:hAnsi="Times New Roman" w:eastAsia="方正仿宋_GBK" w:cs="Times New Roman"/>
          <w:sz w:val="32"/>
          <w:szCs w:val="32"/>
        </w:rPr>
        <w:t>按照预算管理一体化系统、财政部关于部门决算编报的新要求，2023年度我县分单位独立编报决算，导致2023年度</w:t>
      </w:r>
      <w:r>
        <w:rPr>
          <w:rFonts w:hint="default" w:ascii="Times New Roman" w:hAnsi="Times New Roman" w:eastAsia="方正仿宋_GBK" w:cs="Times New Roman"/>
          <w:sz w:val="32"/>
          <w:szCs w:val="32"/>
          <w:lang w:eastAsia="zh-CN"/>
        </w:rPr>
        <w:t>我单位下属事业单位独立编报决算，故而收入减少。</w:t>
      </w:r>
      <w:r>
        <w:rPr>
          <w:rFonts w:hint="default" w:ascii="Times New Roman" w:hAnsi="Times New Roman" w:eastAsia="方正仿宋_GBK" w:cs="Times New Roman"/>
          <w:sz w:val="32"/>
          <w:szCs w:val="32"/>
          <w:shd w:val="clear" w:color="auto" w:fill="FFFFFF"/>
        </w:rPr>
        <w:t>较年初预算数增加877.91万元，增长133.32%。主要原因是</w:t>
      </w:r>
      <w:r>
        <w:rPr>
          <w:rFonts w:hint="default" w:ascii="Times New Roman" w:hAnsi="Times New Roman" w:eastAsia="方正仿宋_GBK" w:cs="Times New Roman"/>
          <w:color w:val="auto"/>
          <w:sz w:val="32"/>
          <w:szCs w:val="32"/>
          <w:shd w:val="clear" w:color="auto" w:fill="FFFFFF"/>
        </w:rPr>
        <w:t>追加项目</w:t>
      </w:r>
      <w:r>
        <w:rPr>
          <w:rFonts w:hint="default" w:ascii="Times New Roman" w:hAnsi="Times New Roman" w:eastAsia="方正仿宋_GBK" w:cs="Times New Roman"/>
          <w:color w:val="auto"/>
          <w:sz w:val="32"/>
          <w:szCs w:val="32"/>
          <w:shd w:val="clear" w:color="auto" w:fill="FFFFFF"/>
          <w:lang w:eastAsia="zh-CN"/>
        </w:rPr>
        <w:t>指标资金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58.67</w:t>
      </w:r>
      <w:r>
        <w:rPr>
          <w:rFonts w:hint="default" w:ascii="Times New Roman" w:hAnsi="Times New Roman" w:eastAsia="方正仿宋_GBK" w:cs="Times New Roman"/>
          <w:sz w:val="32"/>
          <w:szCs w:val="32"/>
          <w:shd w:val="clear" w:color="auto" w:fill="FFFFFF"/>
        </w:rPr>
        <w:t>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1595.06</w:t>
      </w:r>
      <w:r>
        <w:rPr>
          <w:rFonts w:hint="default" w:ascii="Times New Roman" w:hAnsi="Times New Roman" w:eastAsia="方正仿宋_GBK" w:cs="Times New Roman"/>
          <w:sz w:val="32"/>
          <w:szCs w:val="32"/>
          <w:shd w:val="clear" w:color="auto" w:fill="FFFFFF"/>
        </w:rPr>
        <w:t>万元，较上年决算数减少833.15万元，下降34.31%。主要原因是一般公共服务支出</w:t>
      </w:r>
      <w:r>
        <w:rPr>
          <w:rFonts w:hint="default"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lang w:val="en-US" w:eastAsia="zh-CN"/>
        </w:rPr>
        <w:t>138.27万元、社会保障和就业支出减少671.70万元、交通运输支出减少134.05万元、农林水支出增加103.30万元。</w:t>
      </w:r>
      <w:r>
        <w:rPr>
          <w:rFonts w:hint="default" w:ascii="Times New Roman" w:hAnsi="Times New Roman" w:eastAsia="方正仿宋_GBK" w:cs="Times New Roman"/>
          <w:sz w:val="32"/>
          <w:szCs w:val="32"/>
          <w:shd w:val="clear" w:color="auto" w:fill="FFFFFF"/>
        </w:rPr>
        <w:t>较年初预算数增加118.20万元，增长8.00%。主要原因是</w:t>
      </w:r>
      <w:r>
        <w:rPr>
          <w:rFonts w:hint="default" w:ascii="Times New Roman" w:hAnsi="Times New Roman" w:eastAsia="方正仿宋_GBK" w:cs="Times New Roman"/>
          <w:color w:val="auto"/>
          <w:sz w:val="32"/>
          <w:szCs w:val="32"/>
          <w:shd w:val="clear" w:color="auto" w:fill="FFFFFF"/>
        </w:rPr>
        <w:t>追加项目</w:t>
      </w:r>
      <w:r>
        <w:rPr>
          <w:rFonts w:hint="default" w:ascii="Times New Roman" w:hAnsi="Times New Roman" w:eastAsia="方正仿宋_GBK" w:cs="Times New Roman"/>
          <w:color w:val="auto"/>
          <w:sz w:val="32"/>
          <w:szCs w:val="32"/>
          <w:shd w:val="clear" w:color="auto" w:fill="FFFFFF"/>
          <w:lang w:eastAsia="zh-CN"/>
        </w:rPr>
        <w:t>指标资金，增加本年度相关开支，导致较年初预算数增加。</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2022年度年末无一般公共预算财政拨款结转和结余</w:t>
      </w:r>
      <w:r>
        <w:rPr>
          <w:rFonts w:hint="default" w:ascii="Times New Roman" w:hAnsi="Times New Roman" w:eastAsia="方正仿宋_GBK" w:cs="Times New Roman"/>
          <w:color w:val="auto"/>
          <w:sz w:val="32"/>
          <w:szCs w:val="32"/>
          <w:shd w:val="clear" w:color="auto" w:fill="FFFFFF"/>
        </w:rPr>
        <w:t>。</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511.20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32.05</w:t>
      </w:r>
      <w:r>
        <w:rPr>
          <w:rFonts w:hint="default" w:ascii="Times New Roman" w:hAnsi="Times New Roman" w:eastAsia="方正仿宋_GBK" w:cs="Times New Roman"/>
          <w:sz w:val="32"/>
          <w:szCs w:val="32"/>
          <w:shd w:val="clear" w:color="auto" w:fill="FFFFFF"/>
        </w:rPr>
        <w:t>%，较年初预算数增加11.38万元，增长2.28%，主要原因是</w:t>
      </w:r>
      <w:r>
        <w:rPr>
          <w:rFonts w:hint="default" w:ascii="Times New Roman" w:hAnsi="Times New Roman" w:eastAsia="方正仿宋_GBK" w:cs="Times New Roman"/>
          <w:color w:val="auto"/>
          <w:sz w:val="32"/>
          <w:szCs w:val="32"/>
          <w:shd w:val="clear" w:color="auto" w:fill="FFFFFF"/>
          <w:lang w:val="en-US" w:eastAsia="zh-CN"/>
        </w:rPr>
        <w:t>2023年机关在职职工增加，所需经费增加。</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）国防支出</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0.19</w:t>
      </w:r>
      <w:r>
        <w:rPr>
          <w:rFonts w:hint="default" w:ascii="Times New Roman" w:hAnsi="Times New Roman" w:eastAsia="方正仿宋_GBK" w:cs="Times New Roman"/>
          <w:sz w:val="32"/>
          <w:szCs w:val="32"/>
          <w:shd w:val="clear" w:color="auto" w:fill="FFFFFF"/>
        </w:rPr>
        <w:t>%，较年初预算数增加3.00万元，增长100.00%，主要原因是该支出总计三笔支付，均由公用经费支付通讯费以及食堂工作人员报酬，由于指标原因，所以增加3.00万元国防支出。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）公共安全支出</w:t>
      </w:r>
      <w:r>
        <w:rPr>
          <w:rFonts w:hint="default" w:ascii="Times New Roman" w:hAnsi="Times New Roman" w:eastAsia="方正仿宋_GBK" w:cs="Times New Roman"/>
          <w:sz w:val="32"/>
          <w:szCs w:val="32"/>
        </w:rPr>
        <w:t>8.66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0.54</w:t>
      </w:r>
      <w:r>
        <w:rPr>
          <w:rFonts w:hint="default" w:ascii="Times New Roman" w:hAnsi="Times New Roman" w:eastAsia="方正仿宋_GBK" w:cs="Times New Roman"/>
          <w:sz w:val="32"/>
          <w:szCs w:val="32"/>
          <w:shd w:val="clear" w:color="auto" w:fill="FFFFFF"/>
        </w:rPr>
        <w:t>%，较年初预算数增加3.60万元，增长71.15%，主要原因是</w:t>
      </w:r>
      <w:r>
        <w:rPr>
          <w:rFonts w:hint="default" w:ascii="Times New Roman" w:hAnsi="Times New Roman" w:eastAsia="方正仿宋_GBK" w:cs="Times New Roman"/>
          <w:sz w:val="32"/>
          <w:szCs w:val="32"/>
          <w:shd w:val="clear" w:color="auto" w:fill="FFFFFF"/>
          <w:lang w:eastAsia="zh-CN"/>
        </w:rPr>
        <w:t>该支出总计</w:t>
      </w:r>
      <w:r>
        <w:rPr>
          <w:rFonts w:hint="default" w:ascii="Times New Roman" w:hAnsi="Times New Roman" w:eastAsia="方正仿宋_GBK" w:cs="Times New Roman"/>
          <w:sz w:val="32"/>
          <w:szCs w:val="32"/>
          <w:shd w:val="clear" w:color="auto" w:fill="FFFFFF"/>
          <w:lang w:val="en-US" w:eastAsia="zh-CN"/>
        </w:rPr>
        <w:t>6笔，分别用于支付群防群测人员补助、安全巡逻员经费、妙泉镇渝怀二线矛盾调解人员补助。</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22.21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1.39</w:t>
      </w:r>
      <w:r>
        <w:rPr>
          <w:rFonts w:hint="default" w:ascii="Times New Roman" w:hAnsi="Times New Roman" w:eastAsia="方正仿宋_GBK" w:cs="Times New Roman"/>
          <w:sz w:val="32"/>
          <w:szCs w:val="32"/>
          <w:shd w:val="clear" w:color="auto" w:fill="FFFFFF"/>
        </w:rPr>
        <w:t>%，较年初预算数减少14.11万元，下降38.85%，主要原因是</w:t>
      </w:r>
      <w:r>
        <w:rPr>
          <w:rFonts w:hint="default" w:ascii="Times New Roman" w:hAnsi="Times New Roman" w:eastAsia="方正仿宋_GBK" w:cs="Times New Roman"/>
          <w:sz w:val="32"/>
          <w:szCs w:val="32"/>
          <w:shd w:val="clear" w:color="auto" w:fill="FFFFFF"/>
          <w:lang w:eastAsia="zh-CN"/>
        </w:rPr>
        <w:t>开展相关文化活动，活动方案进一步完善，优化部分开支内容，降低相关经费开支。</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76.84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4.82</w:t>
      </w:r>
      <w:r>
        <w:rPr>
          <w:rFonts w:hint="default" w:ascii="Times New Roman" w:hAnsi="Times New Roman" w:eastAsia="方正仿宋_GBK" w:cs="Times New Roman"/>
          <w:sz w:val="32"/>
          <w:szCs w:val="32"/>
          <w:shd w:val="clear" w:color="auto" w:fill="FFFFFF"/>
        </w:rPr>
        <w:t>%，较年初预算数减少18.02万元，下降19.00%，主要原因是</w:t>
      </w:r>
      <w:r>
        <w:rPr>
          <w:rFonts w:hint="default" w:ascii="Times New Roman" w:hAnsi="Times New Roman" w:eastAsia="方正仿宋_GBK" w:cs="Times New Roman"/>
          <w:sz w:val="32"/>
          <w:szCs w:val="32"/>
          <w:shd w:val="clear" w:color="auto" w:fill="FFFFFF"/>
          <w:lang w:eastAsia="zh-CN"/>
        </w:rPr>
        <w:t>公益性岗位、三支一扶等员工减少，所需经费减少。</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50.55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3.17</w:t>
      </w:r>
      <w:r>
        <w:rPr>
          <w:rFonts w:hint="default" w:ascii="Times New Roman" w:hAnsi="Times New Roman" w:eastAsia="方正仿宋_GBK" w:cs="Times New Roman"/>
          <w:sz w:val="32"/>
          <w:szCs w:val="32"/>
          <w:shd w:val="clear" w:color="auto" w:fill="FFFFFF"/>
        </w:rPr>
        <w:t>%，较年初预算数增加15.80万元，增长45.47%，主要原因是</w:t>
      </w:r>
      <w:r>
        <w:rPr>
          <w:rFonts w:hint="default" w:ascii="Times New Roman" w:hAnsi="Times New Roman" w:eastAsia="方正仿宋_GBK" w:cs="Times New Roman"/>
          <w:sz w:val="32"/>
          <w:szCs w:val="32"/>
          <w:shd w:val="clear" w:color="auto" w:fill="FFFFFF"/>
          <w:lang w:eastAsia="zh-CN"/>
        </w:rPr>
        <w:t>在职人员计提基数增大。</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94.50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5.92</w:t>
      </w:r>
      <w:r>
        <w:rPr>
          <w:rFonts w:hint="default" w:ascii="Times New Roman" w:hAnsi="Times New Roman" w:eastAsia="方正仿宋_GBK" w:cs="Times New Roman"/>
          <w:sz w:val="32"/>
          <w:szCs w:val="32"/>
          <w:shd w:val="clear" w:color="auto" w:fill="FFFFFF"/>
        </w:rPr>
        <w:t>%，较年初预算数减少436.99万元，下降82.22%，主要原因是</w:t>
      </w:r>
      <w:r>
        <w:rPr>
          <w:rFonts w:hint="default" w:ascii="Times New Roman" w:hAnsi="Times New Roman" w:eastAsia="方正仿宋_GBK" w:cs="Times New Roman"/>
          <w:sz w:val="32"/>
          <w:szCs w:val="32"/>
          <w:shd w:val="clear" w:color="auto" w:fill="FFFFFF"/>
          <w:lang w:eastAsia="zh-CN"/>
        </w:rPr>
        <w:t>节能环保工作常态化，后续投入相关经费开支减少。</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765.42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47.99</w:t>
      </w:r>
      <w:r>
        <w:rPr>
          <w:rFonts w:hint="default" w:ascii="Times New Roman" w:hAnsi="Times New Roman" w:eastAsia="方正仿宋_GBK" w:cs="Times New Roman"/>
          <w:sz w:val="32"/>
          <w:szCs w:val="32"/>
          <w:shd w:val="clear" w:color="auto" w:fill="FFFFFF"/>
        </w:rPr>
        <w:t>%，较年初预算数增加564.99万元，增长281.89%，主要原因是驻村工作</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森林防火</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森林资源管护</w:t>
      </w:r>
      <w:r>
        <w:rPr>
          <w:rFonts w:hint="default" w:ascii="Times New Roman" w:hAnsi="Times New Roman" w:eastAsia="方正仿宋_GBK" w:cs="Times New Roman"/>
          <w:sz w:val="32"/>
          <w:szCs w:val="32"/>
          <w:shd w:val="clear" w:color="auto" w:fill="FFFFFF"/>
          <w:lang w:eastAsia="zh-CN"/>
        </w:rPr>
        <w:t>、森林资源管护等开支，由于</w:t>
      </w:r>
      <w:r>
        <w:rPr>
          <w:rFonts w:hint="default" w:ascii="Times New Roman" w:hAnsi="Times New Roman" w:eastAsia="方正仿宋_GBK" w:cs="Times New Roman"/>
          <w:sz w:val="32"/>
          <w:szCs w:val="32"/>
          <w:shd w:val="clear" w:color="auto" w:fill="FFFFFF"/>
          <w:lang w:val="en-US" w:eastAsia="zh-CN"/>
        </w:rPr>
        <w:t>2023年气候炎热，防旱、森林土地保护相关开支增大，导致较年初预算数增加。</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自然资源海洋气象等支出13.59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0.85</w:t>
      </w:r>
      <w:r>
        <w:rPr>
          <w:rFonts w:hint="default" w:ascii="Times New Roman" w:hAnsi="Times New Roman" w:eastAsia="方正仿宋_GBK" w:cs="Times New Roman"/>
          <w:sz w:val="32"/>
          <w:szCs w:val="32"/>
          <w:shd w:val="clear" w:color="auto" w:fill="FFFFFF"/>
        </w:rPr>
        <w:t>%，较年初预算数增加13.59万元，增长100.00%，主要原因是</w:t>
      </w:r>
      <w:r>
        <w:rPr>
          <w:rFonts w:hint="default" w:ascii="Times New Roman" w:hAnsi="Times New Roman" w:eastAsia="方正仿宋_GBK" w:cs="Times New Roman"/>
          <w:sz w:val="32"/>
          <w:szCs w:val="32"/>
          <w:shd w:val="clear" w:color="auto" w:fill="FFFFFF"/>
          <w:lang w:eastAsia="zh-CN"/>
        </w:rPr>
        <w:t>该支出主要三笔</w:t>
      </w:r>
      <w:r>
        <w:rPr>
          <w:rFonts w:hint="default" w:ascii="Times New Roman" w:hAnsi="Times New Roman" w:eastAsia="方正仿宋_GBK" w:cs="Times New Roman"/>
          <w:sz w:val="32"/>
          <w:szCs w:val="32"/>
          <w:shd w:val="clear" w:color="auto" w:fill="FFFFFF"/>
        </w:rPr>
        <w:t>新增耕地指标款安排2021年耕地流出问题恢复补足工作奖补资金</w:t>
      </w:r>
      <w:r>
        <w:rPr>
          <w:rFonts w:hint="default" w:ascii="Times New Roman" w:hAnsi="Times New Roman" w:eastAsia="方正仿宋_GBK" w:cs="Times New Roman"/>
          <w:sz w:val="32"/>
          <w:szCs w:val="32"/>
          <w:shd w:val="clear" w:color="auto" w:fill="FFFFFF"/>
          <w:lang w:eastAsia="zh-CN"/>
        </w:rPr>
        <w:t>支付，用于耕地流出问题恢复补足工作。</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住房保障支出44.79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2.81</w:t>
      </w:r>
      <w:r>
        <w:rPr>
          <w:rFonts w:hint="default" w:ascii="Times New Roman" w:hAnsi="Times New Roman" w:eastAsia="方正仿宋_GBK" w:cs="Times New Roman"/>
          <w:sz w:val="32"/>
          <w:szCs w:val="32"/>
          <w:shd w:val="clear" w:color="auto" w:fill="FFFFFF"/>
        </w:rPr>
        <w:t>%，较年初预算数增加3.20万元，增长7.69%，主要原因是</w:t>
      </w:r>
      <w:r>
        <w:rPr>
          <w:rFonts w:hint="default" w:ascii="Times New Roman" w:hAnsi="Times New Roman" w:eastAsia="方正仿宋_GBK" w:cs="Times New Roman"/>
          <w:sz w:val="32"/>
          <w:szCs w:val="32"/>
          <w:shd w:val="clear" w:color="auto" w:fill="FFFFFF"/>
          <w:lang w:eastAsia="zh-CN"/>
        </w:rPr>
        <w:t>该支出主要涉及公积金以及农村危房改造等开支，</w:t>
      </w:r>
      <w:r>
        <w:rPr>
          <w:rFonts w:hint="default" w:ascii="Times New Roman" w:hAnsi="Times New Roman" w:eastAsia="方正仿宋_GBK" w:cs="Times New Roman"/>
          <w:sz w:val="32"/>
          <w:szCs w:val="32"/>
          <w:shd w:val="clear" w:color="auto" w:fill="FFFFFF"/>
          <w:lang w:val="en-US" w:eastAsia="zh-CN"/>
        </w:rPr>
        <w:t>2023年机关存在新进公务员</w:t>
      </w:r>
      <w:r>
        <w:rPr>
          <w:rFonts w:hint="default" w:ascii="Times New Roman" w:hAnsi="Times New Roman" w:eastAsia="方正仿宋_GBK" w:cs="Times New Roman"/>
          <w:sz w:val="32"/>
          <w:szCs w:val="32"/>
          <w:shd w:val="clear" w:color="auto" w:fill="FFFFFF"/>
          <w:lang w:eastAsia="zh-CN"/>
        </w:rPr>
        <w:t>，所以较年初预算数增加。</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灾害防治及应急管理支出4.30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0.27</w:t>
      </w:r>
      <w:r>
        <w:rPr>
          <w:rFonts w:hint="default" w:ascii="Times New Roman" w:hAnsi="Times New Roman" w:eastAsia="方正仿宋_GBK" w:cs="Times New Roman"/>
          <w:sz w:val="32"/>
          <w:szCs w:val="32"/>
          <w:shd w:val="clear" w:color="auto" w:fill="FFFFFF"/>
        </w:rPr>
        <w:t>%，较年初预算数减少17.04万元，下降79.85%，主要原因是</w:t>
      </w:r>
      <w:r>
        <w:rPr>
          <w:rFonts w:hint="default" w:ascii="Times New Roman" w:hAnsi="Times New Roman" w:eastAsia="方正仿宋_GBK" w:cs="Times New Roman"/>
          <w:color w:val="auto"/>
          <w:sz w:val="32"/>
          <w:szCs w:val="32"/>
          <w:shd w:val="clear" w:color="auto" w:fill="FFFFFF"/>
          <w:lang w:eastAsia="zh-CN"/>
        </w:rPr>
        <w:t>该支出主要用于防火防旱物资储备，由于</w:t>
      </w:r>
      <w:r>
        <w:rPr>
          <w:rFonts w:hint="default" w:ascii="Times New Roman" w:hAnsi="Times New Roman" w:eastAsia="方正仿宋_GBK" w:cs="Times New Roman"/>
          <w:color w:val="auto"/>
          <w:sz w:val="32"/>
          <w:szCs w:val="32"/>
          <w:shd w:val="clear" w:color="auto" w:fill="FFFFFF"/>
          <w:lang w:val="en-US" w:eastAsia="zh-CN"/>
        </w:rPr>
        <w:t>2023年灾害发生率较低，所以较年初预算数低</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637.93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529.12</w:t>
      </w:r>
      <w:r>
        <w:rPr>
          <w:rFonts w:hint="default" w:ascii="Times New Roman" w:hAnsi="Times New Roman" w:eastAsia="方正仿宋_GBK" w:cs="Times New Roman"/>
          <w:sz w:val="32"/>
          <w:szCs w:val="32"/>
          <w:shd w:val="clear" w:color="auto" w:fill="FFFFFF"/>
        </w:rPr>
        <w:t>万元，较上年决算数减少421.06万元，下降44.31%，主要原因是</w:t>
      </w:r>
      <w:r>
        <w:rPr>
          <w:rFonts w:hint="default" w:ascii="Times New Roman" w:hAnsi="Times New Roman" w:eastAsia="方正仿宋_GBK" w:cs="Times New Roman"/>
          <w:sz w:val="32"/>
          <w:szCs w:val="32"/>
          <w:shd w:val="clear" w:color="auto" w:fill="FFFFFF"/>
          <w:lang w:eastAsia="zh-CN"/>
        </w:rPr>
        <w:t>三支一扶、</w:t>
      </w:r>
      <w:r>
        <w:rPr>
          <w:rFonts w:hint="default" w:ascii="Times New Roman" w:hAnsi="Times New Roman" w:eastAsia="方正仿宋_GBK" w:cs="Times New Roman"/>
          <w:color w:val="auto"/>
          <w:sz w:val="32"/>
          <w:szCs w:val="32"/>
          <w:shd w:val="clear" w:color="auto" w:fill="FFFFFF"/>
          <w:lang w:eastAsia="zh-CN"/>
        </w:rPr>
        <w:t>公益性岗位、非公益性岗位等人员减少，部分群众相关的补贴由民政直接发放，导致</w:t>
      </w:r>
      <w:r>
        <w:rPr>
          <w:rFonts w:hint="default" w:ascii="Times New Roman" w:hAnsi="Times New Roman" w:eastAsia="方正仿宋_GBK" w:cs="Times New Roman"/>
          <w:sz w:val="32"/>
          <w:szCs w:val="32"/>
          <w:shd w:val="clear" w:color="auto" w:fill="FFFFFF"/>
        </w:rPr>
        <w:t>较上年决算数</w:t>
      </w:r>
      <w:r>
        <w:rPr>
          <w:rFonts w:hint="default" w:ascii="Times New Roman" w:hAnsi="Times New Roman" w:eastAsia="方正仿宋_GBK" w:cs="Times New Roman"/>
          <w:color w:val="auto"/>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eastAsia="zh-CN"/>
        </w:rPr>
        <w:t>在职职工以及三支一扶工资绩效、社保公积金配套、遗属补贴、体检费等开支</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108.81</w:t>
      </w:r>
      <w:r>
        <w:rPr>
          <w:rFonts w:hint="default" w:ascii="Times New Roman" w:hAnsi="Times New Roman" w:eastAsia="方正仿宋_GBK" w:cs="Times New Roman"/>
          <w:sz w:val="32"/>
          <w:szCs w:val="32"/>
          <w:shd w:val="clear" w:color="auto" w:fill="FFFFFF"/>
        </w:rPr>
        <w:t>万元，较上年决算数增加9.74万元，增长9.83%，主要原因是公务用车运行维护费增加，车辆老化，车辆耗油量及维修频次增加</w:t>
      </w:r>
      <w:r>
        <w:rPr>
          <w:rFonts w:hint="default" w:ascii="Times New Roman" w:hAnsi="Times New Roman" w:eastAsia="方正仿宋_GBK" w:cs="Times New Roman"/>
          <w:sz w:val="32"/>
          <w:szCs w:val="32"/>
          <w:shd w:val="clear" w:color="auto" w:fill="FFFFFF"/>
          <w:lang w:eastAsia="zh-CN"/>
        </w:rPr>
        <w:t>以及</w:t>
      </w:r>
      <w:r>
        <w:rPr>
          <w:rFonts w:hint="default" w:ascii="Times New Roman" w:hAnsi="Times New Roman" w:eastAsia="方正仿宋_GBK" w:cs="Times New Roman"/>
          <w:sz w:val="32"/>
          <w:szCs w:val="32"/>
          <w:shd w:val="clear" w:color="auto" w:fill="FFFFFF"/>
        </w:rPr>
        <w:t>2023年外出参加会议增加</w:t>
      </w:r>
      <w:r>
        <w:rPr>
          <w:rFonts w:hint="default" w:ascii="Times New Roman" w:hAnsi="Times New Roman" w:eastAsia="方正仿宋_GBK" w:cs="Times New Roman"/>
          <w:sz w:val="32"/>
          <w:szCs w:val="32"/>
          <w:shd w:val="clear" w:color="auto" w:fill="FFFFFF"/>
          <w:lang w:eastAsia="zh-CN"/>
        </w:rPr>
        <w:t>导致</w:t>
      </w:r>
      <w:r>
        <w:rPr>
          <w:rFonts w:hint="default" w:ascii="Times New Roman" w:hAnsi="Times New Roman" w:eastAsia="方正仿宋_GBK" w:cs="Times New Roman"/>
          <w:sz w:val="32"/>
          <w:szCs w:val="32"/>
          <w:shd w:val="clear" w:color="auto" w:fill="FFFFFF"/>
        </w:rPr>
        <w:t>差旅费增加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eastAsia="zh-CN"/>
        </w:rPr>
        <w:t>单位水电通讯费、差旅费、食堂开支、杂志报刊费、培训费、办公室耗材费。</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12.34</w:t>
      </w:r>
      <w:r>
        <w:rPr>
          <w:rFonts w:hint="default" w:ascii="Times New Roman" w:hAnsi="Times New Roman" w:eastAsia="方正仿宋_GBK" w:cs="Times New Roman"/>
          <w:sz w:val="32"/>
          <w:szCs w:val="32"/>
          <w:shd w:val="clear" w:color="auto" w:fill="FFFFFF"/>
        </w:rPr>
        <w:t>万元，较上年决算数减少7.37万元，下降37.39%，主要原因是农林水</w:t>
      </w:r>
      <w:r>
        <w:rPr>
          <w:rFonts w:hint="default" w:ascii="Times New Roman" w:hAnsi="Times New Roman" w:eastAsia="方正仿宋_GBK" w:cs="Times New Roman"/>
          <w:sz w:val="32"/>
          <w:szCs w:val="32"/>
          <w:shd w:val="clear" w:color="auto" w:fill="FFFFFF"/>
          <w:lang w:eastAsia="zh-CN"/>
        </w:rPr>
        <w:t>方面收入减少</w:t>
      </w:r>
      <w:r>
        <w:rPr>
          <w:rFonts w:hint="default" w:ascii="Times New Roman" w:hAnsi="Times New Roman" w:eastAsia="方正仿宋_GBK" w:cs="Times New Roman"/>
          <w:sz w:val="32"/>
          <w:szCs w:val="32"/>
          <w:shd w:val="clear" w:color="auto" w:fill="FFFFFF"/>
          <w:lang w:val="en-US" w:eastAsia="zh-CN"/>
        </w:rPr>
        <w:t>7.72万元。</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12.34</w:t>
      </w:r>
      <w:r>
        <w:rPr>
          <w:rFonts w:hint="default" w:ascii="Times New Roman" w:hAnsi="Times New Roman" w:eastAsia="方正仿宋_GBK" w:cs="Times New Roman"/>
          <w:sz w:val="32"/>
          <w:szCs w:val="32"/>
          <w:shd w:val="clear" w:color="auto" w:fill="FFFFFF"/>
        </w:rPr>
        <w:t>万元，较上年决算数减少7.37万元，下降37.39%，主要原因是城乡社区支出</w:t>
      </w:r>
      <w:r>
        <w:rPr>
          <w:rFonts w:hint="default" w:ascii="Times New Roman" w:hAnsi="Times New Roman" w:eastAsia="方正仿宋_GBK" w:cs="Times New Roman"/>
          <w:sz w:val="32"/>
          <w:szCs w:val="32"/>
          <w:shd w:val="clear" w:color="auto" w:fill="FFFFFF"/>
          <w:lang w:val="en-US" w:eastAsia="zh-CN"/>
        </w:rPr>
        <w:t>1.2万元、农林水支出1.14万元、其他支出10万元（用于体育事业的彩票公益金支出10万元）。</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b w:val="0"/>
          <w:bCs/>
          <w:sz w:val="32"/>
          <w:szCs w:val="32"/>
          <w:shd w:val="clear" w:color="auto" w:fill="auto"/>
        </w:rPr>
        <w:t>本单位2023年度无国有资本经营预算财政拨款支出。</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三、</w:t>
      </w:r>
      <w:r>
        <w:rPr>
          <w:rStyle w:val="9"/>
          <w:rFonts w:hint="eastAsia" w:ascii="方正黑体_GBK" w:hAnsi="方正黑体_GBK" w:eastAsia="方正黑体_GBK" w:cs="方正黑体_GBK"/>
          <w:b w:val="0"/>
          <w:bCs/>
          <w:sz w:val="32"/>
          <w:szCs w:val="32"/>
          <w:shd w:val="clear" w:color="auto" w:fill="FFFFFF"/>
        </w:rPr>
        <w:t>“三公”</w:t>
      </w:r>
      <w:r>
        <w:rPr>
          <w:rStyle w:val="9"/>
          <w:rFonts w:hint="default" w:ascii="Times New Roman" w:hAnsi="Times New Roman" w:eastAsia="方正黑体_GBK" w:cs="Times New Roman"/>
          <w:b w:val="0"/>
          <w:bCs/>
          <w:sz w:val="32"/>
          <w:szCs w:val="32"/>
          <w:shd w:val="clear" w:color="auto" w:fill="FFFFFF"/>
        </w:rPr>
        <w:t>经费情况说明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w:t>
      </w:r>
      <w:r>
        <w:rPr>
          <w:rStyle w:val="9"/>
          <w:rFonts w:hint="eastAsia" w:ascii="方正楷体_GBK" w:hAnsi="方正楷体_GBK" w:eastAsia="方正楷体_GBK" w:cs="方正楷体_GBK"/>
          <w:b w:val="0"/>
          <w:bCs/>
          <w:sz w:val="32"/>
          <w:szCs w:val="32"/>
          <w:shd w:val="clear" w:color="auto" w:fill="FFFFFF"/>
          <w:lang w:val="en-US" w:eastAsia="zh-CN" w:bidi="ar-SA"/>
        </w:rPr>
        <w:t>“三公”经费</w:t>
      </w:r>
      <w:r>
        <w:rPr>
          <w:rStyle w:val="9"/>
          <w:rFonts w:hint="default" w:ascii="Times New Roman" w:hAnsi="Times New Roman" w:eastAsia="方正楷体_GBK" w:cs="Times New Roman"/>
          <w:b w:val="0"/>
          <w:bCs/>
          <w:sz w:val="32"/>
          <w:szCs w:val="32"/>
          <w:shd w:val="clear" w:color="auto" w:fill="FFFFFF"/>
          <w:lang w:val="en-US" w:eastAsia="zh-CN" w:bidi="ar-SA"/>
        </w:rPr>
        <w:t>支出总体情况说明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w:t>
      </w:r>
      <w:r>
        <w:rPr>
          <w:rFonts w:hint="eastAsia" w:ascii="方正仿宋_GBK" w:hAnsi="方正仿宋_GBK" w:eastAsia="方正仿宋_GBK" w:cs="方正仿宋_GBK"/>
          <w:sz w:val="32"/>
          <w:szCs w:val="32"/>
          <w:shd w:val="clear" w:color="auto" w:fill="FFFFFF"/>
        </w:rPr>
        <w:t>“三公”经</w:t>
      </w:r>
      <w:r>
        <w:rPr>
          <w:rFonts w:hint="default" w:ascii="方正仿宋_GBK" w:hAnsi="方正仿宋_GBK" w:eastAsia="方正仿宋_GBK" w:cs="方正仿宋_GBK"/>
          <w:sz w:val="32"/>
          <w:szCs w:val="32"/>
          <w:shd w:val="clear" w:color="auto" w:fill="FFFFFF"/>
        </w:rPr>
        <w:t>费</w:t>
      </w:r>
      <w:r>
        <w:rPr>
          <w:rFonts w:hint="default" w:ascii="Times New Roman" w:hAnsi="Times New Roman" w:eastAsia="方正仿宋_GBK" w:cs="Times New Roman"/>
          <w:sz w:val="32"/>
          <w:szCs w:val="32"/>
          <w:shd w:val="clear" w:color="auto" w:fill="FFFFFF"/>
        </w:rPr>
        <w:t>支出共计</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万元，较年初预算数无增减，主要原因</w:t>
      </w:r>
      <w:r>
        <w:rPr>
          <w:rFonts w:hint="default" w:ascii="方正仿宋_GBK" w:hAnsi="方正仿宋_GBK" w:eastAsia="方正仿宋_GBK" w:cs="方正仿宋_GBK"/>
          <w:sz w:val="32"/>
          <w:szCs w:val="32"/>
          <w:shd w:val="clear" w:color="auto" w:fill="FFFFFF"/>
        </w:rPr>
        <w:t>是</w:t>
      </w:r>
      <w:r>
        <w:rPr>
          <w:rFonts w:hint="default" w:ascii="方正仿宋_GBK" w:hAnsi="方正仿宋_GBK" w:eastAsia="方正仿宋_GBK" w:cs="方正仿宋_GBK"/>
          <w:sz w:val="32"/>
          <w:szCs w:val="32"/>
          <w:shd w:val="clear" w:color="auto" w:fill="FFFFFF"/>
          <w:lang w:eastAsia="zh-CN"/>
        </w:rPr>
        <w:t>“三公”经</w:t>
      </w:r>
      <w:r>
        <w:rPr>
          <w:rFonts w:hint="default" w:ascii="Times New Roman" w:hAnsi="Times New Roman" w:eastAsia="方正仿宋_GBK" w:cs="Times New Roman"/>
          <w:sz w:val="32"/>
          <w:szCs w:val="32"/>
          <w:shd w:val="clear" w:color="auto" w:fill="FFFFFF"/>
          <w:lang w:eastAsia="zh-CN"/>
        </w:rPr>
        <w:t>费按实际整年需求设置预算，支出方面严格按照预算要求执行，所以不存在增减。</w:t>
      </w:r>
      <w:r>
        <w:rPr>
          <w:rFonts w:hint="default" w:ascii="Times New Roman" w:hAnsi="Times New Roman" w:eastAsia="方正仿宋_GBK" w:cs="Times New Roman"/>
          <w:sz w:val="32"/>
          <w:szCs w:val="32"/>
          <w:shd w:val="clear" w:color="auto" w:fill="FFFFFF"/>
        </w:rPr>
        <w:t>较上年支出数增加6.60万元，增长194.12%，主要原因是</w:t>
      </w:r>
      <w:r>
        <w:rPr>
          <w:rFonts w:hint="default" w:ascii="Times New Roman" w:hAnsi="Times New Roman" w:eastAsia="方正仿宋_GBK" w:cs="Times New Roman"/>
          <w:sz w:val="32"/>
          <w:szCs w:val="32"/>
          <w:shd w:val="clear" w:color="auto" w:fill="FFFFFF"/>
          <w:lang w:eastAsia="zh-CN"/>
        </w:rPr>
        <w:t>公务车运行维护费增加，</w:t>
      </w:r>
      <w:r>
        <w:rPr>
          <w:rFonts w:hint="default" w:ascii="Times New Roman" w:hAnsi="Times New Roman" w:eastAsia="方正仿宋_GBK" w:cs="Times New Roman"/>
          <w:sz w:val="32"/>
          <w:szCs w:val="32"/>
          <w:shd w:val="clear" w:color="auto" w:fill="FFFFFF"/>
          <w:lang w:val="en-US" w:eastAsia="zh-CN"/>
        </w:rPr>
        <w:t>2023年公务车出勤次数增加，导致油耗增加，所以支出数较上年增加。</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w:t>
      </w:r>
      <w:r>
        <w:rPr>
          <w:rStyle w:val="9"/>
          <w:rFonts w:hint="default" w:ascii="方正楷体_GBK" w:hAnsi="方正楷体_GBK" w:eastAsia="方正楷体_GBK" w:cs="方正楷体_GBK"/>
          <w:b w:val="0"/>
          <w:bCs/>
          <w:sz w:val="32"/>
          <w:szCs w:val="32"/>
          <w:shd w:val="clear" w:color="auto" w:fill="FFFFFF"/>
          <w:lang w:val="en-US" w:eastAsia="zh-CN" w:bidi="ar-SA"/>
        </w:rPr>
        <w:t>“三公”经</w:t>
      </w:r>
      <w:r>
        <w:rPr>
          <w:rStyle w:val="9"/>
          <w:rFonts w:hint="default" w:ascii="Times New Roman" w:hAnsi="Times New Roman" w:eastAsia="方正楷体_GBK" w:cs="Times New Roman"/>
          <w:b w:val="0"/>
          <w:bCs/>
          <w:sz w:val="32"/>
          <w:szCs w:val="32"/>
          <w:shd w:val="clear" w:color="auto" w:fill="FFFFFF"/>
          <w:lang w:val="en-US" w:eastAsia="zh-CN" w:bidi="ar-SA"/>
        </w:rPr>
        <w:t>费分项支出情况</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2023年度本单位</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shd w:val="clear" w:color="auto" w:fill="FFFFFF"/>
          <w:lang w:eastAsia="zh-CN"/>
        </w:rPr>
        <w:t>用</w:t>
      </w:r>
      <w:r>
        <w:rPr>
          <w:rFonts w:hint="eastAsia" w:ascii="Times New Roman" w:hAnsi="Times New Roman" w:eastAsia="方正仿宋_GBK" w:cs="Times New Roman"/>
          <w:sz w:val="32"/>
          <w:szCs w:val="32"/>
          <w:shd w:val="clear" w:color="auto" w:fill="FFFFFF"/>
          <w:lang w:eastAsia="zh-CN"/>
        </w:rPr>
        <w:t>，费用支出较年初预算数、上年支出数无增减。</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eastAsia="zh-CN"/>
        </w:rPr>
        <w:t>单位公务车保险、加油、维护。</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公务车运行维护费按实际整年需求设置预算，支出方面严格按照预算要求执行，所以不存在增减。</w:t>
      </w:r>
      <w:r>
        <w:rPr>
          <w:rFonts w:hint="default" w:ascii="Times New Roman" w:hAnsi="Times New Roman" w:eastAsia="方正仿宋_GBK" w:cs="Times New Roman"/>
          <w:sz w:val="32"/>
          <w:szCs w:val="32"/>
          <w:shd w:val="clear" w:color="auto" w:fill="FFFFFF"/>
        </w:rPr>
        <w:t>较上年支出数增加6.60万元，增长194.12%，主要原因是</w:t>
      </w:r>
      <w:r>
        <w:rPr>
          <w:rFonts w:hint="default" w:ascii="Times New Roman" w:hAnsi="Times New Roman" w:eastAsia="方正仿宋_GBK" w:cs="Times New Roman"/>
          <w:sz w:val="32"/>
          <w:szCs w:val="32"/>
          <w:shd w:val="clear" w:color="auto" w:fill="FFFFFF"/>
          <w:lang w:val="en-US" w:eastAsia="zh-CN"/>
        </w:rPr>
        <w:t>2023年公务车出勤次数增加，导致油耗增加，所以支出数较上年增加。</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w:t>
      </w:r>
      <w:r>
        <w:rPr>
          <w:rStyle w:val="9"/>
          <w:rFonts w:hint="default" w:ascii="方正楷体_GBK" w:hAnsi="方正楷体_GBK" w:eastAsia="方正楷体_GBK" w:cs="方正楷体_GBK"/>
          <w:b w:val="0"/>
          <w:bCs/>
          <w:sz w:val="32"/>
          <w:szCs w:val="32"/>
          <w:shd w:val="clear" w:color="auto" w:fill="FFFFFF"/>
          <w:lang w:val="en-US" w:eastAsia="zh-CN" w:bidi="ar-SA"/>
        </w:rPr>
        <w:t>“三公”经费</w:t>
      </w:r>
      <w:r>
        <w:rPr>
          <w:rStyle w:val="9"/>
          <w:rFonts w:hint="default" w:ascii="Times New Roman" w:hAnsi="Times New Roman" w:eastAsia="方正楷体_GBK" w:cs="Times New Roman"/>
          <w:b w:val="0"/>
          <w:bCs/>
          <w:sz w:val="32"/>
          <w:szCs w:val="32"/>
          <w:shd w:val="clear" w:color="auto" w:fill="FFFFFF"/>
          <w:lang w:val="en-US" w:eastAsia="zh-CN" w:bidi="ar-SA"/>
        </w:rPr>
        <w:t>实物量情况</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5.00</w:t>
      </w:r>
      <w:r>
        <w:rPr>
          <w:rFonts w:hint="default" w:ascii="Times New Roman" w:hAnsi="Times New Roman" w:eastAsia="方正仿宋_GBK" w:cs="Times New Roman"/>
          <w:sz w:val="32"/>
          <w:szCs w:val="32"/>
          <w:shd w:val="clear" w:color="auto" w:fill="FFFFFF"/>
        </w:rPr>
        <w:t>万元。</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eastAsia="zh-CN"/>
        </w:rPr>
        <w:t>本年度未产生会议费</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1.67</w:t>
      </w:r>
      <w:r>
        <w:rPr>
          <w:rFonts w:hint="default" w:ascii="Times New Roman" w:hAnsi="Times New Roman" w:eastAsia="方正仿宋_GBK" w:cs="Times New Roman"/>
          <w:sz w:val="32"/>
          <w:szCs w:val="32"/>
          <w:shd w:val="clear" w:color="auto" w:fill="FFFFFF"/>
        </w:rPr>
        <w:t>万元，较上年决算数减少0.81万元，下降32.66%，主要原因</w:t>
      </w:r>
      <w:r>
        <w:rPr>
          <w:rFonts w:hint="default" w:ascii="Times New Roman" w:hAnsi="Times New Roman" w:eastAsia="方正仿宋_GBK" w:cs="Times New Roman"/>
          <w:sz w:val="32"/>
          <w:szCs w:val="32"/>
          <w:shd w:val="clear" w:color="auto" w:fill="FFFFFF"/>
          <w:lang w:eastAsia="zh-CN"/>
        </w:rPr>
        <w:t>本年度外出培训增加，但是机关相关外出培训减少，导致本单位培训费支出减少</w:t>
      </w:r>
      <w:r>
        <w:rPr>
          <w:rFonts w:hint="default" w:ascii="Times New Roman" w:hAnsi="Times New Roman" w:eastAsia="方正仿宋_GBK" w:cs="Times New Roman"/>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108.81</w:t>
      </w:r>
      <w:r>
        <w:rPr>
          <w:rFonts w:hint="default" w:ascii="Times New Roman" w:hAnsi="Times New Roman" w:eastAsia="方正仿宋_GBK" w:cs="Times New Roman"/>
          <w:sz w:val="32"/>
          <w:szCs w:val="32"/>
          <w:shd w:val="clear" w:color="auto" w:fill="FFFFFF"/>
        </w:rPr>
        <w:t>万元，机关运行经费主要用于开支行政单位</w:t>
      </w:r>
      <w:r>
        <w:rPr>
          <w:rFonts w:hint="default" w:ascii="Times New Roman" w:hAnsi="Times New Roman" w:eastAsia="方正仿宋_GBK" w:cs="Times New Roman"/>
          <w:sz w:val="32"/>
          <w:szCs w:val="32"/>
          <w:shd w:val="clear" w:color="auto" w:fill="FFFFFF"/>
          <w:lang w:eastAsia="zh-CN"/>
        </w:rPr>
        <w:t>开支。</w:t>
      </w:r>
      <w:r>
        <w:rPr>
          <w:rFonts w:hint="default" w:ascii="Times New Roman" w:hAnsi="Times New Roman" w:eastAsia="方正仿宋_GBK" w:cs="Times New Roman"/>
          <w:sz w:val="32"/>
          <w:szCs w:val="32"/>
          <w:shd w:val="clear" w:color="auto" w:fill="FFFFFF"/>
        </w:rPr>
        <w:t>机关运行经费较上年支出数增加28.81万元，增长36.01%，主要原因是</w:t>
      </w:r>
      <w:r>
        <w:rPr>
          <w:rFonts w:hint="default" w:ascii="Times New Roman" w:hAnsi="Times New Roman" w:eastAsia="方正仿宋_GBK" w:cs="Times New Roman"/>
          <w:sz w:val="32"/>
          <w:szCs w:val="32"/>
          <w:shd w:val="clear" w:color="auto" w:fill="FFFFFF"/>
          <w:lang w:eastAsia="zh-CN"/>
        </w:rPr>
        <w:t>水电费增加</w:t>
      </w:r>
      <w:r>
        <w:rPr>
          <w:rFonts w:hint="default" w:ascii="Times New Roman" w:hAnsi="Times New Roman" w:eastAsia="方正仿宋_GBK" w:cs="Times New Roman"/>
          <w:sz w:val="32"/>
          <w:szCs w:val="32"/>
          <w:shd w:val="clear" w:color="auto" w:fill="FFFFFF"/>
          <w:lang w:val="en-US" w:eastAsia="zh-CN"/>
        </w:rPr>
        <w:t>2.96万元、公务车运行维护费6.6万元、其他商品和服务支出10.3万元等。</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val="en-US" w:eastAsia="zh-CN" w:bidi="ar-SA"/>
        </w:rPr>
        <w:t>（三）国有资产占用情况说明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lang w:eastAsia="zh-CN"/>
        </w:rPr>
        <w:t>五、</w:t>
      </w:r>
      <w:r>
        <w:rPr>
          <w:rStyle w:val="9"/>
          <w:rFonts w:hint="default" w:ascii="Times New Roman" w:hAnsi="Times New Roman" w:eastAsia="方正黑体_GBK" w:cs="Times New Roman"/>
          <w:b w:val="0"/>
          <w:bCs/>
          <w:sz w:val="32"/>
          <w:szCs w:val="32"/>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（一）单位自评情况</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92</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rPr>
        <w:t>969.48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p>
    <w:tbl>
      <w:tblPr>
        <w:tblStyle w:val="10"/>
        <w:tblW w:w="8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7"/>
        <w:gridCol w:w="621"/>
        <w:gridCol w:w="1746"/>
        <w:gridCol w:w="15"/>
        <w:gridCol w:w="522"/>
        <w:gridCol w:w="43"/>
        <w:gridCol w:w="654"/>
        <w:gridCol w:w="22"/>
        <w:gridCol w:w="675"/>
        <w:gridCol w:w="697"/>
        <w:gridCol w:w="697"/>
        <w:gridCol w:w="697"/>
        <w:gridCol w:w="611"/>
        <w:gridCol w:w="86"/>
        <w:gridCol w:w="674"/>
        <w:gridCol w:w="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13" w:hRule="atLeast"/>
        </w:trPr>
        <w:tc>
          <w:tcPr>
            <w:tcW w:w="8320"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60" w:lineRule="exact"/>
              <w:jc w:val="center"/>
              <w:textAlignment w:val="center"/>
              <w:outlineLvl w:val="9"/>
              <w:rPr>
                <w:rFonts w:hint="eastAsia" w:ascii="宋体" w:hAnsi="宋体" w:eastAsia="宋体" w:cs="宋体"/>
                <w:b w:val="0"/>
                <w:bCs w:val="0"/>
                <w:i w:val="0"/>
                <w:color w:val="000000"/>
                <w:kern w:val="0"/>
                <w:sz w:val="32"/>
                <w:szCs w:val="32"/>
                <w:u w:val="none"/>
                <w:lang w:val="en-US" w:eastAsia="zh-CN" w:bidi="ar"/>
              </w:rPr>
            </w:pPr>
            <w:r>
              <w:rPr>
                <w:rFonts w:hint="eastAsia" w:ascii="宋体" w:hAnsi="宋体" w:eastAsia="宋体" w:cs="宋体"/>
                <w:b w:val="0"/>
                <w:bCs w:val="0"/>
                <w:i w:val="0"/>
                <w:color w:val="000000"/>
                <w:kern w:val="0"/>
                <w:sz w:val="32"/>
                <w:szCs w:val="32"/>
                <w:u w:val="none"/>
                <w:lang w:val="en-US" w:eastAsia="zh-CN" w:bidi="ar"/>
              </w:rPr>
              <w:t>妙泉镇人民政府（本级）2023年度项目支出</w:t>
            </w:r>
          </w:p>
          <w:p>
            <w:pPr>
              <w:keepNext w:val="0"/>
              <w:keepLines w:val="0"/>
              <w:pageBreakBefore w:val="0"/>
              <w:widowControl/>
              <w:suppressLineNumbers w:val="0"/>
              <w:kinsoku/>
              <w:wordWrap/>
              <w:overflowPunct/>
              <w:topLinePunct w:val="0"/>
              <w:autoSpaceDN/>
              <w:bidi w:val="0"/>
              <w:adjustRightInd/>
              <w:spacing w:line="560" w:lineRule="exact"/>
              <w:jc w:val="center"/>
              <w:textAlignment w:val="center"/>
              <w:outlineLvl w:val="9"/>
              <w:rPr>
                <w:rFonts w:hint="eastAsia" w:ascii="宋体" w:hAnsi="宋体" w:eastAsia="宋体" w:cs="宋体"/>
                <w:b w:val="0"/>
                <w:bCs w:val="0"/>
                <w:i w:val="0"/>
                <w:color w:val="000000"/>
                <w:sz w:val="32"/>
                <w:szCs w:val="32"/>
                <w:u w:val="none"/>
              </w:rPr>
            </w:pPr>
            <w:r>
              <w:rPr>
                <w:rFonts w:hint="eastAsia" w:ascii="宋体" w:hAnsi="宋体" w:eastAsia="宋体" w:cs="宋体"/>
                <w:b w:val="0"/>
                <w:bCs w:val="0"/>
                <w:i w:val="0"/>
                <w:color w:val="000000"/>
                <w:kern w:val="0"/>
                <w:sz w:val="32"/>
                <w:szCs w:val="32"/>
                <w:u w:val="none"/>
                <w:lang w:val="en-US" w:eastAsia="zh-CN" w:bidi="ar"/>
              </w:rPr>
              <w:t>绩效自评情况表（二级项目）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序号</w:t>
            </w:r>
          </w:p>
        </w:tc>
        <w:tc>
          <w:tcPr>
            <w:tcW w:w="62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项目名称</w:t>
            </w:r>
          </w:p>
        </w:tc>
        <w:tc>
          <w:tcPr>
            <w:tcW w:w="176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指标名称</w:t>
            </w:r>
          </w:p>
        </w:tc>
        <w:tc>
          <w:tcPr>
            <w:tcW w:w="52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指标性质</w:t>
            </w:r>
          </w:p>
        </w:tc>
        <w:tc>
          <w:tcPr>
            <w:tcW w:w="69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指标值</w:t>
            </w:r>
          </w:p>
        </w:tc>
        <w:tc>
          <w:tcPr>
            <w:tcW w:w="69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计量单位</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指标权重</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全年完成值</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指标得分</w:t>
            </w:r>
          </w:p>
        </w:tc>
        <w:tc>
          <w:tcPr>
            <w:tcW w:w="69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说明</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537"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621"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2022年三峡库区河流清漂</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发放河道清漂人员补助</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人数</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69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河道清漂治理次数</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次</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9"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河道清漂，环境改善</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定性</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好</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全部</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完成</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9" w:hRule="atLeast"/>
        </w:trPr>
        <w:tc>
          <w:tcPr>
            <w:tcW w:w="53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群众满意度</w:t>
            </w:r>
          </w:p>
        </w:tc>
        <w:tc>
          <w:tcPr>
            <w:tcW w:w="52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9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9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9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9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53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6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乡镇环保专项</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覆盖村居个数</w:t>
            </w:r>
          </w:p>
        </w:tc>
        <w:tc>
          <w:tcPr>
            <w:tcW w:w="52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53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使我镇约80平米领土保持干净舒适环境</w:t>
            </w:r>
          </w:p>
        </w:tc>
        <w:tc>
          <w:tcPr>
            <w:tcW w:w="52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平方</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公里</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53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构建美丽乡村，营造干净环境，保障环保卫生。</w:t>
            </w:r>
          </w:p>
        </w:tc>
        <w:tc>
          <w:tcPr>
            <w:tcW w:w="52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定性</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好</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全部</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完成</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53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辖区内居民满意度</w:t>
            </w:r>
          </w:p>
        </w:tc>
        <w:tc>
          <w:tcPr>
            <w:tcW w:w="52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gridAfter w:val="1"/>
          <w:wAfter w:w="23" w:type="dxa"/>
          <w:trHeight w:val="611" w:hRule="atLeast"/>
        </w:trPr>
        <w:tc>
          <w:tcPr>
            <w:tcW w:w="537" w:type="dxa"/>
            <w:vMerge w:val="restart"/>
            <w:tcBorders>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621"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群测群防人员市级工作补助</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群防群策监测人员</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gridAfter w:val="1"/>
          <w:wAfter w:w="23" w:type="dxa"/>
          <w:trHeight w:val="611" w:hRule="atLeast"/>
        </w:trPr>
        <w:tc>
          <w:tcPr>
            <w:tcW w:w="53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保证辖区内地质灾害隐患点的有效监测率</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gridAfter w:val="1"/>
          <w:wAfter w:w="23" w:type="dxa"/>
          <w:trHeight w:val="906" w:hRule="atLeast"/>
        </w:trPr>
        <w:tc>
          <w:tcPr>
            <w:tcW w:w="53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地质灾害隐患点的有效监测</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定性</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全部</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完成</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gridAfter w:val="1"/>
          <w:wAfter w:w="23" w:type="dxa"/>
          <w:trHeight w:val="949" w:hRule="atLeast"/>
        </w:trPr>
        <w:tc>
          <w:tcPr>
            <w:tcW w:w="537"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百姓满意度</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r>
    </w:tbl>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val="en-US" w:eastAsia="zh-CN" w:bidi="ar-SA"/>
        </w:rPr>
        <w:t>（二）单位绩效评价情况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highlight w:val="none"/>
          <w:shd w:val="clear" w:color="auto" w:fill="auto"/>
        </w:rPr>
      </w:pPr>
      <w:r>
        <w:rPr>
          <w:rFonts w:hint="default" w:ascii="Times New Roman" w:hAnsi="Times New Roman" w:eastAsia="方正仿宋_GBK" w:cs="Times New Roman"/>
          <w:b w:val="0"/>
          <w:bCs w:val="0"/>
          <w:sz w:val="32"/>
          <w:szCs w:val="32"/>
          <w:highlight w:val="none"/>
          <w:shd w:val="clear" w:color="auto" w:fill="auto"/>
        </w:rPr>
        <w:t>我单位未组织开展绩效评价。</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val="0"/>
          <w:bCs w:val="0"/>
          <w:sz w:val="32"/>
          <w:szCs w:val="32"/>
          <w:highlight w:val="none"/>
          <w:shd w:val="clear" w:color="auto" w:fill="FFFFFF"/>
          <w:lang w:eastAsia="zh-CN"/>
        </w:rPr>
        <w:t>县</w:t>
      </w:r>
      <w:r>
        <w:rPr>
          <w:rFonts w:hint="eastAsia" w:ascii="方正仿宋_GBK" w:hAnsi="方正仿宋_GBK" w:eastAsia="方正仿宋_GBK" w:cs="方正仿宋_GBK"/>
          <w:b w:val="0"/>
          <w:bCs w:val="0"/>
          <w:sz w:val="32"/>
          <w:szCs w:val="32"/>
          <w:highlight w:val="none"/>
          <w:shd w:val="clear" w:color="auto" w:fill="FFFFFF"/>
        </w:rPr>
        <w:t>财政局未委托第三方对我单位开展绩效评价。</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lang w:eastAsia="zh-CN"/>
        </w:rPr>
      </w:pPr>
      <w:r>
        <w:rPr>
          <w:rStyle w:val="9"/>
          <w:rFonts w:hint="default" w:ascii="Times New Roman" w:hAnsi="Times New Roman" w:eastAsia="方正黑体_GBK" w:cs="Times New Roman"/>
          <w:b w:val="0"/>
          <w:bCs/>
          <w:sz w:val="32"/>
          <w:szCs w:val="32"/>
          <w:shd w:val="clear" w:color="auto" w:fill="FFFFFF"/>
          <w:lang w:eastAsia="zh-CN"/>
        </w:rPr>
        <w:t>六、专业名词解释</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w:t>
      </w:r>
      <w:r>
        <w:rPr>
          <w:rFonts w:hint="default" w:ascii="方正仿宋_GBK" w:hAnsi="方正仿宋_GBK" w:eastAsia="方正仿宋_GBK" w:cs="方正仿宋_GBK"/>
          <w:sz w:val="32"/>
          <w:szCs w:val="32"/>
          <w:shd w:val="clear" w:color="auto" w:fill="FFFFFF"/>
        </w:rPr>
        <w:t>除“财政拨款收入”、“事业收入”、“经营收入”等以外的收</w:t>
      </w:r>
      <w:r>
        <w:rPr>
          <w:rFonts w:hint="default" w:ascii="Times New Roman" w:hAnsi="Times New Roman" w:eastAsia="方正仿宋_GBK" w:cs="Times New Roman"/>
          <w:sz w:val="32"/>
          <w:szCs w:val="32"/>
          <w:shd w:val="clear" w:color="auto" w:fill="FFFFFF"/>
        </w:rPr>
        <w:t>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w:t>
      </w:r>
      <w:r>
        <w:rPr>
          <w:rFonts w:hint="default" w:ascii="方正仿宋_GBK" w:hAnsi="方正仿宋_GBK" w:eastAsia="方正仿宋_GBK" w:cs="方正仿宋_GBK"/>
          <w:sz w:val="32"/>
          <w:szCs w:val="32"/>
          <w:shd w:val="clear" w:color="auto" w:fill="FFFFFF"/>
        </w:rPr>
        <w:t>的“财政拨款收入”、“事业收入”、“经营收入”、“其他收入”等</w:t>
      </w:r>
      <w:r>
        <w:rPr>
          <w:rFonts w:hint="default" w:ascii="Times New Roman" w:hAnsi="Times New Roman" w:eastAsia="方正仿宋_GBK" w:cs="Times New Roman"/>
          <w:sz w:val="32"/>
          <w:szCs w:val="32"/>
          <w:shd w:val="clear" w:color="auto" w:fill="FFFFFF"/>
        </w:rPr>
        <w:t>不足以安排当年支出的情况下，使用以前年度积累的非财政拨款结余弥补本年度收支缺口的资金。</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w:t>
      </w:r>
      <w:r>
        <w:rPr>
          <w:rFonts w:hint="eastAsia" w:ascii="方正仿宋_GBK" w:hAnsi="方正仿宋_GBK" w:eastAsia="方正仿宋_GBK" w:cs="方正仿宋_GBK"/>
          <w:sz w:val="32"/>
          <w:szCs w:val="32"/>
          <w:shd w:val="clear" w:color="auto" w:fill="FFFFFF"/>
        </w:rPr>
        <w:t>的“工资福利支出”和“对个人和家庭的补助”；公用经费指政府收支分类经济科目中除“工资福利支出”和“对个人和家庭的补助”外</w:t>
      </w:r>
      <w:r>
        <w:rPr>
          <w:rFonts w:hint="default" w:ascii="Times New Roman" w:hAnsi="Times New Roman" w:eastAsia="方正仿宋_GBK" w:cs="Times New Roman"/>
          <w:sz w:val="32"/>
          <w:szCs w:val="32"/>
          <w:shd w:val="clear" w:color="auto" w:fill="FFFFFF"/>
        </w:rPr>
        <w:t>的其他支出。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（十二）</w:t>
      </w:r>
      <w:r>
        <w:rPr>
          <w:rStyle w:val="9"/>
          <w:rFonts w:hint="eastAsia" w:ascii="方正楷体_GBK" w:hAnsi="方正楷体_GBK" w:eastAsia="方正楷体_GBK" w:cs="方正楷体_GBK"/>
          <w:b w:val="0"/>
          <w:bCs/>
          <w:sz w:val="32"/>
          <w:szCs w:val="32"/>
          <w:shd w:val="clear" w:color="auto" w:fill="FFFFFF"/>
        </w:rPr>
        <w:t>“三公”经费</w:t>
      </w:r>
      <w:r>
        <w:rPr>
          <w:rStyle w:val="9"/>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3"/>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lang w:eastAsia="zh-CN"/>
        </w:rPr>
      </w:pPr>
      <w:r>
        <w:rPr>
          <w:rStyle w:val="9"/>
          <w:rFonts w:hint="default" w:ascii="Times New Roman" w:hAnsi="Times New Roman" w:eastAsia="方正黑体_GBK" w:cs="Times New Roman"/>
          <w:b w:val="0"/>
          <w:bCs/>
          <w:sz w:val="32"/>
          <w:szCs w:val="32"/>
          <w:shd w:val="clear" w:color="auto" w:fill="FFFFFF"/>
          <w:lang w:eastAsia="zh-CN"/>
        </w:rPr>
        <w:t>七、决算公开联系方式及信息反馈渠道</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9"/>
          <w:rFonts w:hint="default" w:ascii="Times New Roman" w:hAnsi="Times New Roman" w:eastAsia="方正仿宋_GBK" w:cs="Times New Roman"/>
          <w:sz w:val="32"/>
          <w:szCs w:val="32"/>
          <w:shd w:val="clear" w:color="auto" w:fill="FFFF00"/>
        </w:rPr>
        <w:sectPr>
          <w:headerReference r:id="rId3" w:type="default"/>
          <w:footerReference r:id="rId4"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杨光昱</w:t>
      </w:r>
      <w:r>
        <w:rPr>
          <w:rFonts w:hint="default" w:ascii="Times New Roman" w:hAnsi="Times New Roman" w:eastAsia="方正仿宋_GBK" w:cs="Times New Roman"/>
          <w:sz w:val="32"/>
          <w:szCs w:val="32"/>
          <w:shd w:val="clear" w:color="auto" w:fill="FFFFFF"/>
          <w:lang w:val="en-US" w:eastAsia="zh-CN"/>
        </w:rPr>
        <w:t>13594921778</w:t>
      </w:r>
    </w:p>
    <w:p>
      <w:pPr>
        <w:rPr>
          <w:rFonts w:hint="default" w:ascii="Times New Roman" w:hAnsi="Times New Roman" w:cs="Times New Roman"/>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重庆市秀山土家族苗族自治县妙泉镇人民政府</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1,536.39</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511.20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76.84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50.55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94.50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766.56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44.79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1,548.74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1,607.41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58.67</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1,607.41</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1,607.41</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重庆市秀山土家族苗族自治县妙泉镇人民政府</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1,548.74</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1,548.74</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507.59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507.59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42.26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42.26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人大代表履职能力提升</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461.57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461.57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459.57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459.57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宣传文化发展专项支出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76.84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76.84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其他民政管理事务支出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68.91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68.91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93.90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93.90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固体废弃物与化学品</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其他天然林保护支出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49.20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49.20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712.92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712.92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108.30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108.30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46.30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46.30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46.76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542.71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542.71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305.45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305.45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237.26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237.26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三峡水库库区基金支出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2136799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其他三峡水库库区基金支出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44.79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44.79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42.58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42.58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重庆市秀山土家族苗族自治县妙泉镇人民政府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1,607.41</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637.93</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969.48</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511.20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495.57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42.26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人大代表履职能力提升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461.57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459.57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459.57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459.57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宣传事务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3.61</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其他宣传事务支出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3.61</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12.23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宣传文化发展专项支出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2.73</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76.84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68.91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其他民政管理事务支出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68.91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68.91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6.93</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50.55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19.66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94.50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94.50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9.93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固体废弃物与化学品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9.93</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35.28</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13.23</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其他天然林保护支出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49.20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49.20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766.56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766.56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108.75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108.75</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46.30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46.30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46.76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46.76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35.68</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水利工程运行与维护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587.26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587.26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42.48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42.48</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305.45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305.45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239.33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239.33</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三峡水库库区基金支出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2136799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其他三峡水库库区基金支出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44.79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2.22</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42.58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42.58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重庆市秀山土家族苗族自治县妙泉镇人民政府</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1,536.39</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511.20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511.20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22.21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22.21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76.84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76.84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50.55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50.55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94.50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94.50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766.56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765.42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w:t>
            </w: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44.79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44.79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w:t>
            </w: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1,548.74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1,607.41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1,595.06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12.34</w:t>
            </w: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58.67</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58.67</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1,607.41</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1,607.41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1,595.06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12.34</w:t>
            </w: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重庆市秀山土家族苗族自治县妙泉镇人民政府</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1,595.06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637.93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957.14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511.20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495.57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15.63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42.26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人大代表履职能力提升</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461.57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459.57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459.57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459.57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宣传事务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其他宣传事务支出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22.21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12.23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9.98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9.98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宣传文化发展专项支出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76.84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68.91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其他民政管理事务支出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68.91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68.91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38.05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38.05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20.35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20.35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6.93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6.93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50.55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20.89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29.66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19.66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19.66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18.70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18.70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20.89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20.89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20.89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20.89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94.50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94.50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9.93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固体废弃物与化学品</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9.93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9.93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35.28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35.28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13.23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13.23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其他天然林保护支出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49.20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49.20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49.20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49.20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765.42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765.42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108.75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108.75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46.30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46.76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46.76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35.68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35.68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水利工程运行与维护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587.26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587.26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42.48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42.48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305.45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305.45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239.33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239.33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44.79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42.58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42.58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42.58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42.58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42.58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重庆市秀山土家族苗族自治县妙泉镇人民政府</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492.06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108.81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109.02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19.98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100.32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141.68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38.05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20.35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42.58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37.06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22.33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14.12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27.18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529.12</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108.81</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重庆市秀山土家族苗族自治县妙泉镇人民政府</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12.34</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12.34</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12.34</w:t>
            </w: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w:t>
            </w: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21367</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三峡水库库区基金支出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w:t>
            </w: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2136799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其他三峡水库库区基金支出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重庆市秀山土家族苗族自治县妙泉镇人民政府</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重庆市秀山土家族苗族自治县妙泉镇人民政府</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108.81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108.81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bl>
    <w:p>
      <w:pPr>
        <w:rPr>
          <w:rFonts w:hint="eastAsia" w:ascii="Times New Roman" w:hAnsi="Times New Roman" w:eastAsia="宋体" w:cs="Times New Roman"/>
          <w:sz w:val="21"/>
          <w:szCs w:val="21"/>
          <w:lang w:val="en-US" w:eastAsia="zh-CN"/>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eastAsia" w:ascii="Times New Roman" w:hAnsi="Times New Roman" w:cs="Times New Roman"/>
          <w:sz w:val="20"/>
          <w:szCs w:val="20"/>
          <w:lang w:val="en-US" w:eastAsia="zh-CN"/>
        </w:rPr>
        <w:t>shnagnai</w:t>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5F203E3"/>
    <w:rsid w:val="06194FF1"/>
    <w:rsid w:val="065B40DC"/>
    <w:rsid w:val="06A2550B"/>
    <w:rsid w:val="06A713F2"/>
    <w:rsid w:val="06F80EE2"/>
    <w:rsid w:val="07001CCA"/>
    <w:rsid w:val="075678DB"/>
    <w:rsid w:val="079D7CC7"/>
    <w:rsid w:val="08051BCA"/>
    <w:rsid w:val="08313F8E"/>
    <w:rsid w:val="086C12F4"/>
    <w:rsid w:val="08705944"/>
    <w:rsid w:val="08BA052C"/>
    <w:rsid w:val="08DB07BA"/>
    <w:rsid w:val="0969353F"/>
    <w:rsid w:val="098305D0"/>
    <w:rsid w:val="09AF033E"/>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2CA2BA9"/>
    <w:rsid w:val="13871C70"/>
    <w:rsid w:val="13A71CB4"/>
    <w:rsid w:val="13AF1D43"/>
    <w:rsid w:val="13CE1647"/>
    <w:rsid w:val="13D36552"/>
    <w:rsid w:val="13FD55AB"/>
    <w:rsid w:val="14200702"/>
    <w:rsid w:val="163A6CEE"/>
    <w:rsid w:val="173708E3"/>
    <w:rsid w:val="17C374FC"/>
    <w:rsid w:val="182E4AB6"/>
    <w:rsid w:val="189079DC"/>
    <w:rsid w:val="189B0D0B"/>
    <w:rsid w:val="18B43F7C"/>
    <w:rsid w:val="194A1770"/>
    <w:rsid w:val="19B906A4"/>
    <w:rsid w:val="1B6F15B6"/>
    <w:rsid w:val="1BAA2EDC"/>
    <w:rsid w:val="1C8E135D"/>
    <w:rsid w:val="1CA55E64"/>
    <w:rsid w:val="1D014A01"/>
    <w:rsid w:val="1D022362"/>
    <w:rsid w:val="1D1B04B0"/>
    <w:rsid w:val="1DA52501"/>
    <w:rsid w:val="1DBD6767"/>
    <w:rsid w:val="1DC52125"/>
    <w:rsid w:val="1DD26311"/>
    <w:rsid w:val="1E374ACB"/>
    <w:rsid w:val="1ECF0A66"/>
    <w:rsid w:val="1EF67CA4"/>
    <w:rsid w:val="1F020D3A"/>
    <w:rsid w:val="1F2C5189"/>
    <w:rsid w:val="1F4B0B02"/>
    <w:rsid w:val="1F862792"/>
    <w:rsid w:val="1FBB35CD"/>
    <w:rsid w:val="1FCD26AF"/>
    <w:rsid w:val="201418E0"/>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AB63CAA"/>
    <w:rsid w:val="2B167953"/>
    <w:rsid w:val="2B200583"/>
    <w:rsid w:val="2B8209DE"/>
    <w:rsid w:val="2C132FF2"/>
    <w:rsid w:val="2C636760"/>
    <w:rsid w:val="2C6762A3"/>
    <w:rsid w:val="2FCA4B37"/>
    <w:rsid w:val="2FE029D7"/>
    <w:rsid w:val="2FF06E00"/>
    <w:rsid w:val="30586FEC"/>
    <w:rsid w:val="315F0B22"/>
    <w:rsid w:val="31D84415"/>
    <w:rsid w:val="32285F6F"/>
    <w:rsid w:val="32770556"/>
    <w:rsid w:val="327A0FD2"/>
    <w:rsid w:val="329C0913"/>
    <w:rsid w:val="32AA0460"/>
    <w:rsid w:val="3337290D"/>
    <w:rsid w:val="33E31118"/>
    <w:rsid w:val="33EF7674"/>
    <w:rsid w:val="342D7BC6"/>
    <w:rsid w:val="352930DB"/>
    <w:rsid w:val="35573069"/>
    <w:rsid w:val="355F6038"/>
    <w:rsid w:val="358C217E"/>
    <w:rsid w:val="36C9128A"/>
    <w:rsid w:val="37293D0B"/>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B234F8"/>
    <w:rsid w:val="41E0734B"/>
    <w:rsid w:val="426C1EA8"/>
    <w:rsid w:val="42736402"/>
    <w:rsid w:val="42E86A87"/>
    <w:rsid w:val="43307B09"/>
    <w:rsid w:val="439A3EB9"/>
    <w:rsid w:val="43BB152F"/>
    <w:rsid w:val="44C37687"/>
    <w:rsid w:val="45CB699A"/>
    <w:rsid w:val="465B470D"/>
    <w:rsid w:val="469D6AD4"/>
    <w:rsid w:val="4706337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E6668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7D20C11"/>
    <w:rsid w:val="5842572D"/>
    <w:rsid w:val="58A257C7"/>
    <w:rsid w:val="59C7725D"/>
    <w:rsid w:val="5A3B59D6"/>
    <w:rsid w:val="5AD134D8"/>
    <w:rsid w:val="5AF71D79"/>
    <w:rsid w:val="5C263CE4"/>
    <w:rsid w:val="5C5D2777"/>
    <w:rsid w:val="5CF66BF3"/>
    <w:rsid w:val="5D290C69"/>
    <w:rsid w:val="5E4F19E5"/>
    <w:rsid w:val="5F2D4A41"/>
    <w:rsid w:val="60C74F6C"/>
    <w:rsid w:val="61025A59"/>
    <w:rsid w:val="613D5BBC"/>
    <w:rsid w:val="61536C39"/>
    <w:rsid w:val="62944DD7"/>
    <w:rsid w:val="6319381F"/>
    <w:rsid w:val="63C25DC5"/>
    <w:rsid w:val="63C62057"/>
    <w:rsid w:val="63D9316E"/>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886FCF"/>
    <w:rsid w:val="6A6C7940"/>
    <w:rsid w:val="6AAD2300"/>
    <w:rsid w:val="6B474EF5"/>
    <w:rsid w:val="6C0A5AC5"/>
    <w:rsid w:val="6C560CAE"/>
    <w:rsid w:val="6C576495"/>
    <w:rsid w:val="6D00177B"/>
    <w:rsid w:val="6D7A78EB"/>
    <w:rsid w:val="6D903FF5"/>
    <w:rsid w:val="6DA955B8"/>
    <w:rsid w:val="6DE346AB"/>
    <w:rsid w:val="6DE5391A"/>
    <w:rsid w:val="6EE85A95"/>
    <w:rsid w:val="6EFD1324"/>
    <w:rsid w:val="6F5A53AC"/>
    <w:rsid w:val="6F7D3527"/>
    <w:rsid w:val="6FAC003D"/>
    <w:rsid w:val="6FE55E12"/>
    <w:rsid w:val="6FFB2E76"/>
    <w:rsid w:val="708F6F7F"/>
    <w:rsid w:val="70D94BD3"/>
    <w:rsid w:val="7165691B"/>
    <w:rsid w:val="71C34D91"/>
    <w:rsid w:val="72DB435C"/>
    <w:rsid w:val="72E2613A"/>
    <w:rsid w:val="72F771F4"/>
    <w:rsid w:val="73934AD2"/>
    <w:rsid w:val="74CB19B3"/>
    <w:rsid w:val="750837F0"/>
    <w:rsid w:val="754758CF"/>
    <w:rsid w:val="764F62AB"/>
    <w:rsid w:val="765C45EC"/>
    <w:rsid w:val="768A7619"/>
    <w:rsid w:val="77214836"/>
    <w:rsid w:val="772E1EBA"/>
    <w:rsid w:val="77B36397"/>
    <w:rsid w:val="781926BC"/>
    <w:rsid w:val="78382A3F"/>
    <w:rsid w:val="796D60A4"/>
    <w:rsid w:val="79A031D5"/>
    <w:rsid w:val="7A1525F7"/>
    <w:rsid w:val="7B420052"/>
    <w:rsid w:val="7BD06A28"/>
    <w:rsid w:val="7C3A7C0B"/>
    <w:rsid w:val="7C5248E4"/>
    <w:rsid w:val="7C566698"/>
    <w:rsid w:val="7C5866A3"/>
    <w:rsid w:val="7D7406BB"/>
    <w:rsid w:val="7D870EA4"/>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Normal (Web)"/>
    <w:basedOn w:val="1"/>
    <w:unhideWhenUsed/>
    <w:qFormat/>
    <w:uiPriority w:val="0"/>
    <w:pPr>
      <w:spacing w:before="100" w:beforeAutospacing="1" w:after="100" w:afterAutospacing="1"/>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6</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2024-10-08T12:31:09Z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