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重庆市秀山土家族苗族自治县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溪口镇综合行政执法大队2023年度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hint="default" w:ascii="Times New Roman" w:hAnsi="Times New Roman" w:eastAsia="方正小标宋_GBK" w:cs="Times New Roman"/>
          <w:sz w:val="44"/>
          <w:szCs w:val="44"/>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黑体" w:cs="Times New Roman"/>
          <w:sz w:val="32"/>
          <w:szCs w:val="32"/>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集中行使乡镇依法承担和部门授权或委托的各项行政执法权，制止、打击各类行政违法行为，协助、配合县级有关部门及其派驻机构开展联合执法。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宋体"/>
          <w:kern w:val="0"/>
          <w:sz w:val="32"/>
          <w:szCs w:val="32"/>
          <w:lang w:val="en-US" w:eastAsia="zh-CN" w:bidi="ar-SA"/>
        </w:rPr>
        <w:t>秀山土家族苗族自治县溪口镇综合行政执法大队是秀山土家族苗族自治县溪口镇人民政府统一设置的事业站所之一，单位构成为综合行政执法办公室，无下属机构。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二、单位决算情况说明</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1.总体情况。</w:t>
      </w:r>
      <w:r>
        <w:rPr>
          <w:rFonts w:hint="default" w:ascii="Times New Roman" w:hAnsi="Times New Roman" w:eastAsia="方正仿宋_GBK" w:cs="宋体"/>
          <w:kern w:val="0"/>
          <w:sz w:val="32"/>
          <w:szCs w:val="32"/>
          <w:lang w:val="en-US" w:eastAsia="zh-CN" w:bidi="ar-SA"/>
        </w:rPr>
        <w:t>2023年度收入总计31.35万元，支出总计31.35万元。收支较上年决算数增加31.35万元，增长100.00%，主要原因是2022年度本单位与部门合并编报决算，按照市财政局要求，2023年独立编报决算，故与上年对比增长100.00%。</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2.收入情况。</w:t>
      </w:r>
      <w:r>
        <w:rPr>
          <w:rFonts w:hint="default" w:ascii="Times New Roman" w:hAnsi="Times New Roman" w:eastAsia="方正仿宋_GBK" w:cs="宋体"/>
          <w:kern w:val="0"/>
          <w:sz w:val="32"/>
          <w:szCs w:val="32"/>
          <w:lang w:val="en-US" w:eastAsia="zh-CN" w:bidi="ar-SA"/>
        </w:rPr>
        <w:t>2023年度收入合计31.35万元，较上年决算数增加31.35万元，增长100.00%，主要原因是2022年度本单位与部门合并编报决算，按照市财政局要求，2023年独立编报决算，故与上年对比增长100.00%。其中：财政拨款收入31.35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3.支出情况。</w:t>
      </w:r>
      <w:r>
        <w:rPr>
          <w:rFonts w:hint="default" w:ascii="Times New Roman" w:hAnsi="Times New Roman" w:eastAsia="方正仿宋_GBK" w:cs="宋体"/>
          <w:kern w:val="0"/>
          <w:sz w:val="32"/>
          <w:szCs w:val="32"/>
          <w:lang w:val="en-US" w:eastAsia="zh-CN" w:bidi="ar-SA"/>
        </w:rPr>
        <w:t>2023年度支出合计31.35万元，较上年决算数增加31.35万元，增长100.00%，主要原因是2022年度本单位与部门合并编报决算，按照市财政局要求，2023年独立编报决算，故与上年对比增长100.00%。其中：基本支出31.35万元，占100.00%；项目支出0.00万元，占0.00%；经营支出0.00万元，占0.00%。此外，结余分配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4.结转结余情况。</w:t>
      </w:r>
      <w:r>
        <w:rPr>
          <w:rFonts w:hint="default" w:ascii="Times New Roman" w:hAnsi="Times New Roman" w:eastAsia="方正仿宋_GBK" w:cs="宋体"/>
          <w:kern w:val="0"/>
          <w:sz w:val="32"/>
          <w:szCs w:val="32"/>
          <w:lang w:val="en-US" w:eastAsia="zh-CN" w:bidi="ar-SA"/>
        </w:rPr>
        <w:t>2023年度年末结转和结余0.00万元，较上年决算数无增减，主要原因是2022年度本单位与部门合并编报决算，按照市财政局要求，2023年独立编报决算且</w:t>
      </w:r>
      <w:r>
        <w:rPr>
          <w:rFonts w:hint="default" w:ascii="Times New Roman" w:hAnsi="Times New Roman" w:eastAsia="方正仿宋_GBK" w:cs="宋体"/>
          <w:kern w:val="0"/>
          <w:sz w:val="32"/>
          <w:szCs w:val="32"/>
          <w:lang w:val="zh-CN" w:eastAsia="zh-CN" w:bidi="ar-SA"/>
        </w:rPr>
        <w:t>上年度实行预算一体化后执行了预算指标零结转的政策，故较上年决算数无增减。</w:t>
      </w:r>
    </w:p>
    <w:p>
      <w:pPr>
        <w:pStyle w:val="11"/>
        <w:keepNext w:val="0"/>
        <w:keepLines w:val="0"/>
        <w:pageBreakBefore w:val="0"/>
        <w:kinsoku/>
        <w:overflowPunct/>
        <w:autoSpaceDE w:val="0"/>
        <w:bidi w:val="0"/>
        <w:adjustRightInd/>
        <w:spacing w:line="560" w:lineRule="exact"/>
        <w:ind w:firstLine="640" w:firstLineChars="200"/>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财政拨款收、支总计31.35万元。与2022年相比，财政拨款收、支总计各增加31.35万元，增长100.00%。主要原因是2022年度本单位与部门合并编报决算，按照市财政局要求，2023年独立编报决算，故与上年对比增长100.00%。</w:t>
      </w:r>
    </w:p>
    <w:p>
      <w:pPr>
        <w:pStyle w:val="11"/>
        <w:keepNext w:val="0"/>
        <w:keepLines w:val="0"/>
        <w:pageBreakBefore w:val="0"/>
        <w:kinsoku/>
        <w:overflowPunct/>
        <w:autoSpaceDE w:val="0"/>
        <w:bidi w:val="0"/>
        <w:adjustRightInd/>
        <w:spacing w:line="560" w:lineRule="exact"/>
        <w:ind w:firstLine="640" w:firstLineChars="200"/>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1.收入情况。</w:t>
      </w:r>
      <w:r>
        <w:rPr>
          <w:rFonts w:hint="default" w:ascii="Times New Roman" w:hAnsi="Times New Roman" w:eastAsia="方正仿宋_GBK" w:cs="宋体"/>
          <w:kern w:val="0"/>
          <w:sz w:val="32"/>
          <w:szCs w:val="32"/>
          <w:lang w:val="en-US" w:eastAsia="zh-CN" w:bidi="ar-SA"/>
        </w:rPr>
        <w:t>2023年度一般公共预算财政拨款收入31.35万元，较上年决算数增加31.35万元，增长100.00%。主要原因是2022年度本单位与部门合并编报决算，按照市财政局要求，2023年独立编报决算，故与上年对比增长100.00%。较年初预算数减少3.98万元，下降11.27%。主要原因是参考线内超额绩效（年终考核）、养老保险、职业年金清算核减。此外，年初财政拨款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2.支出情况。</w:t>
      </w:r>
      <w:r>
        <w:rPr>
          <w:rFonts w:hint="default" w:ascii="Times New Roman" w:hAnsi="Times New Roman" w:eastAsia="方正仿宋_GBK" w:cs="宋体"/>
          <w:kern w:val="0"/>
          <w:sz w:val="32"/>
          <w:szCs w:val="32"/>
          <w:lang w:val="en-US" w:eastAsia="zh-CN" w:bidi="ar-SA"/>
        </w:rPr>
        <w:t>2023年度一般公共预算财政拨款支出31.35万元，较上年决算数增加31.35万元，增长100.00%。主要原因是2022年度本单位与部门合并编报决算，按照市财政局要求，2023年独立编报决算，故与上年对比增长100.00%。较年初预算数减少4.38万元，下降12.26%。主要原因是参考线内超额绩效（年终考核）、养老保险、职业年金清算核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3.结转结余情况。</w:t>
      </w:r>
      <w:r>
        <w:rPr>
          <w:rFonts w:hint="default" w:ascii="Times New Roman" w:hAnsi="Times New Roman" w:eastAsia="方正仿宋_GBK" w:cs="宋体"/>
          <w:kern w:val="0"/>
          <w:sz w:val="32"/>
          <w:szCs w:val="32"/>
          <w:lang w:val="en-US" w:eastAsia="zh-CN" w:bidi="ar-SA"/>
        </w:rPr>
        <w:t>2023年度年末一般公共预算财政拨款结转和结余0.00万元，较上年决算数无增减，主要原因是2022年度本单位与部门合并编报决算，按照市财政局要求，2023年独立编报决算且</w:t>
      </w:r>
      <w:r>
        <w:rPr>
          <w:rFonts w:hint="default" w:ascii="Times New Roman" w:hAnsi="Times New Roman" w:eastAsia="方正仿宋_GBK" w:cs="宋体"/>
          <w:kern w:val="0"/>
          <w:sz w:val="32"/>
          <w:szCs w:val="32"/>
          <w:lang w:val="zh-CN" w:eastAsia="zh-CN" w:bidi="ar-SA"/>
        </w:rPr>
        <w:t>上年度实行预算一体化后执行了预算指标零结转的政策，故较上年决算数无增减。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4.比较情况。</w:t>
      </w:r>
      <w:r>
        <w:rPr>
          <w:rFonts w:hint="default" w:ascii="Times New Roman" w:hAnsi="Times New Roman" w:eastAsia="方正仿宋_GBK" w:cs="宋体"/>
          <w:kern w:val="0"/>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（1）社会保障与就业支出3.98万元，占12.71%，较年初预算数减少0.59万元，下降12.91%，主要原因是参考线内超额绩效（年终考核）、养老保险、职业年金清算核减。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（2）卫生健康支出1.30万元，占4.14%，较年初预算数无增减，主要原因是严格按照年初预算执行。</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（3）城乡社区支出23.38万元，占74.58%，较年初预算数减少3.79万元，下降13.95%，主要原因是参考线内超额绩效（年终考核）、养老保险、职业年金清算核减。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（4）住房保障支出2.69万元，占8.57%，较年初预算数无增减，主要原因是严格按照年初预算执行。</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2023年度一般公共财政拨款基本支出31.35万元。其中：人员经费27.98万元，较上年决算数增加27.98万元，增长100.00%，主要原因是2022年度本单位与部门合并编报决算，按照市财政局要求，2023年独立编报决算，故与上年对比增长100.00%。人员经费用途主要包括基本工资、津贴补贴、绩效工资、社会保障缴费、住房公积金等。公用经费3.37万元，较上年决算数增加3.37万元，增长100.00%，主要原因是2022年度本单位与部门合并编报决算，按照市财政局要求，2023年独立编报决算，故与上年对比增长100.00%。公用经费用途主要包括办公费、邮电费、会议费、培训费、劳务费、委托业务费等。</w:t>
      </w:r>
    </w:p>
    <w:p>
      <w:pPr>
        <w:pStyle w:val="11"/>
        <w:keepNext w:val="0"/>
        <w:keepLines w:val="0"/>
        <w:pageBreakBefore w:val="0"/>
        <w:kinsoku/>
        <w:overflowPunct/>
        <w:autoSpaceDE w:val="0"/>
        <w:bidi w:val="0"/>
        <w:adjustRightInd/>
        <w:spacing w:line="560" w:lineRule="exact"/>
        <w:ind w:firstLine="640" w:firstLineChars="200"/>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本单位2023年度无政府性基金预算财政拨款支出。</w:t>
      </w:r>
    </w:p>
    <w:p>
      <w:pPr>
        <w:pStyle w:val="11"/>
        <w:keepNext w:val="0"/>
        <w:keepLines w:val="0"/>
        <w:pageBreakBefore w:val="0"/>
        <w:kinsoku/>
        <w:overflowPunct/>
        <w:autoSpaceDE w:val="0"/>
        <w:bidi w:val="0"/>
        <w:adjustRightInd/>
        <w:spacing w:line="560" w:lineRule="exact"/>
        <w:ind w:firstLine="640" w:firstLineChars="200"/>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宋体"/>
          <w:kern w:val="0"/>
          <w:sz w:val="32"/>
          <w:szCs w:val="32"/>
          <w:lang w:val="en-US" w:eastAsia="zh-CN" w:bidi="ar-SA"/>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三、“三公”经费情况说明</w:t>
      </w:r>
    </w:p>
    <w:p>
      <w:pPr>
        <w:keepNext w:val="0"/>
        <w:keepLines w:val="0"/>
        <w:pageBreakBefore w:val="0"/>
        <w:widowControl/>
        <w:kinsoku/>
        <w:wordWrap/>
        <w:overflowPunct/>
        <w:topLinePunct w:val="0"/>
        <w:autoSpaceDE/>
        <w:autoSpaceDN/>
        <w:bidi w:val="0"/>
        <w:adjustRightInd/>
        <w:snapToGrid/>
        <w:spacing w:beforeLines="0" w:afterLines="0" w:line="560" w:lineRule="exact"/>
        <w:ind w:left="198" w:firstLine="640" w:firstLineChars="200"/>
        <w:jc w:val="left"/>
        <w:textAlignment w:val="auto"/>
        <w:rPr>
          <w:rFonts w:hint="default" w:ascii="Times New Roman" w:hAnsi="Times New Roman" w:cs="Times New Roman"/>
          <w:b/>
          <w:color w:val="000000"/>
          <w:sz w:val="28"/>
          <w:lang w:val="zh-CN"/>
        </w:rPr>
      </w:pPr>
      <w:r>
        <w:rPr>
          <w:rFonts w:hint="default" w:ascii="Times New Roman" w:hAnsi="Times New Roman" w:eastAsia="方正仿宋_GBK" w:cs="宋体"/>
          <w:kern w:val="0"/>
          <w:sz w:val="32"/>
          <w:szCs w:val="32"/>
          <w:lang w:val="zh-CN" w:eastAsia="zh-CN" w:bidi="ar-SA"/>
        </w:rPr>
        <w:t>本单位属于溪口镇人民政府下属二级单位，由于业务活动均由本级统一开展，故三公经费预算安排在本级，由本级统筹管理，三公经费支出也由本级统一核算，本单位无三公经费预算及支出。</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2023年度“三公”经费支出共计0.00万元，较年初预算数无增减，主要原因是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（二）“三公”经费分项支出情况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2023年度本单位因公出国（境）费用0.00万元，费用支出较年初预算数无增减，主要原因是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en-US" w:eastAsia="zh-CN" w:bidi="ar-SA"/>
        </w:rPr>
        <w:t> 公务车购置费0.00万元，费用支出较年初预算数无增减，主要原因是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en-US" w:eastAsia="zh-CN" w:bidi="ar-SA"/>
        </w:rPr>
        <w:t> 公务车运行维护费0.00万元，费用支出较年初预算数无增减，主要原因是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公务接待费0.00万元，费用支出较年初预算数无增减，主要原因是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11"/>
        <w:keepNext w:val="0"/>
        <w:keepLines w:val="0"/>
        <w:pageBreakBefore w:val="0"/>
        <w:kinsoku/>
        <w:overflowPunct/>
        <w:autoSpaceDE w:val="0"/>
        <w:bidi w:val="0"/>
        <w:adjustRightInd/>
        <w:spacing w:line="560" w:lineRule="exact"/>
        <w:ind w:firstLine="640" w:firstLineChars="200"/>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eastAsia="zh-CN"/>
        </w:rPr>
        <w:t>本年度会议费支出</w:t>
      </w:r>
      <w:r>
        <w:rPr>
          <w:rFonts w:hint="eastAsia" w:ascii="Times New Roman" w:hAnsi="Times New Roman" w:eastAsia="方正仿宋_GBK" w:cs="Times New Roman"/>
          <w:sz w:val="32"/>
          <w:szCs w:val="32"/>
          <w:shd w:val="clear" w:color="auto" w:fill="FFFFFF"/>
          <w:lang w:val="en-US" w:eastAsia="zh-CN"/>
        </w:rPr>
        <w:t>0万元，较上年决算数无增减，培训费支出0.09万元，较上年增长100%，由于本单位本年度独立填报决算，故较上年增长100%。</w:t>
      </w:r>
    </w:p>
    <w:p>
      <w:pPr>
        <w:pStyle w:val="11"/>
        <w:keepNext w:val="0"/>
        <w:keepLines w:val="0"/>
        <w:pageBreakBefore w:val="0"/>
        <w:kinsoku/>
        <w:overflowPunct/>
        <w:autoSpaceDE w:val="0"/>
        <w:bidi w:val="0"/>
        <w:adjustRightInd/>
        <w:spacing w:line="560" w:lineRule="exact"/>
        <w:ind w:firstLine="640" w:firstLineChars="200"/>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按照部门决算列报口径，我单位不在机关运行经费统计范围之内。</w:t>
      </w:r>
    </w:p>
    <w:p>
      <w:pPr>
        <w:pStyle w:val="11"/>
        <w:keepNext w:val="0"/>
        <w:keepLines w:val="0"/>
        <w:pageBreakBefore w:val="0"/>
        <w:kinsoku/>
        <w:overflowPunct/>
        <w:autoSpaceDE w:val="0"/>
        <w:bidi w:val="0"/>
        <w:adjustRightInd/>
        <w:spacing w:line="560" w:lineRule="exact"/>
        <w:ind w:firstLine="640" w:firstLineChars="200"/>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我单位属于溪口镇人民政府的下属二级单位，资产全部纳入政府本级填报。</w:t>
      </w:r>
    </w:p>
    <w:p>
      <w:pPr>
        <w:pStyle w:val="11"/>
        <w:keepNext w:val="0"/>
        <w:keepLines w:val="0"/>
        <w:pageBreakBefore w:val="0"/>
        <w:kinsoku/>
        <w:overflowPunct/>
        <w:autoSpaceDE w:val="0"/>
        <w:bidi w:val="0"/>
        <w:adjustRightInd/>
        <w:spacing w:line="560" w:lineRule="exact"/>
        <w:ind w:firstLine="640" w:firstLineChars="200"/>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宋体"/>
          <w:kern w:val="0"/>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五、预算绩效管理情况说明</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val="0"/>
          <w:bCs w:val="0"/>
          <w:sz w:val="32"/>
          <w:szCs w:val="32"/>
          <w:shd w:val="clear" w:color="auto" w:fill="FFFFFF"/>
          <w:lang w:eastAsia="zh-CN"/>
        </w:rPr>
      </w:pPr>
      <w:r>
        <w:rPr>
          <w:rFonts w:hint="default" w:ascii="Times New Roman" w:hAnsi="Times New Roman" w:eastAsia="方正仿宋_GBK" w:cs="宋体"/>
          <w:kern w:val="0"/>
          <w:sz w:val="32"/>
          <w:szCs w:val="32"/>
          <w:lang w:val="en-US" w:eastAsia="zh-CN" w:bidi="ar-SA"/>
        </w:rPr>
        <w:t>我单位无项目支出，故无单位自评。</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sz w:val="32"/>
          <w:szCs w:val="32"/>
          <w:highlight w:val="yellow"/>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val="0"/>
          <w:bCs w:val="0"/>
          <w:color w:val="auto"/>
          <w:sz w:val="32"/>
          <w:szCs w:val="32"/>
          <w:highlight w:val="none"/>
          <w:shd w:val="clear" w:color="auto" w:fill="FFFFFF"/>
        </w:rPr>
      </w:pPr>
      <w:r>
        <w:rPr>
          <w:rFonts w:hint="default" w:ascii="Times New Roman" w:hAnsi="Times New Roman" w:eastAsia="方正仿宋_GBK" w:cs="宋体"/>
          <w:kern w:val="0"/>
          <w:sz w:val="32"/>
          <w:szCs w:val="32"/>
          <w:lang w:val="en-US" w:eastAsia="zh-CN" w:bidi="ar-SA"/>
        </w:rPr>
        <w:t>我单位未组织开展绩效评价。</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color w:val="auto"/>
          <w:sz w:val="32"/>
          <w:szCs w:val="32"/>
          <w:highlight w:val="none"/>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县财政局未委托第三方对我单位开展绩效评价。</w:t>
      </w:r>
    </w:p>
    <w:p>
      <w:pPr>
        <w:pStyle w:val="6"/>
        <w:keepNext w:val="0"/>
        <w:keepLines w:val="0"/>
        <w:pageBreakBefore w:val="0"/>
        <w:shd w:val="clear" w:color="auto" w:fill="FFFFFF"/>
        <w:kinsoku/>
        <w:overflowPunct/>
        <w:bidi w:val="0"/>
        <w:adjustRightInd/>
        <w:spacing w:line="560" w:lineRule="exact"/>
        <w:ind w:firstLine="643" w:firstLineChars="200"/>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bCs/>
          <w:sz w:val="32"/>
          <w:szCs w:val="32"/>
          <w:shd w:val="clear" w:color="auto" w:fill="FFFFFF"/>
        </w:rPr>
        <w:t> </w:t>
      </w:r>
      <w:r>
        <w:rPr>
          <w:rStyle w:val="8"/>
          <w:rFonts w:hint="eastAsia" w:ascii="方正仿宋_GBK" w:hAnsi="方正仿宋_GBK" w:eastAsia="方正仿宋_GBK" w:cs="方正仿宋_GBK"/>
          <w:b w:val="0"/>
          <w:bCs/>
          <w:sz w:val="32"/>
          <w:szCs w:val="32"/>
          <w:shd w:val="clear" w:color="auto" w:fill="FFFFFF"/>
        </w:rPr>
        <w:t>（一）财政拨款收入：指本年度从本级财政部门取得的财政拨款，包括一般公共预算财政拨款和政府性基金预算财政拨款。</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（二）事业收入：指事业单位开展专业业务活动及其辅助活动取得的现金流入；事业单位收到的财政专户实际核拨的教育收费等资金在此反映。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（三）经营收入：指事业单位在专业业务活动及其辅助活动之外开展非独立核算经营活动取得的现金流入。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（五）使用非财政拨款结余：指单位在当年的“财政拨款收入”、“事业收入”、“经营收入”、“其他收入”等不足以安排当年支出的情况下，使用以前年度积累的非财政拨款结余弥补本年度收支缺口的资金。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（六）年初结转和结余：指单位上年结转本年使用的基本支出结转、项目支出结转和结余、经营结余。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（七）结余分配：指单位按照国家有关规定，缴纳所得税、提取专用基金、转入非财政拨款结余等当年结余的分配情况。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（八）年末结转和结余：指单位结转下年的基本支出结转、项目支出结转和结余、经营结余。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（十）项目支出：指在基本支出之外为完成特定行政任务和事业发展目标所发生的支出。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（十一）经营支出：指事业单位在专业业务活动及其辅助活动之外开展非独立核算经营活动发生的支出。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（十四）工资福利支出（支出经济分类科目类级）：反映单位开支的在职职工和编制外长期聘用人员的各类劳动报酬，以及为上述人员缴纳的各项社会保险费等。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（十五）商品和服务支出（支出经济分类科目类级）：反映单位购买商品和服务的支出（不包括用于购置固定资产的支出、战略性和应急储备支出）。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 （十六）对个人和家庭的补助（支出经济分类科目类级）：反映用于对个人和家庭的补助支出。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b w:val="0"/>
          <w:bCs/>
          <w:sz w:val="32"/>
          <w:szCs w:val="32"/>
          <w:shd w:val="clear" w:color="auto" w:fill="FFFFFF"/>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 七、决算公开联系方式及信息反馈渠道</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kern w:val="0"/>
          <w:sz w:val="32"/>
          <w:szCs w:val="32"/>
          <w:lang w:val="en-US" w:eastAsia="zh-CN" w:bidi="ar-SA"/>
        </w:rPr>
      </w:pPr>
      <w:r>
        <w:rPr>
          <w:rFonts w:hint="eastAsia" w:ascii="Times New Roman" w:hAnsi="Times New Roman" w:eastAsia="方正仿宋_GBK" w:cs="宋体"/>
          <w:kern w:val="0"/>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kern w:val="0"/>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宋体"/>
          <w:kern w:val="0"/>
          <w:sz w:val="32"/>
          <w:szCs w:val="32"/>
          <w:lang w:val="en-US" w:eastAsia="zh-CN" w:bidi="ar-SA"/>
        </w:rPr>
        <w:t xml:space="preserve">易力 </w:t>
      </w:r>
      <w:r>
        <w:rPr>
          <w:rFonts w:hint="default" w:ascii="Times New Roman" w:hAnsi="Times New Roman" w:eastAsia="方正仿宋_GBK" w:cs="宋体"/>
          <w:kern w:val="0"/>
          <w:sz w:val="32"/>
          <w:szCs w:val="32"/>
          <w:lang w:val="en-US" w:eastAsia="zh-CN" w:bidi="ar-SA"/>
        </w:rPr>
        <w:t>023-76615631</w:t>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重庆市秀山土家族苗族自治县溪口镇综合行政执法大队</w:t>
            </w: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40" w:firstLineChars="200"/>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31.35</w:t>
            </w: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重庆市秀山土家族苗族自治县溪口镇综合行政执法大队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31.35</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31.35</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left="60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重庆市秀山土家族苗族自治县溪口镇综合行政执法大队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31.35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31.35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重庆市秀山土家族苗族自治县溪口镇综合行政执法大队</w:t>
            </w: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31.35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31.35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重庆市秀山土家族苗族自治县溪口镇综合行政执法大队</w:t>
            </w: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27.98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bidi w:val="0"/>
              <w:adjustRightInd/>
              <w:spacing w:line="560" w:lineRule="exact"/>
              <w:ind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27.98</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3.37</w:t>
            </w:r>
            <w:r>
              <w:rPr>
                <w:rFonts w:hint="default" w:ascii="Times New Roman" w:hAnsi="Times New Roman" w:cs="Times New Roman"/>
                <w:color w:val="000000"/>
                <w:sz w:val="18"/>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重庆市秀山土家族苗族自治县溪口镇综合行政执法大队</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重庆市秀山土家族苗族自治县溪口镇综合行政执法大队</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0.09</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rPr>
                <w:rFonts w:hint="default" w:ascii="Times New Roman" w:hAnsi="Times New Roman" w:cs="Times New Roman"/>
                <w:color w:val="000000"/>
                <w:sz w:val="16"/>
                <w:szCs w:val="16"/>
              </w:rPr>
            </w:pP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55D5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8B6305"/>
    <w:rsid w:val="01F3521E"/>
    <w:rsid w:val="03B87EA0"/>
    <w:rsid w:val="03E3214F"/>
    <w:rsid w:val="044C50BA"/>
    <w:rsid w:val="057D45E7"/>
    <w:rsid w:val="05B53695"/>
    <w:rsid w:val="05BC6D49"/>
    <w:rsid w:val="06194FF1"/>
    <w:rsid w:val="06834088"/>
    <w:rsid w:val="06A2550B"/>
    <w:rsid w:val="06ED793A"/>
    <w:rsid w:val="06F80EE2"/>
    <w:rsid w:val="07001CCA"/>
    <w:rsid w:val="075678DB"/>
    <w:rsid w:val="079D7CC7"/>
    <w:rsid w:val="07E20DE8"/>
    <w:rsid w:val="08051BCA"/>
    <w:rsid w:val="086C12F4"/>
    <w:rsid w:val="08705944"/>
    <w:rsid w:val="08BA052C"/>
    <w:rsid w:val="08DB07BA"/>
    <w:rsid w:val="0969353F"/>
    <w:rsid w:val="098305D0"/>
    <w:rsid w:val="0A0C5162"/>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70504E"/>
    <w:rsid w:val="13871C70"/>
    <w:rsid w:val="13A71CB4"/>
    <w:rsid w:val="13AF1D43"/>
    <w:rsid w:val="13CE1647"/>
    <w:rsid w:val="13FD55AB"/>
    <w:rsid w:val="14200702"/>
    <w:rsid w:val="14DD5499"/>
    <w:rsid w:val="163A6CEE"/>
    <w:rsid w:val="16CB57BF"/>
    <w:rsid w:val="173708E3"/>
    <w:rsid w:val="17C374FC"/>
    <w:rsid w:val="182E4AB6"/>
    <w:rsid w:val="189079DC"/>
    <w:rsid w:val="189B0D0B"/>
    <w:rsid w:val="18B43F7C"/>
    <w:rsid w:val="194A1770"/>
    <w:rsid w:val="19B906A4"/>
    <w:rsid w:val="1A220B18"/>
    <w:rsid w:val="1A86512F"/>
    <w:rsid w:val="1AF3497D"/>
    <w:rsid w:val="1B6F15B6"/>
    <w:rsid w:val="1BAA2EDC"/>
    <w:rsid w:val="1BC17022"/>
    <w:rsid w:val="1CA55E64"/>
    <w:rsid w:val="1D014A01"/>
    <w:rsid w:val="1D022362"/>
    <w:rsid w:val="1D1B04B0"/>
    <w:rsid w:val="1DA52501"/>
    <w:rsid w:val="1DBD6767"/>
    <w:rsid w:val="1DC52125"/>
    <w:rsid w:val="1DD26311"/>
    <w:rsid w:val="1E374ACB"/>
    <w:rsid w:val="1ECF0A66"/>
    <w:rsid w:val="1EF67CA4"/>
    <w:rsid w:val="1F020D3A"/>
    <w:rsid w:val="1F2C5189"/>
    <w:rsid w:val="1F3D0254"/>
    <w:rsid w:val="1F4B0B02"/>
    <w:rsid w:val="1FBB0929"/>
    <w:rsid w:val="1FBB35CD"/>
    <w:rsid w:val="1FCD26AF"/>
    <w:rsid w:val="20642787"/>
    <w:rsid w:val="21556F04"/>
    <w:rsid w:val="22403BD3"/>
    <w:rsid w:val="243C1980"/>
    <w:rsid w:val="24561DAA"/>
    <w:rsid w:val="24B92327"/>
    <w:rsid w:val="24C14514"/>
    <w:rsid w:val="252212C3"/>
    <w:rsid w:val="2533755C"/>
    <w:rsid w:val="25791755"/>
    <w:rsid w:val="26396DF4"/>
    <w:rsid w:val="27167136"/>
    <w:rsid w:val="271B442C"/>
    <w:rsid w:val="27B23302"/>
    <w:rsid w:val="29310A5F"/>
    <w:rsid w:val="29C37A35"/>
    <w:rsid w:val="29E412B6"/>
    <w:rsid w:val="2A076083"/>
    <w:rsid w:val="2A73162E"/>
    <w:rsid w:val="2B167953"/>
    <w:rsid w:val="2B200583"/>
    <w:rsid w:val="2B8209DE"/>
    <w:rsid w:val="2C636760"/>
    <w:rsid w:val="2C6762A3"/>
    <w:rsid w:val="2E09252F"/>
    <w:rsid w:val="2E3A0285"/>
    <w:rsid w:val="2FCA4B37"/>
    <w:rsid w:val="2FE029D7"/>
    <w:rsid w:val="2FF06E00"/>
    <w:rsid w:val="30586FEC"/>
    <w:rsid w:val="315F0B22"/>
    <w:rsid w:val="31D84415"/>
    <w:rsid w:val="32285F6F"/>
    <w:rsid w:val="32770556"/>
    <w:rsid w:val="329C0913"/>
    <w:rsid w:val="32AA0460"/>
    <w:rsid w:val="3337290D"/>
    <w:rsid w:val="33E31118"/>
    <w:rsid w:val="33EF7674"/>
    <w:rsid w:val="342D7BC6"/>
    <w:rsid w:val="34A93426"/>
    <w:rsid w:val="352930DB"/>
    <w:rsid w:val="35573069"/>
    <w:rsid w:val="355F6038"/>
    <w:rsid w:val="358C217E"/>
    <w:rsid w:val="36C9128A"/>
    <w:rsid w:val="373F249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CB1890"/>
    <w:rsid w:val="3C566AD6"/>
    <w:rsid w:val="3C594871"/>
    <w:rsid w:val="3C687AAF"/>
    <w:rsid w:val="3C6A5B02"/>
    <w:rsid w:val="3CE85B78"/>
    <w:rsid w:val="3D2757A1"/>
    <w:rsid w:val="3D3D4FC4"/>
    <w:rsid w:val="3DC34BA3"/>
    <w:rsid w:val="3DDF3AB1"/>
    <w:rsid w:val="3E1D0952"/>
    <w:rsid w:val="3E42660A"/>
    <w:rsid w:val="3E7555B1"/>
    <w:rsid w:val="3E787ED9"/>
    <w:rsid w:val="3EA21F25"/>
    <w:rsid w:val="3F032E93"/>
    <w:rsid w:val="3F0527E5"/>
    <w:rsid w:val="3F283F63"/>
    <w:rsid w:val="3F5E3C28"/>
    <w:rsid w:val="3F694D83"/>
    <w:rsid w:val="3F885DCC"/>
    <w:rsid w:val="3FCD675E"/>
    <w:rsid w:val="4004000C"/>
    <w:rsid w:val="4022614D"/>
    <w:rsid w:val="40BD5482"/>
    <w:rsid w:val="411B6CE5"/>
    <w:rsid w:val="412070D7"/>
    <w:rsid w:val="41314E40"/>
    <w:rsid w:val="417A4DCC"/>
    <w:rsid w:val="41E0734B"/>
    <w:rsid w:val="426C1EA8"/>
    <w:rsid w:val="42720227"/>
    <w:rsid w:val="42736402"/>
    <w:rsid w:val="42D37D09"/>
    <w:rsid w:val="42E86A87"/>
    <w:rsid w:val="43307B09"/>
    <w:rsid w:val="439A3EB9"/>
    <w:rsid w:val="43BB152F"/>
    <w:rsid w:val="44C37687"/>
    <w:rsid w:val="45CB699A"/>
    <w:rsid w:val="465B470D"/>
    <w:rsid w:val="469D6AD4"/>
    <w:rsid w:val="471E6C84"/>
    <w:rsid w:val="47374D56"/>
    <w:rsid w:val="4748792B"/>
    <w:rsid w:val="475D719D"/>
    <w:rsid w:val="47674801"/>
    <w:rsid w:val="48225EF7"/>
    <w:rsid w:val="4861050D"/>
    <w:rsid w:val="488F422B"/>
    <w:rsid w:val="48C06E97"/>
    <w:rsid w:val="48E36915"/>
    <w:rsid w:val="48EB6572"/>
    <w:rsid w:val="495C4A24"/>
    <w:rsid w:val="497135DF"/>
    <w:rsid w:val="49997217"/>
    <w:rsid w:val="49BF0D63"/>
    <w:rsid w:val="4A263DF2"/>
    <w:rsid w:val="4A6F6675"/>
    <w:rsid w:val="4B135857"/>
    <w:rsid w:val="4B7951CB"/>
    <w:rsid w:val="4B7C315C"/>
    <w:rsid w:val="4BE77EB1"/>
    <w:rsid w:val="4C864EBA"/>
    <w:rsid w:val="4DAC4ACA"/>
    <w:rsid w:val="4DBE01D2"/>
    <w:rsid w:val="4E68564C"/>
    <w:rsid w:val="4F0C6BA3"/>
    <w:rsid w:val="4F186D58"/>
    <w:rsid w:val="50F06B6E"/>
    <w:rsid w:val="51D21804"/>
    <w:rsid w:val="51DC5047"/>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C51019"/>
    <w:rsid w:val="5A3B59D6"/>
    <w:rsid w:val="5AD134D8"/>
    <w:rsid w:val="5B757E1D"/>
    <w:rsid w:val="5C263CE4"/>
    <w:rsid w:val="5C5D2777"/>
    <w:rsid w:val="5CEA4FFE"/>
    <w:rsid w:val="5CED1D03"/>
    <w:rsid w:val="5CF66BF3"/>
    <w:rsid w:val="5D290C69"/>
    <w:rsid w:val="5D4C35F5"/>
    <w:rsid w:val="5D791E89"/>
    <w:rsid w:val="5F2D4A41"/>
    <w:rsid w:val="60C74F6C"/>
    <w:rsid w:val="61025A59"/>
    <w:rsid w:val="613D5BBC"/>
    <w:rsid w:val="61536C39"/>
    <w:rsid w:val="62944DD7"/>
    <w:rsid w:val="6319381F"/>
    <w:rsid w:val="63C25DC5"/>
    <w:rsid w:val="63C62057"/>
    <w:rsid w:val="64571EF5"/>
    <w:rsid w:val="648A01B6"/>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5D1070"/>
    <w:rsid w:val="6C9E4D03"/>
    <w:rsid w:val="6CBE034C"/>
    <w:rsid w:val="6D903FF5"/>
    <w:rsid w:val="6DA955B8"/>
    <w:rsid w:val="6DE346AB"/>
    <w:rsid w:val="6DE5391A"/>
    <w:rsid w:val="6EFD1324"/>
    <w:rsid w:val="6F2029BB"/>
    <w:rsid w:val="6F5A53AC"/>
    <w:rsid w:val="6FAC003D"/>
    <w:rsid w:val="6FE55E12"/>
    <w:rsid w:val="6FFB2E76"/>
    <w:rsid w:val="70556910"/>
    <w:rsid w:val="708F6F7F"/>
    <w:rsid w:val="70D94BD3"/>
    <w:rsid w:val="71AE0925"/>
    <w:rsid w:val="71C34D91"/>
    <w:rsid w:val="72DB435C"/>
    <w:rsid w:val="72E2613A"/>
    <w:rsid w:val="72F771F4"/>
    <w:rsid w:val="73934AD2"/>
    <w:rsid w:val="750837F0"/>
    <w:rsid w:val="754758CF"/>
    <w:rsid w:val="756F3238"/>
    <w:rsid w:val="764F62AB"/>
    <w:rsid w:val="765C45EC"/>
    <w:rsid w:val="768A7619"/>
    <w:rsid w:val="772E1EBA"/>
    <w:rsid w:val="781926BC"/>
    <w:rsid w:val="796D60A4"/>
    <w:rsid w:val="799824C9"/>
    <w:rsid w:val="79A031D5"/>
    <w:rsid w:val="7A1525F7"/>
    <w:rsid w:val="7B420052"/>
    <w:rsid w:val="7BD06A28"/>
    <w:rsid w:val="7C3A7C0B"/>
    <w:rsid w:val="7C5248E4"/>
    <w:rsid w:val="7C566698"/>
    <w:rsid w:val="7C5866A3"/>
    <w:rsid w:val="7CDD29F9"/>
    <w:rsid w:val="7D7406BB"/>
    <w:rsid w:val="7DE94331"/>
    <w:rsid w:val="7E046AD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2024-09-19T12:23:59Z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