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重庆市秀山土家族苗族自治县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溪口镇农业服务中心（特色产业发展中心）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720" w:firstLineChars="200"/>
        <w:jc w:val="center"/>
        <w:textAlignment w:val="auto"/>
        <w:outlineLvl w:val="9"/>
        <w:rPr>
          <w:rFonts w:hint="default" w:ascii="Times New Roman" w:hAnsi="Times New Roman" w:eastAsia="方正小标宋_GBK" w:cs="Times New Roman"/>
          <w:sz w:val="36"/>
          <w:szCs w:val="36"/>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承担农技、农机、畜牧、水利水产等方面的技术推广、信息服务、水土保持、灾害防治、土地规模经营管理、农产品质量安全监管，农业综合服务等工作。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宋体"/>
          <w:kern w:val="0"/>
          <w:sz w:val="32"/>
          <w:szCs w:val="32"/>
          <w:lang w:val="en-US" w:eastAsia="zh-CN"/>
        </w:rPr>
      </w:pPr>
      <w:r>
        <w:rPr>
          <w:rFonts w:hint="default" w:ascii="Times New Roman" w:hAnsi="Times New Roman" w:eastAsia="方正仿宋_GBK" w:cs="宋体"/>
          <w:kern w:val="0"/>
          <w:sz w:val="32"/>
          <w:szCs w:val="32"/>
          <w:lang w:val="en-US" w:eastAsia="zh-CN"/>
        </w:rPr>
        <w:t>秀山土家族苗族自治县溪口镇农业服务中心（特色产业发展中心）是秀山土家族苗族自治县溪口镇人民政府统一设置的事业站所之一，单位构成为农业服务中心，无下属机构。</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二、单位决算情况说明</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1.总体情况。</w:t>
      </w:r>
      <w:r>
        <w:rPr>
          <w:rFonts w:hint="default" w:ascii="Times New Roman" w:hAnsi="Times New Roman" w:eastAsia="方正仿宋_GBK" w:cs="宋体"/>
          <w:kern w:val="0"/>
          <w:sz w:val="32"/>
          <w:szCs w:val="32"/>
          <w:lang w:val="en-US" w:eastAsia="zh-CN" w:bidi="ar-SA"/>
        </w:rPr>
        <w:t>2023年度收入总计426.87万元，支出总计426.87万元。收支较上年决算数增加426.87万元，增长100.00%，主要原因是2022年度本单位与部门合并编报决算，按照市财政局要求，2023年独立编报决算，故与上年对比增长100.00%。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2.收入情况。</w:t>
      </w:r>
      <w:r>
        <w:rPr>
          <w:rFonts w:hint="default" w:ascii="Times New Roman" w:hAnsi="Times New Roman" w:eastAsia="方正仿宋_GBK" w:cs="宋体"/>
          <w:kern w:val="0"/>
          <w:sz w:val="32"/>
          <w:szCs w:val="32"/>
          <w:lang w:val="en-US" w:eastAsia="zh-CN" w:bidi="ar-SA"/>
        </w:rPr>
        <w:t>2023年度收入合计426.87万元，较上年决算数增加426.87万元，增长100.00%，主要原因是2022年度本单位与部门合并编报决算，按照市财政局要求，2023年独立编报决算，故与上年对比增长100.00%。其中：财政拨款收入426.87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3.支出情况。</w:t>
      </w:r>
      <w:r>
        <w:rPr>
          <w:rFonts w:hint="default" w:ascii="Times New Roman" w:hAnsi="Times New Roman" w:eastAsia="方正仿宋_GBK" w:cs="宋体"/>
          <w:kern w:val="0"/>
          <w:sz w:val="32"/>
          <w:szCs w:val="32"/>
          <w:lang w:val="en-US" w:eastAsia="zh-CN" w:bidi="ar-SA"/>
        </w:rPr>
        <w:t>2023年度支出合计397.09万元，较上年决算数增加397.09万元，增长100.00%，主要原因是2022年度本单位与部门合并编报决算，按照市财政局要求，2023年独立编报决算，故与上年对比增长100.00%。其中：基本支出147.93万元，占37.25%；项目支出249.16万元，占62.75%；经营支出0.00万元，占0.00%。此外，结余分配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4.结转结余情况。</w:t>
      </w:r>
      <w:r>
        <w:rPr>
          <w:rFonts w:hint="default" w:ascii="Times New Roman" w:hAnsi="Times New Roman" w:eastAsia="方正仿宋_GBK" w:cs="宋体"/>
          <w:kern w:val="0"/>
          <w:sz w:val="32"/>
          <w:szCs w:val="32"/>
          <w:lang w:val="en-US" w:eastAsia="zh-CN" w:bidi="ar-SA"/>
        </w:rPr>
        <w:t>2023年度年末结转和结余29.78万元，较上年决算数增加29.78万元，增长100.00%，主要原因是2022年度本单位与部门合并编报决算，按照市财政局要求，2023年独立编报决算，故与上年对比增长100.00%。</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财政拨款收、支总计426.87万元。与2022年相比，财政拨款收、支总计各增加426.87万元，增长100.00%。主要原因是2022年度本单位与部门合并编报决算，按照市财政局要求，2023年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1.收入情况。</w:t>
      </w:r>
      <w:r>
        <w:rPr>
          <w:rFonts w:hint="default" w:ascii="Times New Roman" w:hAnsi="Times New Roman" w:eastAsia="方正仿宋_GBK" w:cs="宋体"/>
          <w:kern w:val="0"/>
          <w:sz w:val="32"/>
          <w:szCs w:val="32"/>
          <w:lang w:val="en-US" w:eastAsia="zh-CN" w:bidi="ar-SA"/>
        </w:rPr>
        <w:t>2023年度一般公共预算财政拨款收入426.87万元，较上年决算数增加426.87万元，增长100.00%。主要原因是2022年度本单位与部门合并编报决算，按照市财政局要求，2023年独立编报决算，故与上年对比增长100.00%。较年初预算数减少4.18万元，下降0.97%。主要原因是参考线内超额绩效（年终考核）、养老保险、职业年金清算核减。此外，年初财政拨款结转和结余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2.支出情况。</w:t>
      </w:r>
      <w:r>
        <w:rPr>
          <w:rFonts w:hint="default" w:ascii="Times New Roman" w:hAnsi="Times New Roman" w:eastAsia="方正仿宋_GBK" w:cs="宋体"/>
          <w:kern w:val="0"/>
          <w:sz w:val="32"/>
          <w:szCs w:val="32"/>
          <w:lang w:val="en-US" w:eastAsia="zh-CN" w:bidi="ar-SA"/>
        </w:rPr>
        <w:t>2023年度一般公共预算财政拨款支出397.09万元，较上年决算数增加397.09万元，增长100.00%。主要原因是2022年度本单位与部门合并编报决算，按照市财政局要求，2023年独立编报决算，故与上年对比增长100.00%。较年初预算数减少79.72万元，下降16.72%。主要原因是参考线内超额绩效（年终考核）、养老保险、职业年金清算核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3.结转结余情况。</w:t>
      </w:r>
      <w:r>
        <w:rPr>
          <w:rFonts w:hint="default" w:ascii="Times New Roman" w:hAnsi="Times New Roman" w:eastAsia="方正仿宋_GBK" w:cs="宋体"/>
          <w:kern w:val="0"/>
          <w:sz w:val="32"/>
          <w:szCs w:val="32"/>
          <w:lang w:val="en-US" w:eastAsia="zh-CN" w:bidi="ar-SA"/>
        </w:rPr>
        <w:t>2023年度年末一般公共预算财政拨款结转和结余29.78万元，较上年决算数增加29.78万元，增长100.00%，主要原因是2022年度本单位与部门合并编报决算，按照市财政局要求，2023年独立编报决算，故与上年对比增长100.00%。</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b/>
          <w:bCs/>
          <w:kern w:val="0"/>
          <w:sz w:val="32"/>
          <w:szCs w:val="32"/>
          <w:lang w:val="en-US" w:eastAsia="zh-CN" w:bidi="ar-SA"/>
        </w:rPr>
        <w:t>4.比较情况。</w:t>
      </w:r>
      <w:r>
        <w:rPr>
          <w:rFonts w:hint="default" w:ascii="Times New Roman" w:hAnsi="Times New Roman" w:eastAsia="方正仿宋_GBK" w:cs="宋体"/>
          <w:kern w:val="0"/>
          <w:sz w:val="32"/>
          <w:szCs w:val="32"/>
          <w:lang w:val="en-US" w:eastAsia="zh-CN" w:bidi="ar-SA"/>
        </w:rPr>
        <w:t>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（1）社会保障与就业支出30.98万元，占7.80%，较年初预算数减少3.15万元，下降9.23%，主要原因是参考线内超额绩效（年终考核）、养老保险、职业年金清算核减。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（2）农林水支出349.75万元，占88.08%，较年初预算数减少76.57万元，下降17.96%，主要原因是参考线内超额绩效（年终考核）、养老保险、职业年金清算核减。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（3）住房保障支出10.73万元，占2.70%，较年初预算数无增减，主要原因是严格按照年初预算执行。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（四）一般公共预算财政拨款基本支出决算情况说明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 2023年度一般公共财政拨款基本支出147.93万元。其中：人员经费136.92万元，较上年决算数增加136.92万元，增长100.00%，主要原因是2022年度本单位与部门合并编报决算，按照市财政局要求，2023年独立编报决算，故与上年对比增长100.00%。人员经费用途主要包括基本工资、津贴补贴、绩效工资、社会保障缴费、住房公积金等。公用经费11.01万元，较上年决算数增加11.01万元，增长100.00%，主要原因是2022年度本单位与部门合并编报决算，按照市财政局要求，2023年独立编报决算，故与上年对比增长100.00%。公用经费用途主要包括办公费、邮电费、会议费、培训费、劳务费、委托业务费等。</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宋体"/>
          <w:kern w:val="0"/>
          <w:sz w:val="32"/>
          <w:szCs w:val="32"/>
          <w:lang w:val="en-US" w:eastAsia="zh-CN" w:bidi="ar-SA"/>
        </w:rPr>
        <w:t>本单位2023年度无政府性基金预算财政拨款收支</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三、“三公”经费情况说明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zh-CN" w:eastAsia="zh-CN" w:bidi="ar-SA"/>
        </w:rPr>
        <w:t>本单位属于溪口镇人民政府下属二级单位，由于业务活动均由本级统一开展，故三公经费预算安排在本级，由本级统筹管理，三公经费支出也由本级统一核算，本单位无三公经费预算及支出。</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方正仿宋" w:cs="Times New Roman"/>
          <w:i w:val="0"/>
          <w:caps w:val="0"/>
          <w:color w:val="333333"/>
          <w:spacing w:val="0"/>
          <w:sz w:val="32"/>
          <w:szCs w:val="32"/>
          <w:shd w:val="clear" w:fill="FFFFFF"/>
          <w:lang w:val="en-US" w:eastAsia="zh-CN"/>
        </w:rPr>
      </w:pPr>
      <w:r>
        <w:rPr>
          <w:rFonts w:hint="default" w:ascii="Times New Roman" w:hAnsi="Times New Roman" w:eastAsia="方正仿宋_GBK" w:cs="宋体"/>
          <w:kern w:val="0"/>
          <w:sz w:val="32"/>
          <w:szCs w:val="32"/>
          <w:lang w:val="en-US" w:eastAsia="zh-CN" w:bidi="ar-SA"/>
        </w:rPr>
        <w:t>2023年度“三公”经费支出共计0.00万元，较年初预算数无增减，主要原因是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2023年度本单位因公出国（境）费用0.00万元，费用支出较年初预算数无增减，主要原因是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公务车购置费0.00万元，费用支出较年初预算数无增减，主要原因是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公务车运行维护费0.00万元，费用支出较年初预算数无增减，主要原因是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zh-CN" w:eastAsia="zh-CN" w:bidi="ar-SA"/>
        </w:rPr>
      </w:pPr>
      <w:r>
        <w:rPr>
          <w:rFonts w:hint="default" w:ascii="Times New Roman" w:hAnsi="Times New Roman" w:eastAsia="方正仿宋_GBK" w:cs="宋体"/>
          <w:kern w:val="0"/>
          <w:sz w:val="32"/>
          <w:szCs w:val="32"/>
          <w:lang w:val="en-US" w:eastAsia="zh-CN" w:bidi="ar-SA"/>
        </w:rPr>
        <w:t> 公务接待费0.00万元，费用支出较年初预算数无增减，主要原因是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r>
        <w:rPr>
          <w:rFonts w:hint="default" w:ascii="Times New Roman" w:hAnsi="Times New Roman" w:eastAsia="方正仿宋_GBK" w:cs="宋体"/>
          <w:kern w:val="0"/>
          <w:sz w:val="32"/>
          <w:szCs w:val="32"/>
          <w:lang w:val="en-US" w:eastAsia="zh-CN" w:bidi="ar-SA"/>
        </w:rPr>
        <w:t>较上年支出数无增减，主要原因是</w:t>
      </w:r>
      <w:r>
        <w:rPr>
          <w:rFonts w:hint="default" w:ascii="Times New Roman" w:hAnsi="Times New Roman" w:eastAsia="方正仿宋_GBK" w:cs="宋体"/>
          <w:kern w:val="0"/>
          <w:sz w:val="32"/>
          <w:szCs w:val="32"/>
          <w:lang w:val="zh-CN" w:eastAsia="zh-CN" w:bidi="ar-SA"/>
        </w:rPr>
        <w:t>我单位属于二级预算单位，“三公”经费由本级统一支出。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宋体"/>
          <w:kern w:val="0"/>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eastAsia="zh-CN"/>
        </w:rPr>
        <w:t>本年度会议费支出</w:t>
      </w:r>
      <w:r>
        <w:rPr>
          <w:rFonts w:hint="eastAsia" w:ascii="Times New Roman" w:hAnsi="Times New Roman" w:eastAsia="方正仿宋_GBK" w:cs="Times New Roman"/>
          <w:sz w:val="32"/>
          <w:szCs w:val="32"/>
          <w:shd w:val="clear" w:color="auto" w:fill="FFFFFF"/>
          <w:lang w:val="en-US" w:eastAsia="zh-CN"/>
        </w:rPr>
        <w:t>0万元，较上年决算数无增减，培训费支出0.43万元，较上年增长100%，由于本单位本年度独立填报决算，故较上年增长100%。</w:t>
      </w:r>
      <w:bookmarkStart w:id="0" w:name="_GoBack"/>
      <w:bookmarkEnd w:id="0"/>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我单位属于溪口镇人民政府的下属二级单位，资产全部纳入政府本级填报。</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lang w:val="en-US" w:eastAsia="zh-CN" w:bidi="ar-SA"/>
        </w:rPr>
      </w:pPr>
      <w:r>
        <w:rPr>
          <w:rStyle w:val="8"/>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宋体"/>
          <w:kern w:val="0"/>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t>根据预算绩效管理要求，我</w:t>
      </w:r>
      <w:r>
        <w:rPr>
          <w:rFonts w:hint="eastAsia" w:ascii="Times New Roman" w:hAnsi="Times New Roman" w:eastAsia="方正仿宋_GBK" w:cs="宋体"/>
          <w:kern w:val="0"/>
          <w:sz w:val="32"/>
          <w:szCs w:val="32"/>
          <w:lang w:val="en-US" w:eastAsia="zh-CN" w:bidi="ar-SA"/>
        </w:rPr>
        <w:t>单位对11</w:t>
      </w:r>
      <w:r>
        <w:rPr>
          <w:rFonts w:hint="default" w:ascii="Times New Roman" w:hAnsi="Times New Roman" w:eastAsia="方正仿宋_GBK" w:cs="宋体"/>
          <w:kern w:val="0"/>
          <w:sz w:val="32"/>
          <w:szCs w:val="32"/>
          <w:lang w:val="en-US" w:eastAsia="zh-CN" w:bidi="ar-SA"/>
        </w:rPr>
        <w:t>个项目开展了绩效自评，涉及财政拨款项目支出资金</w:t>
      </w:r>
      <w:r>
        <w:rPr>
          <w:rFonts w:hint="eastAsia" w:ascii="Times New Roman" w:hAnsi="Times New Roman" w:eastAsia="方正仿宋_GBK" w:cs="宋体"/>
          <w:kern w:val="0"/>
          <w:sz w:val="32"/>
          <w:szCs w:val="32"/>
          <w:lang w:val="en-US" w:eastAsia="zh-CN" w:bidi="ar-SA"/>
        </w:rPr>
        <w:t>249.16</w:t>
      </w:r>
      <w:r>
        <w:rPr>
          <w:rFonts w:hint="default" w:ascii="Times New Roman" w:hAnsi="Times New Roman" w:eastAsia="方正仿宋_GBK" w:cs="宋体"/>
          <w:kern w:val="0"/>
          <w:sz w:val="32"/>
          <w:szCs w:val="32"/>
          <w:lang w:val="en-US" w:eastAsia="zh-CN" w:bidi="ar-SA"/>
        </w:rPr>
        <w:t>万元。</w:t>
      </w:r>
    </w:p>
    <w:tbl>
      <w:tblPr>
        <w:tblStyle w:val="9"/>
        <w:tblpPr w:leftFromText="180" w:rightFromText="180" w:vertAnchor="text" w:horzAnchor="page" w:tblpX="2215" w:tblpY="399"/>
        <w:tblOverlap w:val="never"/>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5"/>
        <w:gridCol w:w="695"/>
        <w:gridCol w:w="695"/>
        <w:gridCol w:w="695"/>
        <w:gridCol w:w="695"/>
        <w:gridCol w:w="695"/>
        <w:gridCol w:w="695"/>
        <w:gridCol w:w="695"/>
        <w:gridCol w:w="695"/>
        <w:gridCol w:w="695"/>
        <w:gridCol w:w="695"/>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8" w:hRule="atLeast"/>
        </w:trPr>
        <w:tc>
          <w:tcPr>
            <w:tcW w:w="83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序号</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项目名称：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指标名称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指标性质</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w:t>
            </w:r>
          </w:p>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全年</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偏离</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度（%）</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得分</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系数（%）</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权重</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指标得分</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说明</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自评总分：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w:t>
            </w:r>
          </w:p>
        </w:tc>
        <w:tc>
          <w:tcPr>
            <w:tcW w:w="69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村道公路养护资金补助</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年度投资计划</w:t>
            </w:r>
            <w:r>
              <w:rPr>
                <w:rStyle w:val="16"/>
                <w:rFonts w:hint="default" w:ascii="Times New Roman" w:hAnsi="Times New Roman" w:cs="Times New Roman"/>
                <w:lang w:val="en-US" w:eastAsia="zh-CN" w:bidi="ar"/>
              </w:rPr>
              <w:br w:type="textWrapping"/>
            </w:r>
            <w:r>
              <w:rPr>
                <w:rStyle w:val="16"/>
                <w:rFonts w:hint="default" w:ascii="Times New Roman" w:hAnsi="Times New Roman" w:cs="Times New Roman"/>
                <w:lang w:val="en-US" w:eastAsia="zh-CN" w:bidi="ar"/>
              </w:rPr>
              <w:t>完成率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w:t>
            </w: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w:t>
            </w: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eastAsia" w:ascii="Times New Roman" w:hAnsi="Times New Roman" w:eastAsia="宋体" w:cs="Times New Roman"/>
                <w:lang w:val="en-US" w:eastAsia="zh-CN" w:bidi="ar"/>
              </w:rPr>
            </w:pPr>
            <w:r>
              <w:rPr>
                <w:rStyle w:val="16"/>
                <w:rFonts w:hint="default" w:ascii="Times New Roman" w:hAnsi="Times New Roman" w:cs="Times New Roman"/>
                <w:lang w:val="en-US" w:eastAsia="zh-CN" w:bidi="ar"/>
              </w:rPr>
              <w:t>完成道路养护公</w:t>
            </w:r>
            <w:r>
              <w:rPr>
                <w:rStyle w:val="16"/>
                <w:rFonts w:hint="eastAsia" w:ascii="Times New Roman" w:hAnsi="Times New Roman" w:cs="Times New Roman"/>
                <w:lang w:val="en-US" w:eastAsia="zh-CN" w:bidi="ar"/>
              </w:rPr>
              <w:t>里</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4</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25</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40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验收合格率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w:t>
            </w: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1</w:t>
            </w: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8" w:hRule="atLeast"/>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村居满意</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90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default" w:ascii="Times New Roman" w:hAnsi="Times New Roman" w:cs="Times New Roman"/>
                <w:lang w:val="en-US" w:eastAsia="zh-CN" w:bidi="ar"/>
              </w:rPr>
              <w:t>100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30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r>
              <w:rPr>
                <w:rStyle w:val="16"/>
                <w:rFonts w:hint="eastAsia" w:ascii="Times New Roman" w:hAnsi="Times New Roman" w:cs="Times New Roman"/>
                <w:lang w:val="en-US" w:eastAsia="zh-CN" w:bidi="ar"/>
              </w:rPr>
              <w:t>30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16"/>
                <w:rFonts w:hint="default" w:ascii="Times New Roman" w:hAnsi="Times New Roman" w:cs="Times New Roman"/>
                <w:lang w:val="en-US" w:eastAsia="zh-CN" w:bidi="ar"/>
              </w:rPr>
            </w:pPr>
          </w:p>
        </w:tc>
        <w:tc>
          <w:tcPr>
            <w:tcW w:w="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2"/>
                <w:szCs w:val="22"/>
                <w:u w:val="none"/>
              </w:rPr>
            </w:pPr>
          </w:p>
        </w:tc>
      </w:tr>
    </w:tbl>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方正仿宋_GBK" w:cs="宋体"/>
          <w:kern w:val="0"/>
          <w:sz w:val="32"/>
          <w:szCs w:val="32"/>
          <w:lang w:val="en-US" w:eastAsia="zh-CN" w:bidi="ar-SA"/>
        </w:rPr>
      </w:pPr>
      <w:r>
        <w:rPr>
          <w:rFonts w:hint="default" w:ascii="Times New Roman" w:hAnsi="Times New Roman" w:eastAsia="方正仿宋_GBK" w:cs="宋体"/>
          <w:kern w:val="0"/>
          <w:sz w:val="32"/>
          <w:szCs w:val="32"/>
          <w:lang w:val="en-US" w:eastAsia="zh-CN" w:bidi="ar-SA"/>
        </w:rPr>
        <w:br w:type="page"/>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方正仿宋_GBK" w:cs="宋体"/>
          <w:kern w:val="0"/>
          <w:sz w:val="32"/>
          <w:szCs w:val="32"/>
          <w:lang w:val="en-US" w:eastAsia="zh-CN" w:bidi="ar-SA"/>
        </w:rPr>
      </w:pP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sz w:val="32"/>
          <w:szCs w:val="32"/>
          <w:highlight w:val="yellow"/>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eastAsia" w:ascii="方正仿宋_GBK" w:hAnsi="方正仿宋_GBK" w:eastAsia="方正仿宋_GBK" w:cs="方正仿宋_GBK"/>
          <w:b w:val="0"/>
          <w:bCs w:val="0"/>
          <w:color w:val="auto"/>
          <w:sz w:val="32"/>
          <w:szCs w:val="32"/>
          <w:highlight w:val="none"/>
          <w:shd w:val="clear" w:color="auto" w:fill="FFFFFF"/>
          <w:lang w:eastAsia="zh-CN"/>
        </w:rPr>
      </w:pPr>
      <w:r>
        <w:rPr>
          <w:rFonts w:hint="eastAsia" w:ascii="方正仿宋_GBK" w:hAnsi="方正仿宋_GBK" w:eastAsia="方正仿宋_GBK" w:cs="方正仿宋_GBK"/>
          <w:b w:val="0"/>
          <w:bCs w:val="0"/>
          <w:color w:val="auto"/>
          <w:sz w:val="32"/>
          <w:szCs w:val="32"/>
          <w:highlight w:val="none"/>
          <w:shd w:val="clear" w:color="auto" w:fill="FFFFFF"/>
          <w:lang w:eastAsia="zh-CN"/>
        </w:rPr>
        <w:t>我单位未组织绩效评价。</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楷体" w:cs="Times New Roman"/>
          <w:b/>
          <w:bCs/>
          <w:color w:val="auto"/>
          <w:sz w:val="32"/>
          <w:szCs w:val="32"/>
          <w:highlight w:val="none"/>
          <w:shd w:val="clear" w:color="auto" w:fill="FFFFFF"/>
        </w:rPr>
      </w:pPr>
      <w:r>
        <w:rPr>
          <w:rStyle w:val="8"/>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default" w:ascii="Times New Roman" w:hAnsi="Times New Roman" w:eastAsia="方正仿宋" w:cs="Times New Roman"/>
          <w:i w:val="0"/>
          <w:caps w:val="0"/>
          <w:color w:val="333333"/>
          <w:spacing w:val="0"/>
          <w:sz w:val="32"/>
          <w:szCs w:val="32"/>
          <w:shd w:val="clear" w:fill="FFFFFF"/>
          <w:lang w:val="en-US" w:eastAsia="zh-CN" w:bidi="ar-SA"/>
        </w:rPr>
      </w:pPr>
      <w:r>
        <w:rPr>
          <w:rFonts w:hint="default" w:ascii="Times New Roman" w:hAnsi="Times New Roman" w:eastAsia="方正仿宋_GBK" w:cs="宋体"/>
          <w:kern w:val="0"/>
          <w:sz w:val="32"/>
          <w:szCs w:val="32"/>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 </w:t>
      </w:r>
      <w:r>
        <w:rPr>
          <w:rStyle w:val="8"/>
          <w:rFonts w:hint="default" w:ascii="Times New Roman" w:hAnsi="Times New Roman" w:eastAsia="方正黑体_GBK" w:cs="Times New Roman"/>
          <w:b w:val="0"/>
          <w:bCs/>
          <w:sz w:val="32"/>
          <w:szCs w:val="32"/>
          <w:shd w:val="clear" w:color="auto" w:fill="FFFFFF"/>
          <w:lang w:eastAsia="zh-CN"/>
        </w:rPr>
        <w:t>六、专业名词解释</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rPr>
        <w:t> </w:t>
      </w:r>
      <w:r>
        <w:rPr>
          <w:rStyle w:val="8"/>
          <w:rFonts w:hint="eastAsia" w:ascii="方正仿宋_GBK" w:hAnsi="方正仿宋_GBK" w:eastAsia="方正仿宋_GBK" w:cs="方正仿宋_GBK"/>
          <w:b w:val="0"/>
          <w:bCs/>
          <w:sz w:val="32"/>
          <w:szCs w:val="32"/>
          <w:shd w:val="clear" w:color="auto" w:fill="FFFFFF"/>
          <w:lang w:val="en-US" w:eastAsia="zh-CN" w:bidi="ar-SA"/>
        </w:rPr>
        <w:t>（一）财政拨款收入：指本年度从本级财政部门取得的财政拨款，包括一般公共预算财政拨款和政府性基金预算财政拨款。</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（二）事业收入：指事业单位开展专业业务活动及其辅助活动取得的现金流入；事业单位收到的财政专户实际核拨的教育收费等资金在此反映。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（三）经营收入：指事业单位在专业业务活动及其辅助活动之外开展非独立核算经营活动取得的现金流入。</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（六）年初结转和结余：指单位上年结转本年使用的基本支出结转、项目支出结转和结余、经营结余。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（七）结余分配：指单位按照国家有关规定，缴纳所得税、提取专用基金、转入非财政拨款结余等当年结余的分配情况。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（八）年末结转和结余：指单位结转下年的基本支出结转、项目支出结转和结余、经营结余。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（十）项目支出：指在基本支出之外为完成特定行政任务和事业发展目标所发生的支出。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（十一）经营支出：指事业单位在专业业务活动及其辅助活动之外开展非独立核算经营活动发生的支出。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（十四）工资福利支出（支出经济分类科目类级）：反映单位开支的在职职工和编制外长期聘用人员的各类劳动报酬，以及为上述人员缴纳的各项社会保险费等。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（十五）商品和服务支出（支出经济分类科目类级）：反映单位购买商品和服务的支出（不包括用于购置固定资产的支出、战略性和应急储备支出）。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（十六）对个人和家庭的补助（支出经济分类科目类级）：反映用于对个人和家庭的补助支出。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eastAsia" w:ascii="方正仿宋_GBK" w:hAnsi="方正仿宋_GBK" w:eastAsia="方正仿宋_GBK" w:cs="方正仿宋_GBK"/>
          <w:b w:val="0"/>
          <w:bCs/>
          <w:sz w:val="32"/>
          <w:szCs w:val="32"/>
          <w:shd w:val="clear" w:color="auto" w:fill="FFFFFF"/>
          <w:lang w:val="en-US" w:eastAsia="zh-CN" w:bidi="ar-SA"/>
        </w:rPr>
      </w:pPr>
      <w:r>
        <w:rPr>
          <w:rStyle w:val="8"/>
          <w:rFonts w:hint="eastAsia" w:ascii="方正仿宋_GBK" w:hAnsi="方正仿宋_GBK" w:eastAsia="方正仿宋_GBK" w:cs="方正仿宋_GBK"/>
          <w:b w:val="0"/>
          <w:bCs/>
          <w:sz w:val="32"/>
          <w:szCs w:val="32"/>
          <w:shd w:val="clear" w:color="auto" w:fill="FFFFFF"/>
          <w:lang w:val="en-US" w:eastAsia="zh-CN" w:bidi="ar-SA"/>
        </w:rPr>
        <w:t> （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8"/>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eastAsia="zh-CN"/>
        </w:rPr>
        <w:t>七、决算公开联系方式及信息反馈渠道</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eastAsia" w:ascii="Times New Roman" w:hAnsi="Times New Roman" w:eastAsia="方正仿宋_GBK" w:cs="宋体"/>
          <w:kern w:val="0"/>
          <w:sz w:val="32"/>
          <w:szCs w:val="32"/>
          <w:lang w:val="en-US" w:eastAsia="zh-CN" w:bidi="ar-SA"/>
        </w:rPr>
      </w:pPr>
      <w:r>
        <w:rPr>
          <w:rFonts w:hint="eastAsia" w:ascii="Times New Roman" w:hAnsi="Times New Roman" w:eastAsia="方正仿宋_GBK" w:cs="宋体"/>
          <w:kern w:val="0"/>
          <w:sz w:val="32"/>
          <w:szCs w:val="32"/>
          <w:lang w:val="en-US" w:eastAsia="zh-CN" w:bidi="ar-SA"/>
        </w:rPr>
        <w:t>本单位决算公开信息反馈和联系方式：</w:t>
      </w:r>
    </w:p>
    <w:p>
      <w:pPr>
        <w:pStyle w:val="11"/>
        <w:keepNext w:val="0"/>
        <w:keepLines w:val="0"/>
        <w:pageBreakBefore w:val="0"/>
        <w:widowControl/>
        <w:kinsoku/>
        <w:overflowPunct/>
        <w:topLinePunct w:val="0"/>
        <w:autoSpaceDE w:val="0"/>
        <w:autoSpaceDN/>
        <w:bidi w:val="0"/>
        <w:adjustRightInd/>
        <w:spacing w:line="560" w:lineRule="exact"/>
        <w:ind w:firstLine="640" w:firstLineChars="200"/>
        <w:rPr>
          <w:rFonts w:hint="eastAsia" w:ascii="Times New Roman" w:hAnsi="Times New Roman" w:eastAsia="方正仿宋_GBK" w:cs="宋体"/>
          <w:kern w:val="0"/>
          <w:sz w:val="32"/>
          <w:szCs w:val="32"/>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宋体"/>
          <w:kern w:val="0"/>
          <w:sz w:val="32"/>
          <w:szCs w:val="32"/>
          <w:lang w:val="en-US" w:eastAsia="zh-CN" w:bidi="ar-SA"/>
        </w:rPr>
        <w:t xml:space="preserve">易力 </w:t>
      </w:r>
      <w:r>
        <w:rPr>
          <w:rFonts w:hint="default" w:ascii="Times New Roman" w:hAnsi="Times New Roman" w:eastAsia="方正仿宋_GBK" w:cs="宋体"/>
          <w:kern w:val="0"/>
          <w:sz w:val="32"/>
          <w:szCs w:val="32"/>
          <w:lang w:val="en-US" w:eastAsia="zh-CN" w:bidi="ar-SA"/>
        </w:rPr>
        <w:t>023-76615631</w:t>
      </w:r>
    </w:p>
    <w:p>
      <w:pPr>
        <w:keepNext w:val="0"/>
        <w:keepLines w:val="0"/>
        <w:pageBreakBefore w:val="0"/>
        <w:widowControl/>
        <w:kinsoku/>
        <w:overflowPunct/>
        <w:topLinePunct w:val="0"/>
        <w:autoSpaceDN/>
        <w:bidi w:val="0"/>
        <w:adjustRightInd/>
        <w:spacing w:line="560" w:lineRule="exact"/>
        <w:ind w:firstLine="420" w:firstLineChars="200"/>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重庆市秀山土家族苗族自治县溪口镇农业服务中心（特色产业发展中心）</w:t>
            </w:r>
          </w:p>
        </w:tc>
        <w:tc>
          <w:tcPr>
            <w:tcW w:w="480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40" w:firstLineChars="200"/>
              <w:outlineLvl w:val="9"/>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426.87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30.98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349.75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426.87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397.09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29.78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426.87</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426.87</w:t>
            </w: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重庆市秀山土家族苗族自治县溪口镇农业服务中心（特色产业发展中心）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426.87</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426.87</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379.53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379.53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137.37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130.37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N/>
        <w:bidi w:val="0"/>
        <w:adjustRightInd/>
        <w:spacing w:line="560" w:lineRule="exact"/>
        <w:ind w:left="600" w:firstLine="400" w:firstLineChars="2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N/>
        <w:bidi w:val="0"/>
        <w:adjustRightInd/>
        <w:spacing w:line="560" w:lineRule="exact"/>
        <w:ind w:firstLine="400" w:firstLineChars="200"/>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重庆市秀山土家族苗族自治县溪口镇农业服务中心（特色产业发展中心） </w:t>
            </w: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397.09</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147.93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249.16</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349.75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249.16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107.59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100.59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100.59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E/>
        <w:autoSpaceDN/>
        <w:bidi w:val="0"/>
        <w:adjustRightInd/>
        <w:snapToGrid/>
        <w:spacing w:line="200" w:lineRule="atLeast"/>
        <w:ind w:firstLine="420" w:firstLineChars="200"/>
        <w:outlineLvl w:val="9"/>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widowControl/>
        <w:kinsoku/>
        <w:overflowPunct/>
        <w:topLinePunct w:val="0"/>
        <w:autoSpaceDE/>
        <w:autoSpaceDN/>
        <w:bidi w:val="0"/>
        <w:adjustRightInd/>
        <w:snapToGrid/>
        <w:spacing w:line="200" w:lineRule="atLeast"/>
        <w:ind w:firstLine="420" w:firstLineChars="200"/>
        <w:outlineLvl w:val="9"/>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重庆市秀山土家族苗族自治县溪口镇农业服务中心（特色产业发展中心）</w:t>
            </w: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426.87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30.98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30.98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349.75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349.75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426.87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397.09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397.09</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426.87</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426.87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426.87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重庆市秀山土家族苗族自治县溪口镇农业服务中心（特色产业发展中心）</w:t>
            </w: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397.09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147.93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249.16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30.98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15.48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349.75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100.59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249.16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107.59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100.59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100.59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100.59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204.32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204.32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8.84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0" w:firstLineChars="200"/>
              <w:textAlignment w:val="center"/>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0"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E/>
        <w:autoSpaceDN/>
        <w:bidi w:val="0"/>
        <w:adjustRightInd/>
        <w:snapToGrid/>
        <w:spacing w:line="200" w:lineRule="atLeast"/>
        <w:ind w:firstLine="420" w:firstLineChars="200"/>
        <w:outlineLvl w:val="9"/>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1105"/>
        <w:gridCol w:w="2240"/>
        <w:gridCol w:w="1376"/>
        <w:gridCol w:w="1259"/>
        <w:gridCol w:w="1500"/>
        <w:gridCol w:w="1656"/>
        <w:gridCol w:w="1104"/>
        <w:gridCol w:w="3231"/>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980" w:type="dxa"/>
            <w:gridSpan w:val="4"/>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重庆市秀山土家族苗族自治县溪口镇农业服务中心（特色产业发展中心）</w:t>
            </w:r>
          </w:p>
        </w:tc>
        <w:tc>
          <w:tcPr>
            <w:tcW w:w="15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10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2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980" w:type="dxa"/>
            <w:gridSpan w:val="4"/>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50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104"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23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11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2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125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5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110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2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11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22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25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5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10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32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outlineLvl w:val="9"/>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121.44</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11.01</w:t>
            </w: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31.32</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7.75</w:t>
            </w: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8.11</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1.59</w:t>
            </w: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48.30</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9.28</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0.55</w:t>
            </w: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6.22</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5.63</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0.17</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10.73</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15.48</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0.43</w:t>
            </w: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13.80</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w:t>
            </w: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0.35</w:t>
            </w: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11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22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25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5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1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323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outlineLvl w:val="9"/>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0" w:firstLineChars="200"/>
              <w:jc w:val="right"/>
              <w:outlineLvl w:val="9"/>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bottom"/>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136.92</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61" w:firstLineChars="200"/>
              <w:jc w:val="center"/>
              <w:textAlignment w:val="center"/>
              <w:outlineLvl w:val="9"/>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360" w:firstLineChars="200"/>
              <w:jc w:val="right"/>
              <w:textAlignment w:val="center"/>
              <w:outlineLvl w:val="9"/>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11.01</w:t>
            </w:r>
            <w:r>
              <w:rPr>
                <w:rFonts w:hint="default" w:ascii="Times New Roman" w:hAnsi="Times New Roman" w:cs="Times New Roman"/>
                <w:color w:val="000000"/>
                <w:sz w:val="18"/>
                <w:u w:color="auto"/>
              </w:rPr>
              <w:t xml:space="preserve"> </w:t>
            </w:r>
          </w:p>
        </w:tc>
      </w:tr>
    </w:tbl>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widowControl/>
        <w:kinsoku/>
        <w:overflowPunct/>
        <w:topLinePunct w:val="0"/>
        <w:autoSpaceDE/>
        <w:autoSpaceDN/>
        <w:bidi w:val="0"/>
        <w:adjustRightInd/>
        <w:snapToGrid/>
        <w:spacing w:line="200" w:lineRule="atLeast"/>
        <w:ind w:firstLine="420" w:firstLineChars="200"/>
        <w:outlineLvl w:val="9"/>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重庆市秀山土家族苗族自治县溪口镇农业服务中心（特色产业发展中心）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bottom"/>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outlineLvl w:val="9"/>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center"/>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402" w:firstLineChars="200"/>
              <w:jc w:val="right"/>
              <w:outlineLvl w:val="9"/>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val="0"/>
              <w:overflowPunct/>
              <w:topLinePunct w:val="0"/>
              <w:autoSpaceDE/>
              <w:autoSpaceDN/>
              <w:bidi w:val="0"/>
              <w:adjustRightInd/>
              <w:snapToGrid/>
              <w:spacing w:line="200" w:lineRule="atLeast"/>
              <w:ind w:firstLine="402" w:firstLineChars="200"/>
              <w:jc w:val="right"/>
              <w:textAlignment w:val="center"/>
              <w:outlineLvl w:val="9"/>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100" w:type="dxa"/>
        <w:tblInd w:w="0" w:type="dxa"/>
        <w:tblLayout w:type="fixed"/>
        <w:tblCellMar>
          <w:top w:w="0" w:type="dxa"/>
          <w:left w:w="170" w:type="dxa"/>
          <w:bottom w:w="0" w:type="dxa"/>
          <w:right w:w="170" w:type="dxa"/>
        </w:tblCellMar>
      </w:tblPr>
      <w:tblGrid>
        <w:gridCol w:w="4068"/>
        <w:gridCol w:w="2180"/>
        <w:gridCol w:w="2129"/>
        <w:gridCol w:w="4555"/>
        <w:gridCol w:w="2168"/>
      </w:tblGrid>
      <w:tr>
        <w:tblPrEx>
          <w:tblLayout w:type="fixed"/>
          <w:tblCellMar>
            <w:top w:w="0" w:type="dxa"/>
            <w:left w:w="170" w:type="dxa"/>
            <w:bottom w:w="0" w:type="dxa"/>
            <w:right w:w="170" w:type="dxa"/>
          </w:tblCellMar>
        </w:tblPrEx>
        <w:trPr>
          <w:trHeight w:val="532" w:hRule="atLeast"/>
        </w:trPr>
        <w:tc>
          <w:tcPr>
            <w:tcW w:w="151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643" w:firstLineChars="200"/>
              <w:jc w:val="center"/>
              <w:textAlignment w:val="bottom"/>
              <w:outlineLvl w:val="9"/>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72" w:hRule="atLeast"/>
        </w:trPr>
        <w:tc>
          <w:tcPr>
            <w:tcW w:w="40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180"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center"/>
              <w:outlineLvl w:val="9"/>
              <w:rPr>
                <w:rFonts w:hint="default" w:ascii="Times New Roman" w:hAnsi="Times New Roman" w:cs="Times New Roman"/>
                <w:color w:val="000000"/>
                <w:sz w:val="20"/>
                <w:szCs w:val="20"/>
              </w:rPr>
            </w:pPr>
          </w:p>
        </w:tc>
        <w:tc>
          <w:tcPr>
            <w:tcW w:w="21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555"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16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532" w:hRule="atLeast"/>
        </w:trPr>
        <w:tc>
          <w:tcPr>
            <w:tcW w:w="6248" w:type="dxa"/>
            <w:gridSpan w:val="2"/>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重庆市秀山土家族苗族自治县溪口镇农业服务中心（特色产业发展中心）</w:t>
            </w:r>
          </w:p>
        </w:tc>
        <w:tc>
          <w:tcPr>
            <w:tcW w:w="2129"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outlineLvl w:val="9"/>
              <w:rPr>
                <w:rFonts w:hint="default" w:ascii="Times New Roman" w:hAnsi="Times New Roman" w:cs="Times New Roman"/>
                <w:color w:val="000000"/>
                <w:sz w:val="20"/>
                <w:szCs w:val="20"/>
              </w:rPr>
            </w:pPr>
          </w:p>
        </w:tc>
        <w:tc>
          <w:tcPr>
            <w:tcW w:w="4555"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outlineLvl w:val="9"/>
              <w:rPr>
                <w:rFonts w:hint="default" w:ascii="Times New Roman" w:hAnsi="Times New Roman" w:cs="Times New Roman"/>
                <w:color w:val="000000"/>
                <w:sz w:val="20"/>
                <w:szCs w:val="20"/>
              </w:rPr>
            </w:pPr>
          </w:p>
        </w:tc>
        <w:tc>
          <w:tcPr>
            <w:tcW w:w="2168" w:type="dxa"/>
            <w:tcBorders>
              <w:top w:val="nil"/>
              <w:left w:val="nil"/>
              <w:bottom w:val="single" w:color="auto" w:sz="4" w:space="0"/>
              <w:right w:val="nil"/>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400" w:firstLineChars="200"/>
              <w:jc w:val="right"/>
              <w:textAlignment w:val="bottom"/>
              <w:outlineLvl w:val="9"/>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1" w:firstLineChars="200"/>
              <w:jc w:val="center"/>
              <w:textAlignment w:val="center"/>
              <w:outlineLvl w:val="9"/>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8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1" w:firstLineChars="200"/>
              <w:jc w:val="center"/>
              <w:textAlignment w:val="center"/>
              <w:outlineLvl w:val="9"/>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2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1" w:firstLineChars="200"/>
              <w:jc w:val="center"/>
              <w:textAlignment w:val="center"/>
              <w:outlineLvl w:val="9"/>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1" w:firstLineChars="200"/>
              <w:jc w:val="center"/>
              <w:textAlignment w:val="center"/>
              <w:outlineLvl w:val="9"/>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1" w:firstLineChars="200"/>
              <w:jc w:val="center"/>
              <w:textAlignment w:val="center"/>
              <w:outlineLvl w:val="9"/>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0"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outlineLvl w:val="9"/>
              <w:rPr>
                <w:rFonts w:hint="default" w:ascii="Times New Roman" w:hAnsi="Times New Roman" w:cs="Times New Roman"/>
                <w:color w:val="000000"/>
                <w:sz w:val="16"/>
                <w:szCs w:val="16"/>
              </w:rPr>
            </w:pP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outlineLvl w:val="9"/>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28" w:hRule="atLeast"/>
        </w:trPr>
        <w:tc>
          <w:tcPr>
            <w:tcW w:w="406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jc w:val="center"/>
              <w:textAlignment w:val="center"/>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textAlignment w:val="bottom"/>
              <w:outlineLvl w:val="9"/>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0.43</w:t>
            </w:r>
            <w:r>
              <w:rPr>
                <w:rFonts w:hint="default" w:ascii="Times New Roman" w:hAnsi="Times New Roman" w:cs="Times New Roman"/>
                <w:color w:val="000000"/>
                <w:sz w:val="16"/>
                <w:u w:color="auto"/>
              </w:rPr>
              <w:t xml:space="preserve"> </w:t>
            </w:r>
          </w:p>
        </w:tc>
        <w:tc>
          <w:tcPr>
            <w:tcW w:w="455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E/>
              <w:autoSpaceDN/>
              <w:bidi w:val="0"/>
              <w:adjustRightInd/>
              <w:snapToGrid/>
              <w:spacing w:line="200" w:lineRule="atLeast"/>
              <w:ind w:firstLine="320" w:firstLineChars="200"/>
              <w:outlineLvl w:val="9"/>
              <w:rPr>
                <w:rFonts w:hint="default" w:ascii="Times New Roman" w:hAnsi="Times New Roman" w:cs="Times New Roman"/>
                <w:color w:val="000000"/>
                <w:sz w:val="16"/>
                <w:szCs w:val="16"/>
              </w:rPr>
            </w:pPr>
          </w:p>
        </w:tc>
        <w:tc>
          <w:tcPr>
            <w:tcW w:w="21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overflowPunct/>
              <w:topLinePunct w:val="0"/>
              <w:autoSpaceDE/>
              <w:autoSpaceDN/>
              <w:bidi w:val="0"/>
              <w:adjustRightInd/>
              <w:snapToGrid/>
              <w:spacing w:line="200" w:lineRule="atLeast"/>
              <w:ind w:firstLine="320" w:firstLineChars="200"/>
              <w:jc w:val="right"/>
              <w:outlineLvl w:val="9"/>
              <w:rPr>
                <w:rFonts w:hint="default" w:ascii="Times New Roman" w:hAnsi="Times New Roman" w:cs="Times New Roman"/>
                <w:color w:val="000000"/>
                <w:sz w:val="16"/>
                <w:szCs w:val="16"/>
              </w:rPr>
            </w:pPr>
          </w:p>
        </w:tc>
      </w:tr>
    </w:tbl>
    <w:p>
      <w:pPr>
        <w:keepNext w:val="0"/>
        <w:keepLines w:val="0"/>
        <w:pageBreakBefore w:val="0"/>
        <w:widowControl/>
        <w:kinsoku/>
        <w:overflowPunct/>
        <w:topLinePunct w:val="0"/>
        <w:autoSpaceDE/>
        <w:autoSpaceDN/>
        <w:bidi w:val="0"/>
        <w:adjustRightInd/>
        <w:snapToGrid/>
        <w:spacing w:line="200" w:lineRule="atLeast"/>
        <w:outlineLvl w:val="9"/>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50C89"/>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D10BD8"/>
    <w:rsid w:val="01F3521E"/>
    <w:rsid w:val="03081DA6"/>
    <w:rsid w:val="030D5CBA"/>
    <w:rsid w:val="031E155A"/>
    <w:rsid w:val="03B87EA0"/>
    <w:rsid w:val="03E3214F"/>
    <w:rsid w:val="044C50BA"/>
    <w:rsid w:val="05BC6D49"/>
    <w:rsid w:val="06194FF1"/>
    <w:rsid w:val="064171F6"/>
    <w:rsid w:val="06A2550B"/>
    <w:rsid w:val="06F80EE2"/>
    <w:rsid w:val="07001CCA"/>
    <w:rsid w:val="075678DB"/>
    <w:rsid w:val="079D7CC7"/>
    <w:rsid w:val="07AD2F48"/>
    <w:rsid w:val="08051BCA"/>
    <w:rsid w:val="086C12F4"/>
    <w:rsid w:val="08705944"/>
    <w:rsid w:val="08904F32"/>
    <w:rsid w:val="08BA052C"/>
    <w:rsid w:val="08DB07BA"/>
    <w:rsid w:val="08E15E22"/>
    <w:rsid w:val="0969353F"/>
    <w:rsid w:val="098305D0"/>
    <w:rsid w:val="0A3317EA"/>
    <w:rsid w:val="0A337CAA"/>
    <w:rsid w:val="0A5C4B69"/>
    <w:rsid w:val="0A86124A"/>
    <w:rsid w:val="0AB54CC0"/>
    <w:rsid w:val="0B9335CE"/>
    <w:rsid w:val="0BF2311A"/>
    <w:rsid w:val="0C336A51"/>
    <w:rsid w:val="0C770CF5"/>
    <w:rsid w:val="0C7927C4"/>
    <w:rsid w:val="0C9B098C"/>
    <w:rsid w:val="0D673E11"/>
    <w:rsid w:val="0DBB1AC3"/>
    <w:rsid w:val="0DDA54E4"/>
    <w:rsid w:val="0E3A5F83"/>
    <w:rsid w:val="0F836721"/>
    <w:rsid w:val="0FA25D96"/>
    <w:rsid w:val="0FA574E7"/>
    <w:rsid w:val="107B59E5"/>
    <w:rsid w:val="10EC0126"/>
    <w:rsid w:val="10F70B9A"/>
    <w:rsid w:val="111445C7"/>
    <w:rsid w:val="114278C6"/>
    <w:rsid w:val="1158083A"/>
    <w:rsid w:val="11643A4B"/>
    <w:rsid w:val="11ED0F98"/>
    <w:rsid w:val="11F03528"/>
    <w:rsid w:val="12871521"/>
    <w:rsid w:val="12C921C4"/>
    <w:rsid w:val="134A036F"/>
    <w:rsid w:val="13871C70"/>
    <w:rsid w:val="13A71CB4"/>
    <w:rsid w:val="13AF1D43"/>
    <w:rsid w:val="13CE1647"/>
    <w:rsid w:val="13EE114D"/>
    <w:rsid w:val="13FD55AB"/>
    <w:rsid w:val="14200702"/>
    <w:rsid w:val="14604A56"/>
    <w:rsid w:val="14735F91"/>
    <w:rsid w:val="163A6CEE"/>
    <w:rsid w:val="173708E3"/>
    <w:rsid w:val="17C374FC"/>
    <w:rsid w:val="182E4AB6"/>
    <w:rsid w:val="189079DC"/>
    <w:rsid w:val="189B0D0B"/>
    <w:rsid w:val="18B43F7C"/>
    <w:rsid w:val="18C5058D"/>
    <w:rsid w:val="194A1770"/>
    <w:rsid w:val="19B906A4"/>
    <w:rsid w:val="1ACA50D0"/>
    <w:rsid w:val="1B6F15B6"/>
    <w:rsid w:val="1BAA2EDC"/>
    <w:rsid w:val="1BAD4929"/>
    <w:rsid w:val="1C0B19EC"/>
    <w:rsid w:val="1CA55E64"/>
    <w:rsid w:val="1CEB6E16"/>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4216FC"/>
    <w:rsid w:val="21556F04"/>
    <w:rsid w:val="22403BD3"/>
    <w:rsid w:val="22D94E8B"/>
    <w:rsid w:val="234C6781"/>
    <w:rsid w:val="24B92327"/>
    <w:rsid w:val="24C14514"/>
    <w:rsid w:val="2533755C"/>
    <w:rsid w:val="25791755"/>
    <w:rsid w:val="26021E42"/>
    <w:rsid w:val="26396DF4"/>
    <w:rsid w:val="26A46FF5"/>
    <w:rsid w:val="26AD1C56"/>
    <w:rsid w:val="26B977B6"/>
    <w:rsid w:val="27167136"/>
    <w:rsid w:val="271B442C"/>
    <w:rsid w:val="27B23302"/>
    <w:rsid w:val="29310A5F"/>
    <w:rsid w:val="29C37A35"/>
    <w:rsid w:val="2A076083"/>
    <w:rsid w:val="2A73162E"/>
    <w:rsid w:val="2B167953"/>
    <w:rsid w:val="2B200583"/>
    <w:rsid w:val="2B8209DE"/>
    <w:rsid w:val="2C636760"/>
    <w:rsid w:val="2C6762A3"/>
    <w:rsid w:val="2CCF6C05"/>
    <w:rsid w:val="2CDF6CEA"/>
    <w:rsid w:val="2DFE4A1B"/>
    <w:rsid w:val="2F443024"/>
    <w:rsid w:val="2FCA4B37"/>
    <w:rsid w:val="2FE029D7"/>
    <w:rsid w:val="2FF06E00"/>
    <w:rsid w:val="30586FEC"/>
    <w:rsid w:val="306B4F98"/>
    <w:rsid w:val="31551A69"/>
    <w:rsid w:val="315F0B22"/>
    <w:rsid w:val="31D84415"/>
    <w:rsid w:val="321A2672"/>
    <w:rsid w:val="32285F6F"/>
    <w:rsid w:val="32770556"/>
    <w:rsid w:val="329C0913"/>
    <w:rsid w:val="32AA0460"/>
    <w:rsid w:val="3337290D"/>
    <w:rsid w:val="33E31118"/>
    <w:rsid w:val="33EF7674"/>
    <w:rsid w:val="342D7BC6"/>
    <w:rsid w:val="352930DB"/>
    <w:rsid w:val="35573069"/>
    <w:rsid w:val="355F6038"/>
    <w:rsid w:val="358C217E"/>
    <w:rsid w:val="35F10D53"/>
    <w:rsid w:val="363D44CD"/>
    <w:rsid w:val="36C9128A"/>
    <w:rsid w:val="37494BA5"/>
    <w:rsid w:val="37841E99"/>
    <w:rsid w:val="37BF1123"/>
    <w:rsid w:val="37D409AA"/>
    <w:rsid w:val="383C3F15"/>
    <w:rsid w:val="38BE4696"/>
    <w:rsid w:val="3939115E"/>
    <w:rsid w:val="39B82A39"/>
    <w:rsid w:val="39C42CA8"/>
    <w:rsid w:val="39DC4FD6"/>
    <w:rsid w:val="39F03D7A"/>
    <w:rsid w:val="39F33306"/>
    <w:rsid w:val="3A2C1C67"/>
    <w:rsid w:val="3ADD7F09"/>
    <w:rsid w:val="3B163751"/>
    <w:rsid w:val="3B1705E5"/>
    <w:rsid w:val="3B18334B"/>
    <w:rsid w:val="3B36794F"/>
    <w:rsid w:val="3B592FD1"/>
    <w:rsid w:val="3B6F6EE0"/>
    <w:rsid w:val="3C566AD6"/>
    <w:rsid w:val="3C594871"/>
    <w:rsid w:val="3C6A5B02"/>
    <w:rsid w:val="3D2757A1"/>
    <w:rsid w:val="3D3D4FC4"/>
    <w:rsid w:val="3DDF3AB1"/>
    <w:rsid w:val="3DFD250C"/>
    <w:rsid w:val="3E1D0952"/>
    <w:rsid w:val="3E42660A"/>
    <w:rsid w:val="3E546FC5"/>
    <w:rsid w:val="3E7555B1"/>
    <w:rsid w:val="3E787ED9"/>
    <w:rsid w:val="3F032E93"/>
    <w:rsid w:val="3F0527E5"/>
    <w:rsid w:val="3F694D83"/>
    <w:rsid w:val="3F885DCC"/>
    <w:rsid w:val="3FCD675E"/>
    <w:rsid w:val="4004000C"/>
    <w:rsid w:val="403A6007"/>
    <w:rsid w:val="40464F1E"/>
    <w:rsid w:val="40BD5482"/>
    <w:rsid w:val="411B6CE5"/>
    <w:rsid w:val="412070D7"/>
    <w:rsid w:val="41314E40"/>
    <w:rsid w:val="41E0734B"/>
    <w:rsid w:val="426C1EA8"/>
    <w:rsid w:val="42736402"/>
    <w:rsid w:val="42E86A87"/>
    <w:rsid w:val="43307B09"/>
    <w:rsid w:val="439A3EB9"/>
    <w:rsid w:val="43BB152F"/>
    <w:rsid w:val="444427C7"/>
    <w:rsid w:val="44C37687"/>
    <w:rsid w:val="45CB699A"/>
    <w:rsid w:val="460E3803"/>
    <w:rsid w:val="465B470D"/>
    <w:rsid w:val="469D6AD4"/>
    <w:rsid w:val="46FA2621"/>
    <w:rsid w:val="471E6C84"/>
    <w:rsid w:val="4748792B"/>
    <w:rsid w:val="475D719D"/>
    <w:rsid w:val="47674801"/>
    <w:rsid w:val="47F91F7E"/>
    <w:rsid w:val="48225EF7"/>
    <w:rsid w:val="488F1ACB"/>
    <w:rsid w:val="488F422B"/>
    <w:rsid w:val="48E36915"/>
    <w:rsid w:val="48EB6572"/>
    <w:rsid w:val="494B612B"/>
    <w:rsid w:val="495C4A24"/>
    <w:rsid w:val="497135DF"/>
    <w:rsid w:val="4A263DF2"/>
    <w:rsid w:val="4A6F6675"/>
    <w:rsid w:val="4B135857"/>
    <w:rsid w:val="4B7951CB"/>
    <w:rsid w:val="4B7C315C"/>
    <w:rsid w:val="4BF177A7"/>
    <w:rsid w:val="4CC2724E"/>
    <w:rsid w:val="4D1761D1"/>
    <w:rsid w:val="4D2924B2"/>
    <w:rsid w:val="4DAC4ACA"/>
    <w:rsid w:val="4DBE01D2"/>
    <w:rsid w:val="4E033711"/>
    <w:rsid w:val="4F0C6BA3"/>
    <w:rsid w:val="4F0E6229"/>
    <w:rsid w:val="4F186D58"/>
    <w:rsid w:val="500B6AA7"/>
    <w:rsid w:val="50A55CC4"/>
    <w:rsid w:val="50F06B6E"/>
    <w:rsid w:val="51D21804"/>
    <w:rsid w:val="52234D33"/>
    <w:rsid w:val="522F6E0C"/>
    <w:rsid w:val="52463BA1"/>
    <w:rsid w:val="5249715B"/>
    <w:rsid w:val="52F163D4"/>
    <w:rsid w:val="531A2DB4"/>
    <w:rsid w:val="53C0244D"/>
    <w:rsid w:val="53DD4D4E"/>
    <w:rsid w:val="53E578CE"/>
    <w:rsid w:val="53F629DA"/>
    <w:rsid w:val="541330F0"/>
    <w:rsid w:val="54272666"/>
    <w:rsid w:val="543B029D"/>
    <w:rsid w:val="5461476F"/>
    <w:rsid w:val="54861779"/>
    <w:rsid w:val="549B481D"/>
    <w:rsid w:val="552256E1"/>
    <w:rsid w:val="554E5773"/>
    <w:rsid w:val="555829E0"/>
    <w:rsid w:val="555A3CBC"/>
    <w:rsid w:val="5582012B"/>
    <w:rsid w:val="558E4E05"/>
    <w:rsid w:val="55BE2E85"/>
    <w:rsid w:val="561E6386"/>
    <w:rsid w:val="56370802"/>
    <w:rsid w:val="56530F5D"/>
    <w:rsid w:val="567700D3"/>
    <w:rsid w:val="56FF7E9E"/>
    <w:rsid w:val="578867FC"/>
    <w:rsid w:val="57E67D02"/>
    <w:rsid w:val="582C6DE6"/>
    <w:rsid w:val="5842572D"/>
    <w:rsid w:val="58F75608"/>
    <w:rsid w:val="5A3B59D6"/>
    <w:rsid w:val="5AD134D8"/>
    <w:rsid w:val="5AFF59FE"/>
    <w:rsid w:val="5C1548CD"/>
    <w:rsid w:val="5C263CE4"/>
    <w:rsid w:val="5C5D2777"/>
    <w:rsid w:val="5C9A4EAF"/>
    <w:rsid w:val="5CE648D9"/>
    <w:rsid w:val="5CF66BF3"/>
    <w:rsid w:val="5D290C69"/>
    <w:rsid w:val="5F2D4A41"/>
    <w:rsid w:val="60346A3B"/>
    <w:rsid w:val="6034757E"/>
    <w:rsid w:val="60C74F6C"/>
    <w:rsid w:val="61025A59"/>
    <w:rsid w:val="613D5BBC"/>
    <w:rsid w:val="61536C39"/>
    <w:rsid w:val="61B31505"/>
    <w:rsid w:val="624721B3"/>
    <w:rsid w:val="62944DD7"/>
    <w:rsid w:val="6319381F"/>
    <w:rsid w:val="63C25DC5"/>
    <w:rsid w:val="63C62057"/>
    <w:rsid w:val="64571EF5"/>
    <w:rsid w:val="64FB113D"/>
    <w:rsid w:val="651A06D8"/>
    <w:rsid w:val="656152C6"/>
    <w:rsid w:val="6587477F"/>
    <w:rsid w:val="658C3A08"/>
    <w:rsid w:val="65BA652F"/>
    <w:rsid w:val="65C031CA"/>
    <w:rsid w:val="65CE6852"/>
    <w:rsid w:val="66267C04"/>
    <w:rsid w:val="663F505A"/>
    <w:rsid w:val="66EE5541"/>
    <w:rsid w:val="67924660"/>
    <w:rsid w:val="681E620D"/>
    <w:rsid w:val="68407834"/>
    <w:rsid w:val="686D05B3"/>
    <w:rsid w:val="6883293E"/>
    <w:rsid w:val="688412AD"/>
    <w:rsid w:val="68EB1B71"/>
    <w:rsid w:val="6A6C7940"/>
    <w:rsid w:val="6AAD2300"/>
    <w:rsid w:val="6B474EF5"/>
    <w:rsid w:val="6C0A5AC5"/>
    <w:rsid w:val="6C4F4FC5"/>
    <w:rsid w:val="6C560CAE"/>
    <w:rsid w:val="6C576495"/>
    <w:rsid w:val="6D4D0DB7"/>
    <w:rsid w:val="6D903FF5"/>
    <w:rsid w:val="6DA955B8"/>
    <w:rsid w:val="6DE346AB"/>
    <w:rsid w:val="6DE5391A"/>
    <w:rsid w:val="6EFD1324"/>
    <w:rsid w:val="6F5A53AC"/>
    <w:rsid w:val="6FAC003D"/>
    <w:rsid w:val="6FE55E12"/>
    <w:rsid w:val="6FFB2E76"/>
    <w:rsid w:val="704A283B"/>
    <w:rsid w:val="708F6F7F"/>
    <w:rsid w:val="709D564C"/>
    <w:rsid w:val="70D94BD3"/>
    <w:rsid w:val="71C34D91"/>
    <w:rsid w:val="71D32EFC"/>
    <w:rsid w:val="722465B4"/>
    <w:rsid w:val="72C960E1"/>
    <w:rsid w:val="72DB435C"/>
    <w:rsid w:val="72E2613A"/>
    <w:rsid w:val="72F771F4"/>
    <w:rsid w:val="73934AD2"/>
    <w:rsid w:val="750837F0"/>
    <w:rsid w:val="754758CF"/>
    <w:rsid w:val="764F62AB"/>
    <w:rsid w:val="765C45EC"/>
    <w:rsid w:val="768A7619"/>
    <w:rsid w:val="772E1EBA"/>
    <w:rsid w:val="781926BC"/>
    <w:rsid w:val="79310078"/>
    <w:rsid w:val="79542DAE"/>
    <w:rsid w:val="796D60A4"/>
    <w:rsid w:val="79A031D5"/>
    <w:rsid w:val="79C642AE"/>
    <w:rsid w:val="7A1525F7"/>
    <w:rsid w:val="7B420052"/>
    <w:rsid w:val="7BD06A28"/>
    <w:rsid w:val="7C3A7C0B"/>
    <w:rsid w:val="7C5248E4"/>
    <w:rsid w:val="7C566698"/>
    <w:rsid w:val="7C5866A3"/>
    <w:rsid w:val="7CE16303"/>
    <w:rsid w:val="7D7406BB"/>
    <w:rsid w:val="7DE94331"/>
    <w:rsid w:val="7F446A19"/>
    <w:rsid w:val="7F7452B9"/>
    <w:rsid w:val="7FD33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character" w:customStyle="1" w:styleId="16">
    <w:name w:val="font71"/>
    <w:basedOn w:val="7"/>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7</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2024-09-19T12:13:50Z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