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bidi w:val="0"/>
        <w:adjustRightInd/>
        <w:spacing w:before="0" w:beforeAutospacing="0" w:afterAutospacing="0" w:line="560" w:lineRule="exact"/>
        <w:ind w:firstLine="720" w:firstLineChars="20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重庆市秀山土家族苗族自治县溪口镇人民政府（本级）</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kinsoku/>
        <w:overflowPunct/>
        <w:bidi w:val="0"/>
        <w:adjustRightInd/>
        <w:spacing w:before="0" w:beforeAutospacing="0" w:afterAutospacing="0" w:line="560" w:lineRule="exact"/>
        <w:ind w:firstLine="720" w:firstLineChars="200"/>
        <w:jc w:val="center"/>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贯彻执行法律、法规、规章和县人民政府的决策部署、依法管理本辖区内公共事务，制定并组织实施经济、科技、和社会发展计划，组织经济运行，促进经济发展。部署重点工程建设、地方道路建设，以及公共设施、水利设施的管理，负责自然资源和生态环境的保护，做好护林防火工作。重点履行社会管理和公共服务职能，抓好精神文明建设，丰富群众文化生活，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1.党政办公室。</w:t>
      </w:r>
      <w:r>
        <w:rPr>
          <w:rFonts w:hint="default" w:ascii="Times New Roman" w:hAnsi="Times New Roman" w:eastAsia="方正仿宋_GBK" w:cs="宋体"/>
          <w:kern w:val="0"/>
          <w:sz w:val="32"/>
          <w:szCs w:val="32"/>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政务公开、机关事务、后勤服务等工作；负责党委、政府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2.经济发展办公室（农环办公室）。</w:t>
      </w:r>
      <w:r>
        <w:rPr>
          <w:rFonts w:hint="default" w:ascii="Times New Roman" w:hAnsi="Times New Roman" w:eastAsia="方正仿宋_GBK" w:cs="宋体"/>
          <w:kern w:val="0"/>
          <w:sz w:val="32"/>
          <w:szCs w:val="32"/>
          <w:lang w:val="en-US" w:eastAsia="zh-CN" w:bidi="ar-SA"/>
        </w:rPr>
        <w:t>主要职责：宣传贯彻经济发展方针政策，编制辖区经济社会发展规划、年度计划；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3.民政和社会事务办公室（挂卫生健康办公室牌子）。</w:t>
      </w:r>
      <w:r>
        <w:rPr>
          <w:rFonts w:hint="default" w:ascii="Times New Roman" w:hAnsi="Times New Roman" w:eastAsia="方正仿宋_GBK" w:cs="宋体"/>
          <w:kern w:val="0"/>
          <w:sz w:val="32"/>
          <w:szCs w:val="32"/>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4.平安建设办公室。</w:t>
      </w:r>
      <w:r>
        <w:rPr>
          <w:rFonts w:hint="default" w:ascii="Times New Roman" w:hAnsi="Times New Roman" w:eastAsia="方正仿宋_GBK" w:cs="宋体"/>
          <w:kern w:val="0"/>
          <w:sz w:val="32"/>
          <w:szCs w:val="32"/>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5.规划建设管理环保办公室。</w:t>
      </w:r>
      <w:r>
        <w:rPr>
          <w:rFonts w:hint="default" w:ascii="Times New Roman" w:hAnsi="Times New Roman" w:eastAsia="方正仿宋_GBK" w:cs="宋体"/>
          <w:kern w:val="0"/>
          <w:sz w:val="32"/>
          <w:szCs w:val="32"/>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6.财政办公室。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w:t>
      </w:r>
      <w:r>
        <w:rPr>
          <w:rFonts w:hint="default" w:ascii="Times New Roman" w:hAnsi="Times New Roman" w:eastAsia="方正仿宋_GBK" w:cs="宋体"/>
          <w:kern w:val="0"/>
          <w:sz w:val="32"/>
          <w:szCs w:val="32"/>
          <w:lang w:val="en-US" w:eastAsia="zh-CN" w:bidi="ar-SA"/>
        </w:rPr>
        <w:t>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7.应急管理办公室。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w:t>
      </w:r>
      <w:r>
        <w:rPr>
          <w:rFonts w:hint="default" w:ascii="Times New Roman" w:hAnsi="Times New Roman" w:eastAsia="方正仿宋_GBK" w:cs="宋体"/>
          <w:kern w:val="0"/>
          <w:sz w:val="32"/>
          <w:szCs w:val="32"/>
          <w:lang w:val="en-US" w:eastAsia="zh-CN" w:bidi="ar-SA"/>
        </w:rPr>
        <w:t>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8.扶贫办公室（项目办公室）。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职责</w:t>
      </w:r>
      <w:r>
        <w:rPr>
          <w:rFonts w:hint="default" w:ascii="Times New Roman" w:hAnsi="Times New Roman" w:eastAsia="方正仿宋_GBK" w:cs="宋体"/>
          <w:kern w:val="0"/>
          <w:sz w:val="32"/>
          <w:szCs w:val="32"/>
          <w:lang w:val="en-US" w:eastAsia="zh-CN" w:bidi="ar-SA"/>
        </w:rPr>
        <w:t>：脱贫攻坚、项目建设；负责基本建设、扶贫开发、乡村旅游等项目的规划申报、建设管理。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9.农业服务中心。</w:t>
      </w:r>
      <w:r>
        <w:rPr>
          <w:rFonts w:hint="default" w:ascii="Times New Roman" w:hAnsi="Times New Roman" w:eastAsia="方正仿宋_GBK" w:cs="宋体"/>
          <w:kern w:val="0"/>
          <w:sz w:val="32"/>
          <w:szCs w:val="32"/>
          <w:lang w:val="en-US" w:eastAsia="zh-CN" w:bidi="ar-SA"/>
        </w:rPr>
        <w:t>主要职责：承担农技、农机、畜牧、水利水产等方面的技术推广、信息服务、水土保持、灾害防治、土地规模经营管理、农产品质量安全监管，农业综合服务等工作。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10.文化服务中心。</w:t>
      </w:r>
      <w:r>
        <w:rPr>
          <w:rFonts w:hint="default" w:ascii="Times New Roman" w:hAnsi="Times New Roman" w:eastAsia="方正仿宋_GBK" w:cs="宋体"/>
          <w:kern w:val="0"/>
          <w:sz w:val="32"/>
          <w:szCs w:val="32"/>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11.劳动就业和社会保障服务所。</w:t>
      </w:r>
      <w:r>
        <w:rPr>
          <w:rFonts w:hint="default" w:ascii="Times New Roman" w:hAnsi="Times New Roman" w:eastAsia="方正仿宋_GBK" w:cs="宋体"/>
          <w:kern w:val="0"/>
          <w:sz w:val="32"/>
          <w:szCs w:val="32"/>
          <w:lang w:val="en-US" w:eastAsia="zh-CN" w:bidi="ar-SA"/>
        </w:rPr>
        <w:t>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12.退役军人服务站。</w:t>
      </w:r>
      <w:r>
        <w:rPr>
          <w:rFonts w:hint="default" w:ascii="Times New Roman" w:hAnsi="Times New Roman" w:eastAsia="方正仿宋_GBK" w:cs="宋体"/>
          <w:kern w:val="0"/>
          <w:sz w:val="32"/>
          <w:szCs w:val="32"/>
          <w:lang w:val="en-US" w:eastAsia="zh-CN" w:bidi="ar-SA"/>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13.综合行政执法大队。</w:t>
      </w:r>
      <w:r>
        <w:rPr>
          <w:rFonts w:hint="default" w:ascii="Times New Roman" w:hAnsi="Times New Roman" w:eastAsia="方正仿宋_GBK" w:cs="宋体"/>
          <w:kern w:val="0"/>
          <w:sz w:val="32"/>
          <w:szCs w:val="32"/>
          <w:lang w:val="en-US" w:eastAsia="zh-CN" w:bidi="ar-SA"/>
        </w:rPr>
        <w:t>主要职责：集中行使乡镇依法承担和部门授权或委托的各项行政执法权，制止、打击各类行政违法行为，协助、配合县级有关部门及其派驻机构开展联合执法。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2023年度收入总计1759.92万元，支出总计1759.92万元。收支较上年决算数减少2102.54万元，下降54.44%，</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2023年度收入合计1759.92万元，较上年决算数减少1885.79万元，下降51.73%，</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其中：财政拨款收入1759.92万元，占100.00%；事业收入0.00万元，占0.00%；经营收入0.00万元，占0.00%；其他收入0.00万元，占0.00%。此外，使用非财政拨款结余和专用结余0.00万元，年初结转和结余0.00万元。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2023年度支出合计1759.92万元，较上年决算数减少2102.54万元，下降54.44%，</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其中：基本支出717.73万元，占40.78%；项目支出1042.19万元，占59.22%；经营支出0.00万元，占0.00%。此外，结余分配0.00万元。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2023年度年末结转和结余0.00万元，较上年决算数无增减，主要原因是2023年预算内资金支付效率较低，造成结转结余。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2023年度财政拨款收、支总计1759.92万元。与2022年相比，财政拨款收、支总计各减少1886.49万元，下降51.74%。</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2023年度一般公共预算财政拨款收入1749.68万元，较上年决算数减少1894.43万元，下降51.99%。</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较年初预算数增加998.71万元，增长132.99%。主要原因是部分农林水预算与基础设施、生产发展等未纳入年初预算。此外，年初财政拨款结转和结余0.00万元。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2023年度一般公共预算财政拨款支出1749.68万元，较上年决算数减少1895.13万元，下降52.00%。</w:t>
      </w:r>
      <w:r>
        <w:rPr>
          <w:rFonts w:hint="eastAsia" w:ascii="Times New Roman" w:hAnsi="Times New Roman" w:eastAsia="方正仿宋_GBK" w:cs="宋体"/>
          <w:kern w:val="0"/>
          <w:sz w:val="32"/>
          <w:szCs w:val="32"/>
          <w:lang w:val="en-US" w:eastAsia="zh-CN" w:bidi="ar-SA"/>
        </w:rPr>
        <w:t>主要原因是2022年度农业服务中心（特色产业发展中心）、文化服务中心等其他6个单位与本单位合并编报决算，2023年度按照市财政局要求独立编报决算，故造成与上年对比存在大幅度下降。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较年初预算数增加803.97万元，增长85.01%。主要原因是部分农林水预算与卫生健康支出、城乡社区支出等未纳入年初预算。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2023年度年末一般公共预算财政拨款结转和结余0.00万元，较上年决算数无增减，主要原因是</w:t>
      </w:r>
      <w:r>
        <w:rPr>
          <w:rFonts w:hint="eastAsia" w:ascii="Times New Roman" w:hAnsi="Times New Roman" w:eastAsia="方正仿宋_GBK" w:cs="宋体"/>
          <w:kern w:val="0"/>
          <w:sz w:val="32"/>
          <w:szCs w:val="32"/>
          <w:lang w:val="zh-CN" w:eastAsia="zh-CN" w:bidi="ar-SA"/>
        </w:rPr>
        <w:t>上年度实行预算一体化后执行了预算指标零结转的政策，故较上年决算数无增减，</w:t>
      </w:r>
      <w:r>
        <w:rPr>
          <w:rFonts w:hint="eastAsia" w:ascii="Times New Roman" w:hAnsi="Times New Roman" w:eastAsia="方正仿宋_GBK" w:cs="宋体"/>
          <w:kern w:val="0"/>
          <w:sz w:val="32"/>
          <w:szCs w:val="32"/>
          <w:lang w:val="en-US" w:eastAsia="zh-CN" w:bidi="ar-SA"/>
        </w:rPr>
        <w:t>2022年度本单位与部门合并编报决算，按照市财政局要求，2023年独立编报决算，故与上年决算数相比无增减。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（1）一般公共服务支出587.92万元，占33.60%，较年初预算数增加10.77万元，增长1.87%，主要原因是本年度财政拨款收入增加，主要用于缴纳职工工资、社保、电费、水费。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（2）国防支出2.94万元，占0.17%，较年初预算数增加2.94万元，增长100.00%，主要是用于民兵相关办公支出。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3</w:t>
      </w:r>
      <w:r>
        <w:rPr>
          <w:rFonts w:hint="default" w:ascii="Times New Roman" w:hAnsi="Times New Roman" w:eastAsia="方正仿宋_GBK" w:cs="宋体"/>
          <w:kern w:val="0"/>
          <w:sz w:val="32"/>
          <w:szCs w:val="32"/>
          <w:lang w:val="en-US" w:eastAsia="zh-CN" w:bidi="ar-SA"/>
        </w:rPr>
        <w:t>）公共安全支出7.88万元，占0.45%，较年初预算数增加7.88万元，增长100.00%，主要原因是公共安全支出年初未纳入预算，主要用于开展信访劝返工作、公共安全宣传教育等开支。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4</w:t>
      </w:r>
      <w:r>
        <w:rPr>
          <w:rFonts w:hint="default" w:ascii="Times New Roman" w:hAnsi="Times New Roman" w:eastAsia="方正仿宋_GBK" w:cs="宋体"/>
          <w:kern w:val="0"/>
          <w:sz w:val="32"/>
          <w:szCs w:val="32"/>
          <w:lang w:val="en-US" w:eastAsia="zh-CN" w:bidi="ar-SA"/>
        </w:rPr>
        <w:t>）社会保障与就业支出94.23万元，占5.39%，较年初预算数减少9.15万元，下降8.85%，主要用于保障人员工资、社保、优抚对象补助、城镇农村低保。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5</w:t>
      </w:r>
      <w:r>
        <w:rPr>
          <w:rFonts w:hint="default" w:ascii="Times New Roman" w:hAnsi="Times New Roman" w:eastAsia="方正仿宋_GBK" w:cs="宋体"/>
          <w:kern w:val="0"/>
          <w:sz w:val="32"/>
          <w:szCs w:val="32"/>
          <w:lang w:val="en-US" w:eastAsia="zh-CN" w:bidi="ar-SA"/>
        </w:rPr>
        <w:t>）卫生健康支出44.87万元，占2.56%，较年初预算数增加19.04万元，增长73.71%，主要原因是部分经费年初未纳入预算。主要用于职工的医疗保险缴费、疫情防控相关开支等。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6</w:t>
      </w:r>
      <w:r>
        <w:rPr>
          <w:rFonts w:hint="default" w:ascii="Times New Roman" w:hAnsi="Times New Roman" w:eastAsia="方正仿宋_GBK" w:cs="宋体"/>
          <w:kern w:val="0"/>
          <w:sz w:val="32"/>
          <w:szCs w:val="32"/>
          <w:lang w:val="en-US" w:eastAsia="zh-CN" w:bidi="ar-SA"/>
        </w:rPr>
        <w:t>）节能环保支出48.00万元，占2.74%，较年初预算数减少2.00万元，下降4.00%，主要是用于垃圾转运、五龙居委会农村堰渠水毁维修、环卫工人工资和保险缴费、五龙集镇安置点基础设施建设工程。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7</w:t>
      </w:r>
      <w:r>
        <w:rPr>
          <w:rFonts w:hint="default" w:ascii="Times New Roman" w:hAnsi="Times New Roman" w:eastAsia="方正仿宋_GBK" w:cs="宋体"/>
          <w:kern w:val="0"/>
          <w:sz w:val="32"/>
          <w:szCs w:val="32"/>
          <w:lang w:val="en-US" w:eastAsia="zh-CN" w:bidi="ar-SA"/>
        </w:rPr>
        <w:t>）城乡社区支出119.00万元，占6.80%，较年初预算数增加119.00万元，增长100.00%，主要是用于黄杨扁担村传统村落整治项目。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8</w:t>
      </w:r>
      <w:r>
        <w:rPr>
          <w:rFonts w:hint="default" w:ascii="Times New Roman" w:hAnsi="Times New Roman" w:eastAsia="方正仿宋_GBK" w:cs="宋体"/>
          <w:kern w:val="0"/>
          <w:sz w:val="32"/>
          <w:szCs w:val="32"/>
          <w:lang w:val="en-US" w:eastAsia="zh-CN" w:bidi="ar-SA"/>
        </w:rPr>
        <w:t>）农林水支出737.94万元，占42.18%，较年初预算数增加596.07万元，增长420.15%，主要原因是部分农业水支出年初未纳入预算。主要用于银花、蔬菜、冷水鱼、黄精产业项目建设关管护、农村卫生厕所改造等。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9</w:t>
      </w:r>
      <w:r>
        <w:rPr>
          <w:rFonts w:hint="default" w:ascii="Times New Roman" w:hAnsi="Times New Roman" w:eastAsia="方正仿宋_GBK" w:cs="宋体"/>
          <w:kern w:val="0"/>
          <w:sz w:val="32"/>
          <w:szCs w:val="32"/>
          <w:lang w:val="en-US" w:eastAsia="zh-CN" w:bidi="ar-SA"/>
        </w:rPr>
        <w:t>）资源勘探信息等支出10.00万元，占0.57%，较年初预算数增加10.00万元，增长100.00%，主要原因是资源勘探信息等支出年初未纳入预算。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w:t>
      </w:r>
      <w:r>
        <w:rPr>
          <w:rFonts w:hint="eastAsia" w:ascii="Times New Roman" w:hAnsi="Times New Roman" w:eastAsia="方正仿宋_GBK" w:cs="宋体"/>
          <w:kern w:val="0"/>
          <w:sz w:val="32"/>
          <w:szCs w:val="32"/>
          <w:lang w:val="en-US" w:eastAsia="zh-CN" w:bidi="ar-SA"/>
        </w:rPr>
        <w:t>0</w:t>
      </w:r>
      <w:r>
        <w:rPr>
          <w:rFonts w:hint="default" w:ascii="Times New Roman" w:hAnsi="Times New Roman" w:eastAsia="方正仿宋_GBK" w:cs="宋体"/>
          <w:kern w:val="0"/>
          <w:sz w:val="32"/>
          <w:szCs w:val="32"/>
          <w:lang w:val="en-US" w:eastAsia="zh-CN" w:bidi="ar-SA"/>
        </w:rPr>
        <w:t>）自然资源海洋气象等支出42.00万元，占2.40%，较年初预算数增加42.00万元，增长100.00%，主要原因是自然资源海洋气象等支出年初未纳入预算。主要用于中和村荒地恢复、国土空间规划、耕地恢复奖补。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w:t>
      </w:r>
      <w:r>
        <w:rPr>
          <w:rFonts w:hint="eastAsia" w:ascii="Times New Roman" w:hAnsi="Times New Roman" w:eastAsia="方正仿宋_GBK" w:cs="宋体"/>
          <w:kern w:val="0"/>
          <w:sz w:val="32"/>
          <w:szCs w:val="32"/>
          <w:lang w:val="en-US" w:eastAsia="zh-CN" w:bidi="ar-SA"/>
        </w:rPr>
        <w:t>1</w:t>
      </w:r>
      <w:r>
        <w:rPr>
          <w:rFonts w:hint="default" w:ascii="Times New Roman" w:hAnsi="Times New Roman" w:eastAsia="方正仿宋_GBK" w:cs="宋体"/>
          <w:kern w:val="0"/>
          <w:sz w:val="32"/>
          <w:szCs w:val="32"/>
          <w:lang w:val="en-US" w:eastAsia="zh-CN" w:bidi="ar-SA"/>
        </w:rPr>
        <w:t>）住房保障支出54.90万元，占3.14%，较年初预算数增加7.42万元，增长15.63%，主要原因是2023年存在人员增减变动，主要用于缴纳职工的住房公积金。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2023年度一般公共财政拨款基本支出717.73万元。其中：人员经费614.58万元，较上年决算数减少455.13万元，下降42.55%，主要原因是</w:t>
      </w:r>
      <w:r>
        <w:rPr>
          <w:rFonts w:hint="eastAsia" w:ascii="Times New Roman" w:hAnsi="Times New Roman" w:eastAsia="方正仿宋_GBK" w:cs="宋体"/>
          <w:kern w:val="0"/>
          <w:sz w:val="32"/>
          <w:szCs w:val="32"/>
          <w:lang w:val="en-US" w:eastAsia="zh-CN" w:bidi="ar-SA"/>
        </w:rPr>
        <w:t>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人员经费用途主要包括人员经费用途主要包括职工工资发放、保险和公积金配套缴纳、退休人员健康休养费、职工年终绩效奖和平时考核奖等。公用经费103.15万元，较上年决算数减少28.84万元，下降21.85%，主要原因是</w:t>
      </w:r>
      <w:r>
        <w:rPr>
          <w:rFonts w:hint="eastAsia" w:ascii="Times New Roman" w:hAnsi="Times New Roman" w:eastAsia="方正仿宋_GBK" w:cs="宋体"/>
          <w:kern w:val="0"/>
          <w:sz w:val="32"/>
          <w:szCs w:val="32"/>
          <w:lang w:val="en-US" w:eastAsia="zh-CN" w:bidi="ar-SA"/>
        </w:rPr>
        <w:t>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公用经费用途主要包括主要包括包括机关运转水、电、网络费、办公设备和耗材采购费，报刊订阅费，车辆运行维修维护费，机关食堂用餐开支，职工差旅费、培训费和通讯费以及一些其他日常开支。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政府性基金预算财政拨款年初结转结余0.00万元，年末结转结余0.00万元。本年收入10.24万元，较上年决算数增加8.64万元，增长540.00%，本年支出10.24万元，较上年决算数增加8.64万元，增长540.00%，主要原因是本年度其他支出10万元，主要用于残疾人事业的彩票公益支出；城乡社区支出0.24万元，主要用于其他国有土地使用权出让收入安排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（六）国有资本经营预算财政拨款支出决算情况说明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宋体"/>
          <w:kern w:val="0"/>
          <w:sz w:val="32"/>
          <w:szCs w:val="32"/>
          <w:lang w:val="en-US" w:eastAsia="zh-CN" w:bidi="ar-SA"/>
        </w:rPr>
        <w:t>  </w:t>
      </w:r>
      <w:r>
        <w:rPr>
          <w:rFonts w:hint="eastAsia" w:ascii="Times New Roman" w:hAnsi="Times New Roman" w:eastAsia="方正仿宋_GBK" w:cs="宋体"/>
          <w:kern w:val="0"/>
          <w:sz w:val="32"/>
          <w:szCs w:val="32"/>
          <w:lang w:val="en-US" w:eastAsia="zh-CN" w:bidi="ar-SA"/>
        </w:rPr>
        <w:t>本单位</w:t>
      </w:r>
      <w:r>
        <w:rPr>
          <w:rFonts w:hint="default" w:ascii="Times New Roman" w:hAnsi="Times New Roman" w:eastAsia="方正仿宋_GBK" w:cs="宋体"/>
          <w:kern w:val="0"/>
          <w:sz w:val="32"/>
          <w:szCs w:val="32"/>
          <w:lang w:val="en-US" w:eastAsia="zh-CN" w:bidi="ar-SA"/>
        </w:rPr>
        <w:t>202</w:t>
      </w:r>
      <w:r>
        <w:rPr>
          <w:rFonts w:hint="eastAsia" w:ascii="Times New Roman" w:hAnsi="Times New Roman" w:eastAsia="方正仿宋_GBK" w:cs="宋体"/>
          <w:kern w:val="0"/>
          <w:sz w:val="32"/>
          <w:szCs w:val="32"/>
          <w:lang w:val="en-US" w:eastAsia="zh-CN" w:bidi="ar-SA"/>
        </w:rPr>
        <w:t>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2023年度“三公”经费支出共计4.27万元，较年初预算数减少5.73万元，下降57.30%，较上年支出数减少2.32万元，下降35.20%，主要原因是公务接待减少，认真贯彻落实中央八项规定精神，严控制“三公”经费。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2023年度本单位因公出国（境）费用0.00万元，费用支出较年初预算数无增减，较上年支出数无增减，主要原因是本</w:t>
      </w:r>
      <w:r>
        <w:rPr>
          <w:rFonts w:hint="eastAsia" w:ascii="Times New Roman" w:hAnsi="Times New Roman" w:eastAsia="方正仿宋_GBK" w:cs="宋体"/>
          <w:kern w:val="0"/>
          <w:sz w:val="32"/>
          <w:szCs w:val="32"/>
          <w:lang w:val="en-US" w:eastAsia="zh-CN" w:bidi="ar-SA"/>
        </w:rPr>
        <w:t>单位</w:t>
      </w:r>
      <w:r>
        <w:rPr>
          <w:rFonts w:hint="default" w:ascii="Times New Roman" w:hAnsi="Times New Roman" w:eastAsia="方正仿宋_GBK" w:cs="宋体"/>
          <w:kern w:val="0"/>
          <w:sz w:val="32"/>
          <w:szCs w:val="32"/>
          <w:lang w:val="en-US" w:eastAsia="zh-CN" w:bidi="ar-SA"/>
        </w:rPr>
        <w:t>2023年度未发生因公出国（境）费用。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公务车购置费0.00万元，费用支出较年初预算数无增减，较上年支出数无增减，主要原因</w:t>
      </w:r>
      <w:r>
        <w:rPr>
          <w:rFonts w:hint="eastAsia" w:ascii="Times New Roman" w:hAnsi="Times New Roman" w:eastAsia="方正仿宋_GBK" w:cs="宋体"/>
          <w:kern w:val="0"/>
          <w:sz w:val="32"/>
          <w:szCs w:val="32"/>
          <w:lang w:val="en-US" w:eastAsia="zh-CN" w:bidi="ar-SA"/>
        </w:rPr>
        <w:t>是本单位</w:t>
      </w:r>
      <w:r>
        <w:rPr>
          <w:rFonts w:hint="default" w:ascii="Times New Roman" w:hAnsi="Times New Roman" w:eastAsia="方正仿宋_GBK" w:cs="宋体"/>
          <w:kern w:val="0"/>
          <w:sz w:val="32"/>
          <w:szCs w:val="32"/>
          <w:lang w:val="en-US" w:eastAsia="zh-CN" w:bidi="ar-SA"/>
        </w:rPr>
        <w:t>2023年度未发生公务车购置费。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车运行维护费4.27万元，主要用于公务用车加油、维修维护、洗车、保险等开支。费用支出较年初预算数减少5.73万元，下降57.30%，较上年支出数减少2.32万元，下降35.20%，主要原因是主要原因是公务用车维护次数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公务接待费0.00万元，费用支出较年初预算数无增减，较上年支出数无增减，主要原因是未发生公务接待等支出。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本单位因公出国（境）共计0个团组，0人；公务用车购置0辆，公务车保有量为2辆；国内公务接待0批次0人，其中：国内外事接待0批次，0人；国（境）外公务接待0批次，0人。2023年本单位人均接待费0元，车均购置费0万元，车均维护费2.13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 （一）财政拨款会议费和培训费情况说明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本年度会议费支出0.80万元，较上年决算数减少1.11万元，下降58.12%，主要原因是</w:t>
      </w:r>
      <w:r>
        <w:rPr>
          <w:rFonts w:hint="eastAsia" w:ascii="Times New Roman" w:hAnsi="Times New Roman" w:eastAsia="方正仿宋_GBK" w:cs="宋体"/>
          <w:kern w:val="0"/>
          <w:sz w:val="32"/>
          <w:szCs w:val="32"/>
          <w:lang w:val="en-US" w:eastAsia="zh-CN" w:bidi="ar-SA"/>
        </w:rPr>
        <w:t>2022年度农业服务中心（特色产业发展中心）、文化服务中心等其他6个单位与本单位合并编报决算，2023年度按照市财政局要求独立编报决算，故造成与上年对比存在大幅度下降。</w:t>
      </w:r>
      <w:r>
        <w:rPr>
          <w:rFonts w:hint="default" w:ascii="Times New Roman" w:hAnsi="Times New Roman" w:eastAsia="方正仿宋_GBK" w:cs="宋体"/>
          <w:kern w:val="0"/>
          <w:sz w:val="32"/>
          <w:szCs w:val="32"/>
          <w:lang w:val="en-US" w:eastAsia="zh-CN" w:bidi="ar-SA"/>
        </w:rPr>
        <w:t>本年度培训费支出1.80万元，较上年决算数减少0.42万元，下降18.92%，主要原因是培训支出增加，事业管理人员、专业技术人员继续教育培训支出增加。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机关运行经费支出103.15万元，机关运行经费主要用于开支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机关运行经费较上年支出数减少17.62万元，下降14.59%，主要原因是</w:t>
      </w:r>
      <w:r>
        <w:rPr>
          <w:rFonts w:hint="eastAsia" w:ascii="Times New Roman" w:hAnsi="Times New Roman" w:eastAsia="方正仿宋_GBK" w:cs="宋体"/>
          <w:kern w:val="0"/>
          <w:sz w:val="32"/>
          <w:szCs w:val="32"/>
          <w:lang w:val="en-US" w:eastAsia="zh-CN" w:bidi="ar-SA"/>
        </w:rPr>
        <w:t>本部门</w:t>
      </w:r>
      <w:r>
        <w:rPr>
          <w:rFonts w:hint="default" w:ascii="Times New Roman" w:hAnsi="Times New Roman" w:eastAsia="方正仿宋_GBK" w:cs="宋体"/>
          <w:kern w:val="0"/>
          <w:sz w:val="32"/>
          <w:szCs w:val="32"/>
          <w:lang w:val="en-US" w:eastAsia="zh-CN" w:bidi="ar-SA"/>
        </w:rPr>
        <w:t>厉行节俭，牢固勤俭节约的思想，压减相关支出。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本单位政府采购支出总额1.05万元，其中：政府采购货物支出1.05万元、政府采购工程支出0.00万元、政府采购服务支出0.00万元。授予中小企业合同金额1.05万元，占政府采购支出总额的100.00%，其中：授予小微企业合同金额0.00万元，占政府采购支出总额的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lang w:eastAsia="zh-CN"/>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根据预算绩效管理要求，我</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对部门整体和</w:t>
      </w:r>
      <w:r>
        <w:rPr>
          <w:rFonts w:hint="eastAsia" w:ascii="Times New Roman" w:hAnsi="Times New Roman" w:eastAsia="方正仿宋_GBK" w:cs="宋体"/>
          <w:kern w:val="0"/>
          <w:sz w:val="32"/>
          <w:szCs w:val="32"/>
          <w:lang w:val="en-US" w:eastAsia="zh-CN" w:bidi="ar-SA"/>
        </w:rPr>
        <w:t>68</w:t>
      </w:r>
      <w:r>
        <w:rPr>
          <w:rFonts w:hint="default" w:ascii="Times New Roman" w:hAnsi="Times New Roman" w:eastAsia="方正仿宋_GBK" w:cs="宋体"/>
          <w:kern w:val="0"/>
          <w:sz w:val="32"/>
          <w:szCs w:val="32"/>
          <w:lang w:val="en-US" w:eastAsia="zh-CN" w:bidi="ar-SA"/>
        </w:rPr>
        <w:t>个项目开展了绩效自评，涉及财政拨款项目支出资金</w:t>
      </w:r>
      <w:r>
        <w:rPr>
          <w:rFonts w:hint="eastAsia" w:ascii="Times New Roman" w:hAnsi="Times New Roman" w:eastAsia="方正仿宋_GBK" w:cs="宋体"/>
          <w:kern w:val="0"/>
          <w:sz w:val="32"/>
          <w:szCs w:val="32"/>
          <w:lang w:val="en-US" w:eastAsia="zh-CN" w:bidi="ar-SA"/>
        </w:rPr>
        <w:t>1042.19</w:t>
      </w:r>
      <w:r>
        <w:rPr>
          <w:rFonts w:hint="default" w:ascii="Times New Roman" w:hAnsi="Times New Roman" w:eastAsia="方正仿宋_GBK" w:cs="宋体"/>
          <w:kern w:val="0"/>
          <w:sz w:val="32"/>
          <w:szCs w:val="32"/>
          <w:lang w:val="en-US" w:eastAsia="zh-CN" w:bidi="ar-SA"/>
        </w:rPr>
        <w:t>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p>
    <w:tbl>
      <w:tblPr>
        <w:tblStyle w:val="9"/>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695"/>
        <w:gridCol w:w="695"/>
        <w:gridCol w:w="695"/>
        <w:gridCol w:w="695"/>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643" w:firstLineChars="200"/>
              <w:jc w:val="center"/>
              <w:textAlignment w:val="center"/>
              <w:rPr>
                <w:rStyle w:val="16"/>
                <w:rFonts w:hint="default" w:ascii="Times New Roman" w:hAnsi="Times New Roman" w:cs="Times New Roman"/>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项目名称：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全年完成值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偏离度（%）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得分数（%）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指标权重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说明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自评总分：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w:t>
            </w:r>
          </w:p>
        </w:tc>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2020年重点区域生态保护和修复工程专项（石漠化综合治理工程）-渝财农[2020]72号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完成补助项目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完成补助时间</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Fonts w:ascii="宋体" w:hAnsi="宋体" w:eastAsia="宋体" w:cs="宋体"/>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可持续发展几率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80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80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bidi w:val="0"/>
              <w:adjustRightInd/>
              <w:spacing w:beforeAutospacing="0" w:afterAutospacing="0" w:line="560" w:lineRule="exact"/>
              <w:ind w:firstLine="440" w:firstLineChars="200"/>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补助率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Fonts w:ascii="宋体" w:hAnsi="宋体" w:eastAsia="宋体" w:cs="宋体"/>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673000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673000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19.76</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spacing w:beforeAutospacing="0" w:afterAutospacing="0" w:line="560" w:lineRule="exact"/>
              <w:ind w:firstLine="440" w:firstLineChars="20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bidi w:val="0"/>
              <w:adjustRightInd/>
              <w:spacing w:beforeAutospacing="0" w:afterAutospacing="0" w:line="560" w:lineRule="exact"/>
              <w:ind w:firstLine="440" w:firstLineChars="200"/>
              <w:jc w:val="center"/>
              <w:rPr>
                <w:rFonts w:hint="default" w:ascii="Times New Roman" w:hAnsi="Times New Roman" w:eastAsia="宋体" w:cs="Times New Roman"/>
                <w:i w:val="0"/>
                <w:color w:val="000000"/>
                <w:sz w:val="22"/>
                <w:szCs w:val="22"/>
                <w:u w:val="none"/>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shd w:val="clear" w:color="auto" w:fill="FFFFFF"/>
        <w:kinsoku/>
        <w:overflowPunct/>
        <w:bidi w:val="0"/>
        <w:adjustRightInd/>
        <w:spacing w:beforeAutospacing="0" w:afterAutospacing="0" w:line="560" w:lineRule="exact"/>
        <w:ind w:firstLine="643" w:firstLineChars="200"/>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（一）财政拨款收入：指本年度从本级财政部门取得的财政拨款，包括一般公共预算财政拨款和政府性基金预算财政拨款。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（二）事业收入：指事业单位开展专业业务活动及其辅助活动取得的现金流入；事业单位收到的财政专户实际核拨的教育收费等资金在此反映。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（三）经营收入：指事业单位在专业业务活动及其辅助活动之外开展非独立核算经营活动取得的现金流入。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（六）年初结转和结余：指单位上年结转本年使用的基本支出结转、项目支出结转和结余、经营结余。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（七）结余分配：指单位按照国家有关规定，缴纳所得税、提取专用基金、转入非财政拨款结余等当年结余的分配情况。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（八）年末结转和结余：指单位结转下年的基本支出结转、项目支出结转和结余、经营结余。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（十）项目支出：指在基本支出之外为完成特定行政任务和事业发展目标所发生的支出。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（十一）经营支出：指事业单位在专业业务活动及其辅助活动之外开展非独立核算经营活动发生的支出。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（十四）工资福利支出（支出经济分类科目类级）：反映单位开支的在职职工和编制外长期聘用人员的各类劳动报酬，以及为上述人员缴纳的各项社会保险费等。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（十五）商品和服务支出（支出经济分类科目类级）：反映单位购买商品和服务的支出（不包括用于购置固定资产的支出、战略性和应急储备支出）。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（十六）对个人和家庭的补助（支出经济分类科目类级）：反映用于对个人和家庭的补助支出。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 七、决算公开联系方式及信息反馈渠道</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决算公开信息反馈和联系方式：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宋体"/>
          <w:kern w:val="0"/>
          <w:sz w:val="32"/>
          <w:szCs w:val="32"/>
          <w:lang w:val="en-US" w:eastAsia="zh-CN" w:bidi="ar-SA"/>
        </w:rPr>
        <w:t>易力 023-76615631</w:t>
      </w:r>
    </w:p>
    <w:p>
      <w:pPr>
        <w:keepNext w:val="0"/>
        <w:keepLines w:val="0"/>
        <w:pageBreakBefore w:val="0"/>
        <w:kinsoku/>
        <w:overflowPunct/>
        <w:bidi w:val="0"/>
        <w:adjustRightInd/>
        <w:spacing w:beforeAutospacing="0" w:afterAutospacing="0" w:line="560" w:lineRule="exact"/>
        <w:ind w:firstLine="420" w:firstLineChars="200"/>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ascii="Arial" w:hAnsi="Arial" w:cs="Arial"/>
                <w:color w:val="000000"/>
                <w:sz w:val="22"/>
                <w:szCs w:val="22"/>
              </w:rPr>
            </w:pPr>
            <w:r>
              <w:rPr>
                <w:rFonts w:cs="宋体"/>
                <w:sz w:val="20"/>
                <w:szCs w:val="20"/>
              </w:rPr>
              <w:t>公开单位：</w:t>
            </w:r>
            <w:r>
              <w:rPr>
                <w:sz w:val="20"/>
                <w:u w:color="auto"/>
              </w:rPr>
              <w:t>重庆市秀山土家族苗族自治县溪口镇人民政府（本级）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40" w:firstLineChars="200"/>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1,749.68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587.92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10.24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94.23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44.87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119.24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737.94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42.00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1,759.92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1,759.92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1,759.92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1,759.92</w:t>
            </w:r>
            <w:r>
              <w:rPr>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sz w:val="20"/>
                <w:u w:color="auto"/>
              </w:rPr>
              <w:t>重庆市秀山土家族苗族自治县溪口镇人民政府（本级）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1,759.92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1,759.92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587.92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587.92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33.80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516.68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516.68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119.00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119.00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737.94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737.94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6.72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6.72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621.72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621.72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88.94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88.94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179.60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179.60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353.18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353.18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2159999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自然资源规划及管理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36.60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36.60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bidi w:val="0"/>
        <w:adjustRightInd/>
        <w:spacing w:beforeAutospacing="0" w:afterAutospacing="0" w:line="560" w:lineRule="exact"/>
        <w:ind w:firstLine="400" w:firstLineChars="200"/>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重庆市秀山土家族苗族自治县溪口镇人民政府（本级）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1,759.92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717.73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1,042.19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587.92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549.68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38.24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33.80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516.68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516.68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516.68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24.60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24.60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7.88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94.23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20.96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20.96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20.96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23.91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23.91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119.00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2129999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119.00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119.00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737.94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737.94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107.50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6.72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6.72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621.72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621.72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88.94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88.94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179.60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179.60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353.18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353.18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2159999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42.00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自然资源规划及管理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36.60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36.60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54.90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49.90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49.90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49.90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49.90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49.90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bidi w:val="0"/>
        <w:adjustRightInd/>
        <w:spacing w:beforeAutospacing="0" w:afterAutospacing="0" w:line="560" w:lineRule="exact"/>
        <w:ind w:firstLine="420" w:firstLineChars="200"/>
        <w:rPr>
          <w:rFonts w:hint="default" w:cs="宋体"/>
          <w:sz w:val="21"/>
          <w:szCs w:val="21"/>
        </w:rPr>
      </w:pPr>
      <w:r>
        <w:rPr>
          <w:rFonts w:cs="宋体"/>
          <w:sz w:val="21"/>
          <w:szCs w:val="21"/>
        </w:rPr>
        <w:br w:type="page"/>
      </w:r>
    </w:p>
    <w:p>
      <w:pPr>
        <w:keepNext w:val="0"/>
        <w:keepLines w:val="0"/>
        <w:pageBreakBefore w:val="0"/>
        <w:kinsoku/>
        <w:overflowPunct/>
        <w:bidi w:val="0"/>
        <w:adjustRightInd/>
        <w:spacing w:beforeAutospacing="0" w:afterAutospacing="0" w:line="560" w:lineRule="exact"/>
        <w:ind w:firstLine="420" w:firstLineChars="200"/>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1,749.68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587.92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587.92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10.24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94.23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94.23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48.00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48.00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119.24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119.00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737.94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737.94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42.00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42.00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54.90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54.90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1,759.92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1,759.92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1,749.68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10.24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1,759.92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1,759.92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1,749.68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10.24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1,749.68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717.73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1,031.95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587.92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549.68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38.24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33.80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33.00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546.68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516.68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516.68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516.68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24.60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24.60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7.43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7.43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94.23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94.23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94.23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94.23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53.08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53.08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23.09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23.09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44.87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23.91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20.96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20.96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20.96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23.91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23.91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23.91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23.91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119.00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119.00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119.00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119.00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2129999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119.00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119.00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737.94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737.94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107.50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107.50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32.00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6.72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6.72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621.72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621.72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88.94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88.94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179.60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179.60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353.18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353.18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21599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其他资源勘探工业信息等支出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2159999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其他资源勘探工业信息等支出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42.00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42.00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自然资源规划及管理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36.60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36.60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54.90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49.90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49.90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49.90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49.90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49.90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590.49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103.15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128.46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42.07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119.40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169.79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53.08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23.09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23.91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49.90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6.48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15.66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24.09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22.13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4.27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23.72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0" w:firstLineChars="20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bottom"/>
              <w:rPr>
                <w:rFonts w:hint="default" w:cs="宋体"/>
                <w:color w:val="000000"/>
                <w:sz w:val="18"/>
                <w:szCs w:val="18"/>
              </w:rPr>
            </w:pPr>
            <w:r>
              <w:rPr>
                <w:rFonts w:cs="宋体"/>
                <w:color w:val="000000"/>
                <w:sz w:val="18"/>
                <w:szCs w:val="18"/>
              </w:rPr>
              <w:t>614.58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360" w:firstLineChars="200"/>
              <w:jc w:val="right"/>
              <w:textAlignment w:val="center"/>
              <w:rPr>
                <w:rFonts w:hint="default" w:cs="宋体"/>
                <w:color w:val="000000"/>
                <w:sz w:val="18"/>
                <w:szCs w:val="18"/>
              </w:rPr>
            </w:pPr>
            <w:r>
              <w:rPr>
                <w:rFonts w:cs="宋体"/>
                <w:color w:val="000000"/>
                <w:sz w:val="18"/>
                <w:szCs w:val="18"/>
              </w:rPr>
              <w:t>103.15</w:t>
            </w:r>
            <w:r>
              <w:rPr>
                <w:color w:val="000000"/>
                <w:sz w:val="18"/>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bCs/>
                <w:color w:val="000000"/>
                <w:sz w:val="20"/>
                <w:szCs w:val="20"/>
              </w:rPr>
              <w:t>10.24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0" w:firstLineChars="200"/>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0" w:firstLineChars="200"/>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2" w:firstLineChars="200"/>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402" w:firstLineChars="20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beforeAutospacing="0" w:afterAutospacing="0" w:line="560" w:lineRule="exact"/>
              <w:ind w:firstLine="402" w:firstLineChars="200"/>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643" w:firstLineChars="200"/>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重庆市秀山土家族苗族自治县溪口镇人民政府（本级）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1" w:firstLineChars="20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1" w:firstLineChars="20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1" w:firstLineChars="20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1" w:firstLineChars="20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1" w:firstLineChars="200"/>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103.15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103.15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1.05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1.05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1.05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textAlignment w:val="bottom"/>
              <w:rPr>
                <w:rFonts w:hint="default" w:cs="宋体"/>
                <w:color w:val="000000"/>
                <w:sz w:val="16"/>
                <w:szCs w:val="16"/>
              </w:rPr>
            </w:pPr>
            <w:r>
              <w:rPr>
                <w:rFonts w:cs="宋体"/>
                <w:color w:val="000000"/>
                <w:sz w:val="16"/>
                <w:szCs w:val="16"/>
              </w:rPr>
              <w:t>1.80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beforeAutospacing="0" w:afterAutospacing="0" w:line="560" w:lineRule="exact"/>
              <w:ind w:firstLine="320" w:firstLineChars="20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beforeAutospacing="0" w:afterAutospacing="0" w:line="560" w:lineRule="exact"/>
              <w:ind w:firstLine="320" w:firstLineChars="200"/>
              <w:jc w:val="right"/>
              <w:rPr>
                <w:rFonts w:hint="default" w:cs="宋体"/>
                <w:color w:val="000000"/>
                <w:sz w:val="16"/>
                <w:szCs w:val="16"/>
              </w:rPr>
            </w:pPr>
          </w:p>
        </w:tc>
      </w:tr>
    </w:tbl>
    <w:p>
      <w:pPr>
        <w:keepNext w:val="0"/>
        <w:keepLines w:val="0"/>
        <w:pageBreakBefore w:val="0"/>
        <w:kinsoku/>
        <w:overflowPunct/>
        <w:bidi w:val="0"/>
        <w:adjustRightInd/>
        <w:spacing w:beforeAutospacing="0" w:afterAutospacing="0" w:line="560" w:lineRule="exact"/>
        <w:ind w:firstLine="400" w:firstLineChars="200"/>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70CAA"/>
    <w:rsid w:val="00F73F90"/>
    <w:rsid w:val="012A4A62"/>
    <w:rsid w:val="01474EBF"/>
    <w:rsid w:val="01F3521E"/>
    <w:rsid w:val="03B87EA0"/>
    <w:rsid w:val="03E3214F"/>
    <w:rsid w:val="044C50BA"/>
    <w:rsid w:val="0482138A"/>
    <w:rsid w:val="04F32EA5"/>
    <w:rsid w:val="05BC6D49"/>
    <w:rsid w:val="06194FF1"/>
    <w:rsid w:val="06A2550B"/>
    <w:rsid w:val="06F80EE2"/>
    <w:rsid w:val="07001CCA"/>
    <w:rsid w:val="075678DB"/>
    <w:rsid w:val="07864491"/>
    <w:rsid w:val="079D7CC7"/>
    <w:rsid w:val="08051BCA"/>
    <w:rsid w:val="086C12F4"/>
    <w:rsid w:val="08705944"/>
    <w:rsid w:val="08BA052C"/>
    <w:rsid w:val="08DB07BA"/>
    <w:rsid w:val="0969353F"/>
    <w:rsid w:val="098305D0"/>
    <w:rsid w:val="09FC0F50"/>
    <w:rsid w:val="0A3317EA"/>
    <w:rsid w:val="0A5C4B69"/>
    <w:rsid w:val="0A664932"/>
    <w:rsid w:val="0A86124A"/>
    <w:rsid w:val="0AA84158"/>
    <w:rsid w:val="0AB54CC0"/>
    <w:rsid w:val="0ABD73EF"/>
    <w:rsid w:val="0B9335CE"/>
    <w:rsid w:val="0BB06AEC"/>
    <w:rsid w:val="0BE855BB"/>
    <w:rsid w:val="0BF2311A"/>
    <w:rsid w:val="0C7927C4"/>
    <w:rsid w:val="0C9B098C"/>
    <w:rsid w:val="0CB971D7"/>
    <w:rsid w:val="0D673E11"/>
    <w:rsid w:val="0DDA54E4"/>
    <w:rsid w:val="0E3A5F83"/>
    <w:rsid w:val="0F836721"/>
    <w:rsid w:val="0FA25D96"/>
    <w:rsid w:val="105A165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A44B8"/>
    <w:rsid w:val="14EC2822"/>
    <w:rsid w:val="163A6CEE"/>
    <w:rsid w:val="173708E3"/>
    <w:rsid w:val="17C374FC"/>
    <w:rsid w:val="18157870"/>
    <w:rsid w:val="182E4AB6"/>
    <w:rsid w:val="187B0B0C"/>
    <w:rsid w:val="189079DC"/>
    <w:rsid w:val="189B0D0B"/>
    <w:rsid w:val="18B43F7C"/>
    <w:rsid w:val="194A1770"/>
    <w:rsid w:val="19B906A4"/>
    <w:rsid w:val="1B6F15B6"/>
    <w:rsid w:val="1B745E43"/>
    <w:rsid w:val="1BAA2EDC"/>
    <w:rsid w:val="1BC279D1"/>
    <w:rsid w:val="1CA55E64"/>
    <w:rsid w:val="1CAC44BC"/>
    <w:rsid w:val="1CB877DA"/>
    <w:rsid w:val="1D014A01"/>
    <w:rsid w:val="1D022362"/>
    <w:rsid w:val="1D1B04B0"/>
    <w:rsid w:val="1DA52501"/>
    <w:rsid w:val="1DBD6767"/>
    <w:rsid w:val="1DC148F9"/>
    <w:rsid w:val="1DC52125"/>
    <w:rsid w:val="1DD26311"/>
    <w:rsid w:val="1E374ACB"/>
    <w:rsid w:val="1ECF0A66"/>
    <w:rsid w:val="1EF67CA4"/>
    <w:rsid w:val="1F020D3A"/>
    <w:rsid w:val="1F2C5189"/>
    <w:rsid w:val="1F4B0B02"/>
    <w:rsid w:val="1FBB35CD"/>
    <w:rsid w:val="1FCD26AF"/>
    <w:rsid w:val="1FD075F1"/>
    <w:rsid w:val="205609A5"/>
    <w:rsid w:val="20642787"/>
    <w:rsid w:val="21556F04"/>
    <w:rsid w:val="219E5A9E"/>
    <w:rsid w:val="22141C2A"/>
    <w:rsid w:val="22403BD3"/>
    <w:rsid w:val="22EF006B"/>
    <w:rsid w:val="24B92327"/>
    <w:rsid w:val="24C14514"/>
    <w:rsid w:val="24D44168"/>
    <w:rsid w:val="2533755C"/>
    <w:rsid w:val="25791755"/>
    <w:rsid w:val="26396DF4"/>
    <w:rsid w:val="27167136"/>
    <w:rsid w:val="271B442C"/>
    <w:rsid w:val="27B23302"/>
    <w:rsid w:val="290F2E9B"/>
    <w:rsid w:val="29310A5F"/>
    <w:rsid w:val="29C37A35"/>
    <w:rsid w:val="29DB6B9D"/>
    <w:rsid w:val="2A076083"/>
    <w:rsid w:val="2A73162E"/>
    <w:rsid w:val="2B013CA4"/>
    <w:rsid w:val="2B167953"/>
    <w:rsid w:val="2B200583"/>
    <w:rsid w:val="2B8209DE"/>
    <w:rsid w:val="2C636760"/>
    <w:rsid w:val="2C6762A3"/>
    <w:rsid w:val="2D9829A9"/>
    <w:rsid w:val="2EA5168F"/>
    <w:rsid w:val="2FCA4B37"/>
    <w:rsid w:val="2FE029D7"/>
    <w:rsid w:val="2FF06E00"/>
    <w:rsid w:val="30586FEC"/>
    <w:rsid w:val="30C30B02"/>
    <w:rsid w:val="315F0B22"/>
    <w:rsid w:val="31D84415"/>
    <w:rsid w:val="320178AC"/>
    <w:rsid w:val="32285F6F"/>
    <w:rsid w:val="32770556"/>
    <w:rsid w:val="329C0913"/>
    <w:rsid w:val="32AA0460"/>
    <w:rsid w:val="3337290D"/>
    <w:rsid w:val="33E31118"/>
    <w:rsid w:val="33EF7674"/>
    <w:rsid w:val="342D7BC6"/>
    <w:rsid w:val="352930DB"/>
    <w:rsid w:val="353B39E2"/>
    <w:rsid w:val="35573069"/>
    <w:rsid w:val="355F6038"/>
    <w:rsid w:val="358C217E"/>
    <w:rsid w:val="36446436"/>
    <w:rsid w:val="36C9128A"/>
    <w:rsid w:val="37841E99"/>
    <w:rsid w:val="37BF1123"/>
    <w:rsid w:val="383C3F15"/>
    <w:rsid w:val="38BE4696"/>
    <w:rsid w:val="38D10D2F"/>
    <w:rsid w:val="3939115E"/>
    <w:rsid w:val="39B82A39"/>
    <w:rsid w:val="39C42CA8"/>
    <w:rsid w:val="39D65F5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81392"/>
    <w:rsid w:val="3DC42DE8"/>
    <w:rsid w:val="3DDF3AB1"/>
    <w:rsid w:val="3E1D0952"/>
    <w:rsid w:val="3E3300F7"/>
    <w:rsid w:val="3E42660A"/>
    <w:rsid w:val="3E7555B1"/>
    <w:rsid w:val="3E787ED9"/>
    <w:rsid w:val="3F032E93"/>
    <w:rsid w:val="3F0527E5"/>
    <w:rsid w:val="3F694D83"/>
    <w:rsid w:val="3F885DCC"/>
    <w:rsid w:val="3FCD675E"/>
    <w:rsid w:val="3FD824A5"/>
    <w:rsid w:val="4004000C"/>
    <w:rsid w:val="40BD5482"/>
    <w:rsid w:val="40D064F6"/>
    <w:rsid w:val="40DE734C"/>
    <w:rsid w:val="411B6CE5"/>
    <w:rsid w:val="412070D7"/>
    <w:rsid w:val="41314E40"/>
    <w:rsid w:val="41E0734B"/>
    <w:rsid w:val="4250716F"/>
    <w:rsid w:val="426C1EA8"/>
    <w:rsid w:val="42736402"/>
    <w:rsid w:val="42E86A87"/>
    <w:rsid w:val="43307B09"/>
    <w:rsid w:val="439A3EB9"/>
    <w:rsid w:val="43BB152F"/>
    <w:rsid w:val="44481302"/>
    <w:rsid w:val="44C37687"/>
    <w:rsid w:val="44C63EF4"/>
    <w:rsid w:val="457567C9"/>
    <w:rsid w:val="45CB699A"/>
    <w:rsid w:val="45F73164"/>
    <w:rsid w:val="465B470D"/>
    <w:rsid w:val="469D6AD4"/>
    <w:rsid w:val="471E6C84"/>
    <w:rsid w:val="4748792B"/>
    <w:rsid w:val="475D719D"/>
    <w:rsid w:val="47674801"/>
    <w:rsid w:val="47EF1E8A"/>
    <w:rsid w:val="48225EF7"/>
    <w:rsid w:val="48435410"/>
    <w:rsid w:val="488F422B"/>
    <w:rsid w:val="48E36915"/>
    <w:rsid w:val="48EB6572"/>
    <w:rsid w:val="495C4A24"/>
    <w:rsid w:val="497135DF"/>
    <w:rsid w:val="4A263DF2"/>
    <w:rsid w:val="4A5362F7"/>
    <w:rsid w:val="4A6F6675"/>
    <w:rsid w:val="4B135857"/>
    <w:rsid w:val="4B7951CB"/>
    <w:rsid w:val="4B7C315C"/>
    <w:rsid w:val="4C722FB9"/>
    <w:rsid w:val="4DAC4ACA"/>
    <w:rsid w:val="4DBE01D2"/>
    <w:rsid w:val="4E3815BD"/>
    <w:rsid w:val="4F0C6BA3"/>
    <w:rsid w:val="4F186D58"/>
    <w:rsid w:val="50F06B6E"/>
    <w:rsid w:val="51D21804"/>
    <w:rsid w:val="52234D33"/>
    <w:rsid w:val="522F6E0C"/>
    <w:rsid w:val="52463BA1"/>
    <w:rsid w:val="524C59CD"/>
    <w:rsid w:val="52B45A78"/>
    <w:rsid w:val="52F163D4"/>
    <w:rsid w:val="531A2DB4"/>
    <w:rsid w:val="53B900AC"/>
    <w:rsid w:val="53C0244D"/>
    <w:rsid w:val="53DD4D4E"/>
    <w:rsid w:val="53E578CE"/>
    <w:rsid w:val="53FC7C76"/>
    <w:rsid w:val="541330F0"/>
    <w:rsid w:val="54272666"/>
    <w:rsid w:val="543B029D"/>
    <w:rsid w:val="54857863"/>
    <w:rsid w:val="54861779"/>
    <w:rsid w:val="54C10C0C"/>
    <w:rsid w:val="552256E1"/>
    <w:rsid w:val="554E5773"/>
    <w:rsid w:val="555829E0"/>
    <w:rsid w:val="555A3CBC"/>
    <w:rsid w:val="5582012B"/>
    <w:rsid w:val="558E4E05"/>
    <w:rsid w:val="55BE2E85"/>
    <w:rsid w:val="56530F5D"/>
    <w:rsid w:val="567700D3"/>
    <w:rsid w:val="56941500"/>
    <w:rsid w:val="56FF7E9E"/>
    <w:rsid w:val="57013167"/>
    <w:rsid w:val="57434C52"/>
    <w:rsid w:val="576A6AD4"/>
    <w:rsid w:val="578867FC"/>
    <w:rsid w:val="5842572D"/>
    <w:rsid w:val="595F179A"/>
    <w:rsid w:val="59605634"/>
    <w:rsid w:val="5A3B59D6"/>
    <w:rsid w:val="5AD134D8"/>
    <w:rsid w:val="5C263CE4"/>
    <w:rsid w:val="5C5D2777"/>
    <w:rsid w:val="5CF66BF3"/>
    <w:rsid w:val="5D290C69"/>
    <w:rsid w:val="5F2D4A41"/>
    <w:rsid w:val="5F4A7ED3"/>
    <w:rsid w:val="5FB4623C"/>
    <w:rsid w:val="60C74F6C"/>
    <w:rsid w:val="61025A59"/>
    <w:rsid w:val="613D5BBC"/>
    <w:rsid w:val="61536C39"/>
    <w:rsid w:val="6249515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73504E"/>
    <w:rsid w:val="67924660"/>
    <w:rsid w:val="67C30356"/>
    <w:rsid w:val="68407834"/>
    <w:rsid w:val="6883293E"/>
    <w:rsid w:val="688412AD"/>
    <w:rsid w:val="68EB1B71"/>
    <w:rsid w:val="6A6617B0"/>
    <w:rsid w:val="6A6C7940"/>
    <w:rsid w:val="6A8E2E8A"/>
    <w:rsid w:val="6AAD2300"/>
    <w:rsid w:val="6B474EF5"/>
    <w:rsid w:val="6C0A5AC5"/>
    <w:rsid w:val="6C560CAE"/>
    <w:rsid w:val="6C576495"/>
    <w:rsid w:val="6D903FF5"/>
    <w:rsid w:val="6DA955B8"/>
    <w:rsid w:val="6DE346AB"/>
    <w:rsid w:val="6DE5391A"/>
    <w:rsid w:val="6E905706"/>
    <w:rsid w:val="6EFD1324"/>
    <w:rsid w:val="6F3A756F"/>
    <w:rsid w:val="6F5A53AC"/>
    <w:rsid w:val="6FAC003D"/>
    <w:rsid w:val="6FE55E12"/>
    <w:rsid w:val="6FFB2E76"/>
    <w:rsid w:val="700424FD"/>
    <w:rsid w:val="708F6F7F"/>
    <w:rsid w:val="70D94BD3"/>
    <w:rsid w:val="71C34D91"/>
    <w:rsid w:val="72DB435C"/>
    <w:rsid w:val="72E2613A"/>
    <w:rsid w:val="72F771F4"/>
    <w:rsid w:val="73934AD2"/>
    <w:rsid w:val="73DF21BE"/>
    <w:rsid w:val="74EE0694"/>
    <w:rsid w:val="750837F0"/>
    <w:rsid w:val="754758CF"/>
    <w:rsid w:val="75D06548"/>
    <w:rsid w:val="764F62AB"/>
    <w:rsid w:val="765C45EC"/>
    <w:rsid w:val="768A7619"/>
    <w:rsid w:val="772E1EBA"/>
    <w:rsid w:val="781926BC"/>
    <w:rsid w:val="796D60A4"/>
    <w:rsid w:val="79A031D5"/>
    <w:rsid w:val="7A1525F7"/>
    <w:rsid w:val="7A836810"/>
    <w:rsid w:val="7AE33C8F"/>
    <w:rsid w:val="7B420052"/>
    <w:rsid w:val="7BA55FE9"/>
    <w:rsid w:val="7BBB5B1E"/>
    <w:rsid w:val="7BD06A28"/>
    <w:rsid w:val="7C3A7C0B"/>
    <w:rsid w:val="7C5248E4"/>
    <w:rsid w:val="7C566698"/>
    <w:rsid w:val="7C5866A3"/>
    <w:rsid w:val="7D7406BB"/>
    <w:rsid w:val="7DE94331"/>
    <w:rsid w:val="7F314AA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2024-09-20T08:08:43Z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