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00"/>
        <w:jc w:val="center"/>
        <w:textAlignment w:val="auto"/>
        <w:outlineLvl w:val="9"/>
        <w:rPr>
          <w:rFonts w:hint="default" w:ascii="Times New Roman" w:hAnsi="Times New Roman" w:eastAsia="方正小标宋_GBK" w:cs="Times New Roman"/>
          <w:sz w:val="40"/>
          <w:szCs w:val="40"/>
          <w:lang w:eastAsia="zh-CN"/>
        </w:rPr>
      </w:pPr>
      <w:r>
        <w:rPr>
          <w:rFonts w:hint="default" w:ascii="Times New Roman" w:hAnsi="Times New Roman" w:eastAsia="方正小标宋_GBK" w:cs="Times New Roman"/>
          <w:sz w:val="40"/>
          <w:szCs w:val="40"/>
          <w:lang w:eastAsia="zh-CN"/>
        </w:rPr>
        <w:t>重庆市秀山土家族苗族自治县</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00" w:firstLineChars="200"/>
        <w:jc w:val="center"/>
        <w:textAlignment w:val="auto"/>
        <w:outlineLvl w:val="9"/>
        <w:rPr>
          <w:rFonts w:hint="default" w:ascii="Times New Roman" w:hAnsi="Times New Roman" w:eastAsia="方正小标宋_GBK" w:cs="Times New Roman"/>
          <w:sz w:val="40"/>
          <w:szCs w:val="40"/>
          <w:lang w:eastAsia="zh-CN"/>
        </w:rPr>
      </w:pPr>
      <w:r>
        <w:rPr>
          <w:rFonts w:hint="default" w:ascii="Times New Roman" w:hAnsi="Times New Roman" w:eastAsia="方正小标宋_GBK" w:cs="Times New Roman"/>
          <w:sz w:val="40"/>
          <w:szCs w:val="40"/>
          <w:lang w:eastAsia="zh-CN"/>
        </w:rPr>
        <w:t>溪口镇人民政府2023年度决算公开说明</w:t>
      </w:r>
    </w:p>
    <w:p>
      <w:pPr>
        <w:pStyle w:val="7"/>
        <w:keepNext w:val="0"/>
        <w:keepLines w:val="0"/>
        <w:pageBreakBefore w:val="0"/>
        <w:widowControl/>
        <w:kinsoku/>
        <w:overflowPunct/>
        <w:topLinePunct w:val="0"/>
        <w:autoSpaceDN/>
        <w:bidi w:val="0"/>
        <w:adjustRightInd/>
        <w:spacing w:before="0" w:beforeAutospacing="0" w:afterAutospacing="0" w:line="560" w:lineRule="exact"/>
        <w:ind w:firstLine="720" w:firstLineChars="200"/>
        <w:jc w:val="center"/>
        <w:rPr>
          <w:rFonts w:hint="default" w:ascii="Times New Roman" w:hAnsi="Times New Roman" w:eastAsia="方正小标宋_GBK" w:cs="Times New Roman"/>
          <w:sz w:val="36"/>
          <w:szCs w:val="36"/>
          <w:lang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lang w:eastAsia="zh-CN"/>
        </w:rPr>
      </w:pPr>
      <w:r>
        <w:rPr>
          <w:rStyle w:val="9"/>
          <w:rFonts w:hint="default" w:ascii="Times New Roman" w:hAnsi="Times New Roman" w:eastAsia="方正黑体_GBK" w:cs="Times New Roman"/>
          <w:b w:val="0"/>
          <w:bCs/>
          <w:sz w:val="32"/>
          <w:szCs w:val="32"/>
          <w:shd w:val="clear" w:color="auto" w:fill="FFFFFF"/>
          <w:lang w:eastAsia="zh-CN"/>
        </w:rPr>
        <w:t>一、部门基本情况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贯彻执行法律、法规、规章和县人民政府的决策部署、依法管理本辖区内公共事务，制定并组织实施经济、科技、和社会发展计划，组织经济运行，促进经济发展。部署重点工程建设、地方道路建设，以及公共设施、水利设施的管理，负责自然资源和生态环境的保护，做好护林防火工作。重点履行社会管理和公共服务职能，抓好精神文明建设，丰富群众文化生活，促进辖区物质文明、精神文明和政治文明建设协调发展。承办县委、县政府交办的其他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1.党政办公室。</w:t>
      </w:r>
      <w:r>
        <w:rPr>
          <w:rFonts w:hint="default" w:ascii="Times New Roman" w:hAnsi="Times New Roman" w:eastAsia="方正仿宋_GBK" w:cs="宋体"/>
          <w:kern w:val="0"/>
          <w:sz w:val="32"/>
          <w:szCs w:val="32"/>
          <w:lang w:val="en-US" w:eastAsia="zh-CN" w:bidi="ar-SA"/>
        </w:rPr>
        <w:t>主要职责:负责纪检、组织人事、宣传、统战、机构编制、机要保密、督促检查、民宗侨台、精神文明建设、网络信息安全等工作；负责武装工作；负责应急协调、公共服务等统筹管理；负责法治、文秘、档案、党务政务信息、电子政务、政务公开、机关事务、后勤服务等工作；负责党委、政府其他日常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2.经济发展办公室（农环办公室）。</w:t>
      </w:r>
      <w:r>
        <w:rPr>
          <w:rFonts w:hint="default" w:ascii="Times New Roman" w:hAnsi="Times New Roman" w:eastAsia="方正仿宋_GBK" w:cs="宋体"/>
          <w:kern w:val="0"/>
          <w:sz w:val="32"/>
          <w:szCs w:val="32"/>
          <w:lang w:val="en-US" w:eastAsia="zh-CN" w:bidi="ar-SA"/>
        </w:rPr>
        <w:t>主要职责：宣传贯彻经济发展方针政策，编制辖区经济社会发展规划、年度计划；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3.民政和社会事务办公室（挂卫生健康办公室牌子）。</w:t>
      </w:r>
      <w:r>
        <w:rPr>
          <w:rFonts w:hint="default" w:ascii="Times New Roman" w:hAnsi="Times New Roman" w:eastAsia="方正仿宋_GBK" w:cs="宋体"/>
          <w:kern w:val="0"/>
          <w:sz w:val="32"/>
          <w:szCs w:val="32"/>
          <w:lang w:val="en-US" w:eastAsia="zh-CN" w:bidi="ar-SA"/>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4.平安建设办公室。</w:t>
      </w:r>
      <w:r>
        <w:rPr>
          <w:rFonts w:hint="default" w:ascii="Times New Roman" w:hAnsi="Times New Roman" w:eastAsia="方正仿宋_GBK" w:cs="宋体"/>
          <w:kern w:val="0"/>
          <w:sz w:val="32"/>
          <w:szCs w:val="32"/>
          <w:lang w:val="en-US" w:eastAsia="zh-CN" w:bidi="ar-SA"/>
        </w:rPr>
        <w:t>主要职责：宣传贯彻平安建设、防范和处理邪教、信访稳定等方针政策；负责社会平安创建、法治创建，指导村居开展社会平安群防群治工作；负责流动人口服务管理、群众来信来访和反邪教工作；负责协调相关部门开展禁毒、扫黑除恶和法治教育等工作；负责组织协调有关单位共同解决辖区内突发治安问题，及时化解矛盾，维护社会稳定。</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5.规划建设管理环保办公室。</w:t>
      </w:r>
      <w:r>
        <w:rPr>
          <w:rFonts w:hint="default" w:ascii="Times New Roman" w:hAnsi="Times New Roman" w:eastAsia="方正仿宋_GBK" w:cs="宋体"/>
          <w:kern w:val="0"/>
          <w:sz w:val="32"/>
          <w:szCs w:val="32"/>
          <w:lang w:val="en-US" w:eastAsia="zh-CN" w:bidi="ar-SA"/>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部门开展人防、土地征用、房屋征收、土地和矿产资源管理工作；承担其他规划自然资源生态环保管理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6.财政办公室。</w:t>
      </w:r>
      <w:r>
        <w:rPr>
          <w:rFonts w:hint="default" w:ascii="Times New Roman" w:hAnsi="Times New Roman" w:eastAsia="方正仿宋_GBK" w:cs="宋体"/>
          <w:kern w:val="0"/>
          <w:sz w:val="32"/>
          <w:szCs w:val="32"/>
          <w:lang w:val="en-US" w:eastAsia="zh-CN" w:bidi="ar-SA"/>
        </w:rPr>
        <w:t>主要</w:t>
      </w:r>
      <w:r>
        <w:rPr>
          <w:rFonts w:hint="eastAsia" w:ascii="Times New Roman" w:hAnsi="Times New Roman" w:eastAsia="方正仿宋_GBK" w:cs="宋体"/>
          <w:kern w:val="0"/>
          <w:sz w:val="32"/>
          <w:szCs w:val="32"/>
          <w:lang w:val="en-US" w:eastAsia="zh-CN" w:bidi="ar-SA"/>
        </w:rPr>
        <w:t>职</w:t>
      </w:r>
      <w:r>
        <w:rPr>
          <w:rFonts w:hint="default" w:ascii="Times New Roman" w:hAnsi="Times New Roman" w:eastAsia="方正仿宋_GBK" w:cs="宋体"/>
          <w:kern w:val="0"/>
          <w:sz w:val="32"/>
          <w:szCs w:val="32"/>
          <w:lang w:val="en-US" w:eastAsia="zh-CN" w:bidi="ar-SA"/>
        </w:rPr>
        <w:t>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7.应急管理办公室。</w:t>
      </w:r>
      <w:r>
        <w:rPr>
          <w:rFonts w:hint="default" w:ascii="Times New Roman" w:hAnsi="Times New Roman" w:eastAsia="方正仿宋_GBK" w:cs="宋体"/>
          <w:kern w:val="0"/>
          <w:sz w:val="32"/>
          <w:szCs w:val="32"/>
          <w:lang w:val="en-US" w:eastAsia="zh-CN" w:bidi="ar-SA"/>
        </w:rPr>
        <w:t>主要</w:t>
      </w:r>
      <w:r>
        <w:rPr>
          <w:rFonts w:hint="eastAsia" w:ascii="Times New Roman" w:hAnsi="Times New Roman" w:eastAsia="方正仿宋_GBK" w:cs="宋体"/>
          <w:kern w:val="0"/>
          <w:sz w:val="32"/>
          <w:szCs w:val="32"/>
          <w:lang w:val="en-US" w:eastAsia="zh-CN" w:bidi="ar-SA"/>
        </w:rPr>
        <w:t>职</w:t>
      </w:r>
      <w:r>
        <w:rPr>
          <w:rFonts w:hint="default" w:ascii="Times New Roman" w:hAnsi="Times New Roman" w:eastAsia="方正仿宋_GBK" w:cs="宋体"/>
          <w:kern w:val="0"/>
          <w:sz w:val="32"/>
          <w:szCs w:val="32"/>
          <w:lang w:val="en-US" w:eastAsia="zh-CN" w:bidi="ar-SA"/>
        </w:rPr>
        <w:t>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8.扶贫办公室（项目办公室）。</w:t>
      </w:r>
      <w:r>
        <w:rPr>
          <w:rFonts w:hint="default" w:ascii="Times New Roman" w:hAnsi="Times New Roman" w:eastAsia="方正仿宋_GBK" w:cs="宋体"/>
          <w:kern w:val="0"/>
          <w:sz w:val="32"/>
          <w:szCs w:val="32"/>
          <w:lang w:val="en-US" w:eastAsia="zh-CN" w:bidi="ar-SA"/>
        </w:rPr>
        <w:t>主要</w:t>
      </w:r>
      <w:r>
        <w:rPr>
          <w:rFonts w:hint="eastAsia" w:ascii="Times New Roman" w:hAnsi="Times New Roman" w:eastAsia="方正仿宋_GBK" w:cs="宋体"/>
          <w:kern w:val="0"/>
          <w:sz w:val="32"/>
          <w:szCs w:val="32"/>
          <w:lang w:val="en-US" w:eastAsia="zh-CN" w:bidi="ar-SA"/>
        </w:rPr>
        <w:t>职责</w:t>
      </w:r>
      <w:r>
        <w:rPr>
          <w:rFonts w:hint="default" w:ascii="Times New Roman" w:hAnsi="Times New Roman" w:eastAsia="方正仿宋_GBK" w:cs="宋体"/>
          <w:kern w:val="0"/>
          <w:sz w:val="32"/>
          <w:szCs w:val="32"/>
          <w:lang w:val="en-US" w:eastAsia="zh-CN" w:bidi="ar-SA"/>
        </w:rPr>
        <w:t>：脱贫攻坚、项目建设；负责基本建设、扶贫开发、乡村旅游等项目的规划申报、建设管理。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9.农业服务中心。</w:t>
      </w:r>
      <w:r>
        <w:rPr>
          <w:rFonts w:hint="default" w:ascii="Times New Roman" w:hAnsi="Times New Roman" w:eastAsia="方正仿宋_GBK" w:cs="宋体"/>
          <w:kern w:val="0"/>
          <w:sz w:val="32"/>
          <w:szCs w:val="32"/>
          <w:lang w:val="en-US" w:eastAsia="zh-CN" w:bidi="ar-SA"/>
        </w:rPr>
        <w:t>主要职责：承担农技、农机、畜牧、水利水产等方面的技术推广、信息服务、水土保持、灾害防治、土地规模经营管理、农产品质量安全监管，农业综合服务等工作。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10.文化服务中心。</w:t>
      </w:r>
      <w:r>
        <w:rPr>
          <w:rFonts w:hint="default" w:ascii="Times New Roman" w:hAnsi="Times New Roman" w:eastAsia="方正仿宋_GBK" w:cs="宋体"/>
          <w:kern w:val="0"/>
          <w:sz w:val="32"/>
          <w:szCs w:val="32"/>
          <w:lang w:val="en-US" w:eastAsia="zh-CN" w:bidi="ar-SA"/>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11.劳动就业和社会保障服务所。</w:t>
      </w:r>
      <w:r>
        <w:rPr>
          <w:rFonts w:hint="default" w:ascii="Times New Roman" w:hAnsi="Times New Roman" w:eastAsia="方正仿宋_GBK" w:cs="宋体"/>
          <w:kern w:val="0"/>
          <w:sz w:val="32"/>
          <w:szCs w:val="32"/>
          <w:lang w:val="en-US" w:eastAsia="zh-CN" w:bidi="ar-SA"/>
        </w:rPr>
        <w:t>主要职责：承担就业、再就业、农村富余劳动力转移，劳动和社会保障、城镇居民最低生活保障、社保救济、医疗保障服务等社会保障相关具体工作。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12.退役军人服务站。</w:t>
      </w:r>
      <w:r>
        <w:rPr>
          <w:rFonts w:hint="default" w:ascii="Times New Roman" w:hAnsi="Times New Roman" w:eastAsia="方正仿宋_GBK" w:cs="宋体"/>
          <w:kern w:val="0"/>
          <w:sz w:val="32"/>
          <w:szCs w:val="32"/>
          <w:lang w:val="en-US" w:eastAsia="zh-CN" w:bidi="ar-SA"/>
        </w:rPr>
        <w:t>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lang w:val="en-US" w:eastAsia="zh-CN"/>
        </w:rPr>
      </w:pPr>
      <w:r>
        <w:rPr>
          <w:rFonts w:hint="default" w:ascii="Times New Roman" w:hAnsi="Times New Roman" w:eastAsia="方正仿宋_GBK" w:cs="宋体"/>
          <w:b/>
          <w:bCs/>
          <w:kern w:val="0"/>
          <w:sz w:val="32"/>
          <w:szCs w:val="32"/>
          <w:lang w:val="en-US" w:eastAsia="zh-CN" w:bidi="ar-SA"/>
        </w:rPr>
        <w:t>13.综合行政执法大队。</w:t>
      </w:r>
      <w:r>
        <w:rPr>
          <w:rFonts w:hint="default" w:ascii="Times New Roman" w:hAnsi="Times New Roman" w:eastAsia="方正仿宋_GBK" w:cs="宋体"/>
          <w:kern w:val="0"/>
          <w:sz w:val="32"/>
          <w:szCs w:val="32"/>
          <w:lang w:val="en-US" w:eastAsia="zh-CN" w:bidi="ar-SA"/>
        </w:rPr>
        <w:t>主要职责：集中行使乡镇依法承担和部门授权或委托的各项行政执法权，制止、打击各类行政违法行为，协助、配合县级有关部门及其派驻机构开展联合执法。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eastAsia="zh-CN"/>
        </w:rPr>
        <w:t>二、</w:t>
      </w:r>
      <w:r>
        <w:rPr>
          <w:rStyle w:val="9"/>
          <w:rFonts w:hint="eastAsia" w:ascii="Times New Roman" w:hAnsi="Times New Roman" w:eastAsia="方正黑体_GBK" w:cs="Times New Roman"/>
          <w:b w:val="0"/>
          <w:bCs/>
          <w:sz w:val="32"/>
          <w:szCs w:val="32"/>
          <w:shd w:val="clear" w:color="auto" w:fill="FFFFFF"/>
          <w:lang w:eastAsia="zh-CN"/>
        </w:rPr>
        <w:t>部门</w:t>
      </w:r>
      <w:r>
        <w:rPr>
          <w:rStyle w:val="9"/>
          <w:rFonts w:hint="default" w:ascii="Times New Roman" w:hAnsi="Times New Roman" w:eastAsia="方正黑体_GBK" w:cs="Times New Roman"/>
          <w:b w:val="0"/>
          <w:bCs/>
          <w:sz w:val="32"/>
          <w:szCs w:val="32"/>
          <w:shd w:val="clear" w:color="auto" w:fill="FFFFFF"/>
          <w:lang w:eastAsia="zh-CN"/>
        </w:rPr>
        <w:t>决算情况说明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1.总体情况。</w:t>
      </w:r>
      <w:r>
        <w:rPr>
          <w:rFonts w:hint="default" w:ascii="Times New Roman" w:hAnsi="Times New Roman" w:eastAsia="方正仿宋_GBK" w:cs="宋体"/>
          <w:kern w:val="0"/>
          <w:sz w:val="32"/>
          <w:szCs w:val="32"/>
          <w:lang w:val="en-US" w:eastAsia="zh-CN" w:bidi="ar-SA"/>
        </w:rPr>
        <w:t>2023年度收入总计2471.88万元，支出总计2471.88万元。收支较上年决算数减少1390.58万元，下降36.00%，主要原因是2023年度较上年一般公共预算财政拨款收入减少。</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2.收入情况。</w:t>
      </w:r>
      <w:r>
        <w:rPr>
          <w:rFonts w:hint="default" w:ascii="Times New Roman" w:hAnsi="Times New Roman" w:eastAsia="方正仿宋_GBK" w:cs="宋体"/>
          <w:kern w:val="0"/>
          <w:sz w:val="32"/>
          <w:szCs w:val="32"/>
          <w:lang w:val="en-US" w:eastAsia="zh-CN" w:bidi="ar-SA"/>
        </w:rPr>
        <w:t>2023年度收入合计2471.88万元，较上年决算数减少1173.83万元，下降32.20%，主要原因是本年度一般公共预算财政拨款减少。其中：财政拨款收入2471.88万元，占100.00%；事业收入0.00万元，占0.00%；经营收入0.00万元，占0.00%；其他收入0.00万元，占0.00%。此外，使用非财政拨款结余和专用结余0.00万元，年初结转和结余0.00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3.支出情况。</w:t>
      </w:r>
      <w:r>
        <w:rPr>
          <w:rFonts w:hint="default" w:ascii="Times New Roman" w:hAnsi="Times New Roman" w:eastAsia="方正仿宋_GBK" w:cs="宋体"/>
          <w:kern w:val="0"/>
          <w:sz w:val="32"/>
          <w:szCs w:val="32"/>
          <w:lang w:val="en-US" w:eastAsia="zh-CN" w:bidi="ar-SA"/>
        </w:rPr>
        <w:t>2023年度支出合计2442.10万元，较上年决算数减少1420.36万元，下降36.77%，主要原因是项目支出较去年减少。其中：基本支出1113.38万元，占45.59%；项目支出1328.72万元，占54.41%；经营支出0.00万元，占0.00%。此外，结余分配0.00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宋体"/>
          <w:b/>
          <w:bCs/>
          <w:kern w:val="0"/>
          <w:sz w:val="32"/>
          <w:szCs w:val="32"/>
          <w:lang w:val="en-US" w:eastAsia="zh-CN" w:bidi="ar-SA"/>
        </w:rPr>
        <w:t>4.结转结余情况。</w:t>
      </w:r>
      <w:r>
        <w:rPr>
          <w:rFonts w:hint="default" w:ascii="Times New Roman" w:hAnsi="Times New Roman" w:eastAsia="方正仿宋_GBK" w:cs="宋体"/>
          <w:kern w:val="0"/>
          <w:sz w:val="32"/>
          <w:szCs w:val="32"/>
          <w:lang w:val="en-US" w:eastAsia="zh-CN" w:bidi="ar-SA"/>
        </w:rPr>
        <w:t>2023年度年末结转和结余29.78万元，较上年决算数增加29.78万元，增长100.00%，主要原因是2023年预算内资金支付效率较低，造成结转结余。</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2023年度财政拨款收、支总计2471.88万元。与2022年相比，财政拨款收、支总计各减少1174.53万元，下降32.21%。主要原因是本年度一般公共预算财政拨款减少，产业项目减少，支出减少。</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eastAsia" w:ascii="方正楷体_GBK" w:hAnsi="方正楷体_GBK" w:eastAsia="方正楷体_GBK" w:cs="方正楷体_GBK"/>
          <w:b w:val="0"/>
          <w:bCs/>
          <w:sz w:val="32"/>
          <w:szCs w:val="32"/>
          <w:shd w:val="clear" w:color="auto" w:fill="FFFFFF"/>
          <w:lang w:val="en-US" w:eastAsia="zh-CN"/>
        </w:rPr>
      </w:pPr>
      <w:r>
        <w:rPr>
          <w:rStyle w:val="9"/>
          <w:rFonts w:hint="eastAsia" w:ascii="方正楷体_GBK" w:hAnsi="方正楷体_GBK" w:eastAsia="方正楷体_GBK" w:cs="方正楷体_GBK"/>
          <w:b w:val="0"/>
          <w:bCs/>
          <w:sz w:val="32"/>
          <w:szCs w:val="32"/>
          <w:shd w:val="clear" w:color="auto" w:fill="FFFFFF"/>
          <w:lang w:val="en-US" w:eastAsia="zh-CN"/>
        </w:rPr>
        <w:t>（三）一般公共预算财政拨款收入支出决算情况说明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1.收入情况。</w:t>
      </w:r>
      <w:r>
        <w:rPr>
          <w:rFonts w:hint="default" w:ascii="Times New Roman" w:hAnsi="Times New Roman" w:eastAsia="方正仿宋_GBK" w:cs="宋体"/>
          <w:kern w:val="0"/>
          <w:sz w:val="32"/>
          <w:szCs w:val="32"/>
          <w:lang w:val="en-US" w:eastAsia="zh-CN" w:bidi="ar-SA"/>
        </w:rPr>
        <w:t>2023年度一般公共预算财政拨款收入2461.64万元，较上年决算数减少1182.47万元，下降32.45%。主要原因是本年度一般公共预算财政拨款减少。较年初预算数增加1012.25万元，增长69.84%。主要原因是部分农林水预算与基础设施、生产发展等未纳入年初预算。此外，年初财政拨款结转和结余0.00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2.支出情况。</w:t>
      </w:r>
      <w:r>
        <w:rPr>
          <w:rFonts w:hint="default" w:ascii="Times New Roman" w:hAnsi="Times New Roman" w:eastAsia="方正仿宋_GBK" w:cs="宋体"/>
          <w:kern w:val="0"/>
          <w:sz w:val="32"/>
          <w:szCs w:val="32"/>
          <w:lang w:val="en-US" w:eastAsia="zh-CN" w:bidi="ar-SA"/>
        </w:rPr>
        <w:t>2023年度一般公共预算财政拨款支出2431.86万元，较上年决算数减少1212.95万元，下降33.28%。主要原因是2023年项目减少，相应投入减少。较年初预算数增加740.26万元，增长43.76%。主要原因是部分农林水预算与卫生健康支出、城乡社区支出等未纳入年初预算。</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3.结转结余情况。</w:t>
      </w:r>
      <w:r>
        <w:rPr>
          <w:rFonts w:hint="default" w:ascii="Times New Roman" w:hAnsi="Times New Roman" w:eastAsia="方正仿宋_GBK" w:cs="宋体"/>
          <w:kern w:val="0"/>
          <w:sz w:val="32"/>
          <w:szCs w:val="32"/>
          <w:lang w:val="en-US" w:eastAsia="zh-CN" w:bidi="ar-SA"/>
        </w:rPr>
        <w:t>2023年度年末一般公共预算财政拨款结转和结余29.78万元，较上年决算数增加29.78万元，增长100.00%，主要原因是2023年预算内资金支付效率较低，造成结转结余。</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4.比较情况。</w:t>
      </w:r>
      <w:r>
        <w:rPr>
          <w:rFonts w:hint="default" w:ascii="Times New Roman" w:hAnsi="Times New Roman" w:eastAsia="方正仿宋_GBK" w:cs="宋体"/>
          <w:kern w:val="0"/>
          <w:sz w:val="32"/>
          <w:szCs w:val="32"/>
          <w:lang w:val="en-US" w:eastAsia="zh-CN" w:bidi="ar-SA"/>
        </w:rPr>
        <w:t>本</w:t>
      </w:r>
      <w:r>
        <w:rPr>
          <w:rFonts w:hint="eastAsia" w:ascii="Times New Roman" w:hAnsi="Times New Roman" w:eastAsia="方正仿宋_GBK" w:cs="宋体"/>
          <w:kern w:val="0"/>
          <w:sz w:val="32"/>
          <w:szCs w:val="32"/>
          <w:lang w:val="en-US" w:eastAsia="zh-CN" w:bidi="ar-SA"/>
        </w:rPr>
        <w:t>部门2</w:t>
      </w:r>
      <w:r>
        <w:rPr>
          <w:rFonts w:hint="default" w:ascii="Times New Roman" w:hAnsi="Times New Roman" w:eastAsia="方正仿宋_GBK" w:cs="宋体"/>
          <w:kern w:val="0"/>
          <w:sz w:val="32"/>
          <w:szCs w:val="32"/>
          <w:lang w:val="en-US" w:eastAsia="zh-CN" w:bidi="ar-SA"/>
        </w:rPr>
        <w:t>023年度一般公共预算财政拨款支出主要用于以下几个方面：</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（1）一般公共服务支出635.00万元，占26.11%，较年初预算数增加7.24万元，增长1.15%，主要原因是本年度</w:t>
      </w:r>
      <w:r>
        <w:rPr>
          <w:rFonts w:hint="default" w:ascii="Times New Roman" w:hAnsi="Times New Roman" w:eastAsia="方正仿宋" w:cs="Times New Roman"/>
          <w:i w:val="0"/>
          <w:caps w:val="0"/>
          <w:color w:val="333333"/>
          <w:spacing w:val="0"/>
          <w:sz w:val="32"/>
          <w:szCs w:val="32"/>
          <w:shd w:val="clear" w:fill="FFFFFF"/>
          <w:lang w:val="en-US" w:eastAsia="zh-CN"/>
        </w:rPr>
        <w:t>财</w:t>
      </w:r>
      <w:r>
        <w:rPr>
          <w:rFonts w:hint="default" w:ascii="Times New Roman" w:hAnsi="Times New Roman" w:eastAsia="方正仿宋_GBK" w:cs="宋体"/>
          <w:kern w:val="0"/>
          <w:sz w:val="32"/>
          <w:szCs w:val="32"/>
          <w:lang w:val="en-US" w:eastAsia="zh-CN" w:bidi="ar-SA"/>
        </w:rPr>
        <w:t>政拨款收入增加，主要用于缴纳职工工资、社保、电费、水费。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（2）国防支出2.94万元，占0.12%，较年初预算数增加2.94万元，增长100.00%，主要是用于民兵相关办公支出。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3</w:t>
      </w:r>
      <w:r>
        <w:rPr>
          <w:rFonts w:hint="default" w:ascii="Times New Roman" w:hAnsi="Times New Roman" w:eastAsia="方正仿宋_GBK" w:cs="宋体"/>
          <w:kern w:val="0"/>
          <w:sz w:val="32"/>
          <w:szCs w:val="32"/>
          <w:lang w:val="en-US" w:eastAsia="zh-CN" w:bidi="ar-SA"/>
        </w:rPr>
        <w:t>）公共安全支出7.88万元，占0.32%，较年初预算数增加7.88万元，增长100.00%，主要原因是公共安全支出年初未纳入预算，主要用于开展信访劝返工作、公共安全宣传教育等开支。</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4</w:t>
      </w:r>
      <w:r>
        <w:rPr>
          <w:rFonts w:hint="default" w:ascii="Times New Roman" w:hAnsi="Times New Roman" w:eastAsia="方正仿宋_GBK" w:cs="宋体"/>
          <w:kern w:val="0"/>
          <w:sz w:val="32"/>
          <w:szCs w:val="32"/>
          <w:lang w:val="en-US" w:eastAsia="zh-CN" w:bidi="ar-SA"/>
        </w:rPr>
        <w:t>）文化旅游体育与传媒支出48.77万元，占2.01%，较年初预算数增加3.40万元，增长7.49%，主要用于保障人员工资、社保缴费等。</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5</w:t>
      </w:r>
      <w:r>
        <w:rPr>
          <w:rFonts w:hint="default" w:ascii="Times New Roman" w:hAnsi="Times New Roman" w:eastAsia="方正仿宋_GBK" w:cs="宋体"/>
          <w:kern w:val="0"/>
          <w:sz w:val="32"/>
          <w:szCs w:val="32"/>
          <w:lang w:val="en-US" w:eastAsia="zh-CN" w:bidi="ar-SA"/>
        </w:rPr>
        <w:t>）社会保障与就业支出256.45万元，占10.55%，较年初预算数增加2.39万元，增长0.94%，主要用于保障人员工资、社保、优抚对象补助、城镇农村低保。</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6</w:t>
      </w:r>
      <w:r>
        <w:rPr>
          <w:rFonts w:hint="default" w:ascii="Times New Roman" w:hAnsi="Times New Roman" w:eastAsia="方正仿宋_GBK" w:cs="宋体"/>
          <w:kern w:val="0"/>
          <w:sz w:val="32"/>
          <w:szCs w:val="32"/>
          <w:lang w:val="en-US" w:eastAsia="zh-CN" w:bidi="ar-SA"/>
        </w:rPr>
        <w:t>）卫生健康支出65.63万元，占2.70%，较年初预算数增加24.28万元，增长58.72%，主要原因是部分经费年初未纳入预算。主要用于职工的医疗保险缴费、疫情防控相关开支等。</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7</w:t>
      </w:r>
      <w:r>
        <w:rPr>
          <w:rFonts w:hint="default" w:ascii="Times New Roman" w:hAnsi="Times New Roman" w:eastAsia="方正仿宋_GBK" w:cs="宋体"/>
          <w:kern w:val="0"/>
          <w:sz w:val="32"/>
          <w:szCs w:val="32"/>
          <w:lang w:val="en-US" w:eastAsia="zh-CN" w:bidi="ar-SA"/>
        </w:rPr>
        <w:t>）节能环保支出48.00万元，占1.97%，较年初预算数减少2.00万元，下降4.00%，主要是用于垃圾转运、五龙居委会农村堰渠水毁维修、环卫工人工资和保险缴费、五龙集镇安置点基础设施建设工程。</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8</w:t>
      </w:r>
      <w:r>
        <w:rPr>
          <w:rFonts w:hint="default" w:ascii="Times New Roman" w:hAnsi="Times New Roman" w:eastAsia="方正仿宋_GBK" w:cs="宋体"/>
          <w:kern w:val="0"/>
          <w:sz w:val="32"/>
          <w:szCs w:val="32"/>
          <w:lang w:val="en-US" w:eastAsia="zh-CN" w:bidi="ar-SA"/>
        </w:rPr>
        <w:t>）城乡社区支出142.38万元，占5.85%，较年初预算数增加115.21万元，增长424.03%，主要是用于黄杨扁担村传统村落整治项目。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9</w:t>
      </w:r>
      <w:r>
        <w:rPr>
          <w:rFonts w:hint="default" w:ascii="Times New Roman" w:hAnsi="Times New Roman" w:eastAsia="方正仿宋_GBK" w:cs="宋体"/>
          <w:kern w:val="0"/>
          <w:sz w:val="32"/>
          <w:szCs w:val="32"/>
          <w:lang w:val="en-US" w:eastAsia="zh-CN" w:bidi="ar-SA"/>
        </w:rPr>
        <w:t>）农林水支出1087.69万元，占44.73%，较年初预算数增加519.51万元，增长91.43%，主要原因是部分农业水支出年初未纳入预算。主要用于银花、蔬菜、冷水鱼、黄精产业项目建设关管护、农村卫生厕所改造等。</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10</w:t>
      </w:r>
      <w:r>
        <w:rPr>
          <w:rFonts w:hint="default" w:ascii="Times New Roman" w:hAnsi="Times New Roman" w:eastAsia="方正仿宋_GBK" w:cs="宋体"/>
          <w:kern w:val="0"/>
          <w:sz w:val="32"/>
          <w:szCs w:val="32"/>
          <w:lang w:val="en-US" w:eastAsia="zh-CN" w:bidi="ar-SA"/>
        </w:rPr>
        <w:t>）资源勘探信息等支出10.00万元，占0.41%，较年初预算数增加10.00万元，增长100.00%，主要原因是资源勘探信息等支出年初未纳入预算。</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11</w:t>
      </w:r>
      <w:r>
        <w:rPr>
          <w:rFonts w:hint="default" w:ascii="Times New Roman" w:hAnsi="Times New Roman" w:eastAsia="方正仿宋_GBK" w:cs="宋体"/>
          <w:kern w:val="0"/>
          <w:sz w:val="32"/>
          <w:szCs w:val="32"/>
          <w:lang w:val="en-US" w:eastAsia="zh-CN" w:bidi="ar-SA"/>
        </w:rPr>
        <w:t>）自然资源海洋气象等支出42.00万元，占1.73%，较年初预算数增加42.00万元，增长100.00%，主要原因是自然资源海洋气象等支出年初未纳入预算。主要用于中和村荒地恢复、国土空间规划、耕地恢复奖补。</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w:t>
      </w:r>
      <w:r>
        <w:rPr>
          <w:rFonts w:hint="eastAsia" w:ascii="Times New Roman" w:hAnsi="Times New Roman" w:eastAsia="方正仿宋_GBK" w:cs="宋体"/>
          <w:kern w:val="0"/>
          <w:sz w:val="32"/>
          <w:szCs w:val="32"/>
          <w:lang w:val="en-US" w:eastAsia="zh-CN" w:bidi="ar-SA"/>
        </w:rPr>
        <w:t>12</w:t>
      </w:r>
      <w:r>
        <w:rPr>
          <w:rFonts w:hint="default" w:ascii="Times New Roman" w:hAnsi="Times New Roman" w:eastAsia="方正仿宋_GBK" w:cs="宋体"/>
          <w:kern w:val="0"/>
          <w:sz w:val="32"/>
          <w:szCs w:val="32"/>
          <w:lang w:val="en-US" w:eastAsia="zh-CN" w:bidi="ar-SA"/>
        </w:rPr>
        <w:t>）住房保障支出85.13万元，占3.50%，较年初预算数增加7.42万元，增长9.55%，主要原因是2023年存在人员增减变动，主要用于缴纳职工的住房公积金。</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一般公共财政拨款基本支出1113.38万元。其中：人员经费975.88万元，较上年决算数减少93.83万元，下降8.77%，主要原因是工资标准调整、保险配套缴费基数调整、人员变动。人员经费用途主要包括人员经费用途主要包括职工工资发放、保险和公积金配套缴纳、退休人员健康休养费、职工年终绩效奖和平时考核奖等。</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9"/>
          <w:rFonts w:hint="default" w:ascii="Times New Roman" w:hAnsi="Times New Roman" w:eastAsia="仿宋" w:cs="Times New Roman"/>
          <w:b w:val="0"/>
          <w:bCs/>
          <w:sz w:val="32"/>
          <w:szCs w:val="32"/>
          <w:shd w:val="clear" w:color="auto" w:fill="FFFFFF"/>
          <w:lang w:val="en-US" w:eastAsia="zh-CN"/>
        </w:rPr>
      </w:pPr>
      <w:r>
        <w:rPr>
          <w:rFonts w:hint="default" w:ascii="Times New Roman" w:hAnsi="Times New Roman" w:eastAsia="方正仿宋_GBK" w:cs="宋体"/>
          <w:kern w:val="0"/>
          <w:sz w:val="32"/>
          <w:szCs w:val="32"/>
          <w:lang w:val="en-US" w:eastAsia="zh-CN" w:bidi="ar-SA"/>
        </w:rPr>
        <w:t>公用经费137.50万元，较上年决算数增加5.51万元，增长4.17%，主要原因是人员变动。公用经费用途主要包括主要包括包括机关运转水、电、网络费、办公设备和耗材采购费，报刊订阅费，车辆运行维修维护费，机关食堂用餐开支，职工差旅费、培训费和通讯费以及一些其他日常开支。</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政府性基金预算财政拨款年初结转结余0.00万元，年末结转结余0.00万元。本年收入10.24万元，较上年决算数增加8.64万元，增长540.00%，本年支出10.24万元，较上年决算数增加8.64万元，增长540.00%，主要原因是本年度其他支出10万元，主要用于残疾人事业的彩票公益支出；城乡社区支出0.24万元，主要用于其他国有土地使用权出让收入安排的支出。</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宋体"/>
          <w:kern w:val="0"/>
          <w:sz w:val="32"/>
          <w:szCs w:val="32"/>
          <w:lang w:val="en-US" w:eastAsia="zh-CN" w:bidi="ar-SA"/>
        </w:rPr>
        <w:t>本</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2023年度无国有资本经营预算财政拨款支出。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三、“三公”经费情况说明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2023年度“三公”经费支出共计4.27万元，较年初预算数减少5.73万元，下降57.30%，较上年支出数减少2.32万元，下降35.20%，主要原因是公务接待减少，认真贯彻落实中央八项规定精神，严控制“三公”经费。</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（二）“三公”经费分项支出情况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宋体"/>
          <w:kern w:val="0"/>
          <w:sz w:val="32"/>
          <w:szCs w:val="32"/>
          <w:lang w:val="en-US" w:eastAsia="zh-CN" w:bidi="ar-SA"/>
        </w:rPr>
        <w:t>2023年度本</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因公出国（境）费用0.00万元，费用支出较年初预算数无增减，较上年支出数无增减，主要原因是本</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2023年度未发生因公出国（境）费用。</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公务车购置费0.00万元。费用支出较年初预算数无增减，较上年支出数无增减。</w:t>
      </w:r>
      <w:r>
        <w:rPr>
          <w:rFonts w:hint="eastAsia" w:ascii="Times New Roman" w:hAnsi="Times New Roman" w:eastAsia="方正仿宋_GBK" w:cs="宋体"/>
          <w:kern w:val="0"/>
          <w:sz w:val="32"/>
          <w:szCs w:val="32"/>
          <w:lang w:val="en-US" w:eastAsia="zh-CN" w:bidi="ar-SA"/>
        </w:rPr>
        <w:t>本部门</w:t>
      </w:r>
      <w:r>
        <w:rPr>
          <w:rFonts w:hint="default" w:ascii="Times New Roman" w:hAnsi="Times New Roman" w:eastAsia="方正仿宋_GBK" w:cs="宋体"/>
          <w:kern w:val="0"/>
          <w:sz w:val="32"/>
          <w:szCs w:val="32"/>
          <w:lang w:val="en-US" w:eastAsia="zh-CN" w:bidi="ar-SA"/>
        </w:rPr>
        <w:t>2023年度未发生公务车购置费。</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公务车运行维护费4.27万元，主要用于公务用车加油、维修维护、洗车、保险等开支。费用支出较年初预算数减少5.73万元，下降57.30%。较上年支出数减少2.32万元，下降35.20%，主要原因是公务用车维护次数减少。</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公务接待费0.00万元，主要用于接待支出，费用支出较年初预算数无增减，较上年支出数无增减，主要原因是未发生公务接待等支出。</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2023年度本</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因公出国（境）共计0个团组，0人；公务用车购置0辆，公务车保有量为2辆；国内公务接待0批次0人，其中：国内外事接待0批次，0人；国（境）外公务接待0批次，0人。2023年本</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人均接待费0元，车均购置费0万元，车均维护费2.13万元。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本年度会议费支出0.80万元，较上年决算数减少1.11万元，下降58.12%，主要原因是本年度会议开支减少。本年度培训费支出2.96万元，较上年决算数增加0.74万元，增长33.33%，主要原因是培训支出增加，事业管理人员、专业技术人员继续教育培训支出增加。</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2023年度本</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机关运行经费支出110.65万元，机关运行经费主要用于开支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机关运行经费较上年支出数减少10.12万元，下降8.38%，主要原因是</w:t>
      </w:r>
      <w:r>
        <w:rPr>
          <w:rFonts w:hint="eastAsia" w:ascii="Times New Roman" w:hAnsi="Times New Roman" w:eastAsia="方正仿宋_GBK" w:cs="宋体"/>
          <w:kern w:val="0"/>
          <w:sz w:val="32"/>
          <w:szCs w:val="32"/>
          <w:lang w:val="en-US" w:eastAsia="zh-CN" w:bidi="ar-SA"/>
        </w:rPr>
        <w:t>本部门</w:t>
      </w:r>
      <w:r>
        <w:rPr>
          <w:rFonts w:hint="default" w:ascii="Times New Roman" w:hAnsi="Times New Roman" w:eastAsia="方正仿宋_GBK" w:cs="宋体"/>
          <w:kern w:val="0"/>
          <w:sz w:val="32"/>
          <w:szCs w:val="32"/>
          <w:lang w:val="en-US" w:eastAsia="zh-CN" w:bidi="ar-SA"/>
        </w:rPr>
        <w:t>厉行节俭，牢固勤俭节约的思想，压减相关支出。</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宋体"/>
          <w:kern w:val="0"/>
          <w:sz w:val="32"/>
          <w:szCs w:val="32"/>
          <w:lang w:val="en-US" w:eastAsia="zh-CN" w:bidi="ar-SA"/>
        </w:rPr>
        <w:t>截至2023年12月31日，本</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共有车辆2辆，其中，副部（省）级及以上领导用车0辆、主要负责人用车0辆、机要通信用车0辆、应急保障用车2辆、执法执勤用车0辆，特种专业技术用车0辆，离退休干部用车0辆。单价100万元（含）以上专用设备0台（套）。</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2023年度本</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政府采购支出总额1.05万元，其中：政府采购货物支出1.05万元、政府采购工程支出0.00万元、政府采购服务支出0.00万元。授予中小企业合同金额1.05万元，占政府采购支出总额的100.00%，其中：授予小微企业合同金额0.00万元，占政府采购支出总额的0.00%。</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五、</w:t>
      </w: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（一）部门自评情况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根据预算绩效管理要求，我</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对部门整体和89个项目开展了绩效自评，涉及财政拨款项目支出资金</w:t>
      </w:r>
      <w:r>
        <w:rPr>
          <w:rFonts w:hint="eastAsia" w:ascii="Times New Roman" w:hAnsi="Times New Roman" w:eastAsia="方正仿宋_GBK" w:cs="宋体"/>
          <w:kern w:val="0"/>
          <w:sz w:val="32"/>
          <w:szCs w:val="32"/>
          <w:lang w:val="en-US" w:eastAsia="zh-CN" w:bidi="ar-SA"/>
        </w:rPr>
        <w:t>1328.72</w:t>
      </w:r>
      <w:r>
        <w:rPr>
          <w:rFonts w:hint="default" w:ascii="Times New Roman" w:hAnsi="Times New Roman" w:eastAsia="方正仿宋_GBK" w:cs="宋体"/>
          <w:kern w:val="0"/>
          <w:sz w:val="32"/>
          <w:szCs w:val="32"/>
          <w:lang w:val="en-US" w:eastAsia="zh-CN" w:bidi="ar-SA"/>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1.部门整体绩效自评表</w:t>
      </w:r>
    </w:p>
    <w:tbl>
      <w:tblPr>
        <w:tblStyle w:val="10"/>
        <w:tblW w:w="8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8"/>
        <w:gridCol w:w="644"/>
        <w:gridCol w:w="644"/>
        <w:gridCol w:w="362"/>
        <w:gridCol w:w="282"/>
        <w:gridCol w:w="431"/>
        <w:gridCol w:w="213"/>
        <w:gridCol w:w="162"/>
        <w:gridCol w:w="482"/>
        <w:gridCol w:w="243"/>
        <w:gridCol w:w="401"/>
        <w:gridCol w:w="644"/>
        <w:gridCol w:w="218"/>
        <w:gridCol w:w="426"/>
        <w:gridCol w:w="86"/>
        <w:gridCol w:w="558"/>
        <w:gridCol w:w="59"/>
        <w:gridCol w:w="585"/>
        <w:gridCol w:w="32"/>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0" w:hRule="atLeast"/>
        </w:trPr>
        <w:tc>
          <w:tcPr>
            <w:tcW w:w="8339"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rPr>
            </w:pPr>
            <w:r>
              <w:rPr>
                <w:rFonts w:hint="default" w:ascii="Times New Roman" w:hAnsi="Times New Roman" w:eastAsia="方正小标宋_GBK" w:cs="Times New Roman"/>
                <w:b/>
                <w:i w:val="0"/>
                <w:color w:val="000000"/>
                <w:kern w:val="0"/>
                <w:sz w:val="32"/>
                <w:szCs w:val="32"/>
                <w:u w:val="none"/>
                <w:lang w:val="en-US" w:eastAsia="zh-CN" w:bidi="ar"/>
              </w:rPr>
              <w:t>溪口镇人民政府2023年度部门整体绩效自评表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2"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主管部门：</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溪口镇人民政府</w:t>
            </w:r>
          </w:p>
        </w:tc>
        <w:tc>
          <w:tcPr>
            <w:tcW w:w="1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部门编码：</w:t>
            </w:r>
          </w:p>
        </w:tc>
        <w:tc>
          <w:tcPr>
            <w:tcW w:w="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817</w:t>
            </w:r>
          </w:p>
        </w:tc>
        <w:tc>
          <w:tcPr>
            <w:tcW w:w="1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自评总分：</w:t>
            </w:r>
          </w:p>
        </w:tc>
        <w:tc>
          <w:tcPr>
            <w:tcW w:w="1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部门联系人：</w:t>
            </w:r>
          </w:p>
        </w:tc>
        <w:tc>
          <w:tcPr>
            <w:tcW w:w="34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易力</w:t>
            </w:r>
          </w:p>
        </w:tc>
        <w:tc>
          <w:tcPr>
            <w:tcW w:w="1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联系电话：</w:t>
            </w:r>
          </w:p>
        </w:tc>
        <w:tc>
          <w:tcPr>
            <w:tcW w:w="1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76615631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年初预算数</w:t>
            </w:r>
          </w:p>
        </w:tc>
        <w:tc>
          <w:tcPr>
            <w:tcW w:w="18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全年（调整）预算数</w:t>
            </w:r>
          </w:p>
        </w:tc>
        <w:tc>
          <w:tcPr>
            <w:tcW w:w="1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全年执行数</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执行率</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执行率权重</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年度总金额</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17,018,385.78</w:t>
            </w:r>
          </w:p>
        </w:tc>
        <w:tc>
          <w:tcPr>
            <w:tcW w:w="18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31,667,388.17</w:t>
            </w:r>
          </w:p>
        </w:tc>
        <w:tc>
          <w:tcPr>
            <w:tcW w:w="1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 xml:space="preserve">28,698,023.17 </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其中：财政拨款</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 xml:space="preserve">17,018,385.78 </w:t>
            </w:r>
          </w:p>
        </w:tc>
        <w:tc>
          <w:tcPr>
            <w:tcW w:w="18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31,667,388.17</w:t>
            </w:r>
          </w:p>
        </w:tc>
        <w:tc>
          <w:tcPr>
            <w:tcW w:w="1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 xml:space="preserve">28,698,023.17 </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90.94</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 xml:space="preserve">9.09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4"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一般公共预算</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 xml:space="preserve">16,915,985.78 </w:t>
            </w:r>
          </w:p>
        </w:tc>
        <w:tc>
          <w:tcPr>
            <w:tcW w:w="18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 xml:space="preserve">31,667,388.17 </w:t>
            </w:r>
          </w:p>
        </w:tc>
        <w:tc>
          <w:tcPr>
            <w:tcW w:w="17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 xml:space="preserve">28,698,023.17 </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90.91</w:t>
            </w:r>
          </w:p>
        </w:tc>
        <w:tc>
          <w:tcPr>
            <w:tcW w:w="6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 xml:space="preserve">    </w:t>
            </w:r>
          </w:p>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br w:type="page"/>
            </w:r>
          </w:p>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当年绩效</w:t>
            </w:r>
            <w:r>
              <w:rPr>
                <w:rStyle w:val="17"/>
                <w:rFonts w:hint="default" w:ascii="Times New Roman" w:hAnsi="Times New Roman" w:cs="Times New Roman"/>
                <w:lang w:val="en-US" w:eastAsia="zh-CN" w:bidi="ar"/>
              </w:rPr>
              <w:br w:type="textWrapping"/>
            </w:r>
            <w:r>
              <w:rPr>
                <w:rStyle w:val="17"/>
                <w:rFonts w:hint="default" w:ascii="Times New Roman" w:hAnsi="Times New Roman" w:cs="Times New Roman"/>
                <w:lang w:val="en-US" w:eastAsia="zh-CN" w:bidi="ar"/>
              </w:rPr>
              <w:t>目标</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年初绩效目标</w:t>
            </w:r>
          </w:p>
        </w:tc>
        <w:tc>
          <w:tcPr>
            <w:tcW w:w="23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全年（调整）绩效目标</w:t>
            </w:r>
          </w:p>
        </w:tc>
        <w:tc>
          <w:tcPr>
            <w:tcW w:w="23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1"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党的路线方针政策是否宣传到位；上级党组织及本镇党员代表大会的决议是否执行；是否提请讨论决定本镇经济建设和社会发展中的重大问题；管理本镇机关和群众组织是否到位；是否加强党委自身建设和党支部为核心的村组织建设；是否做好干部的教育、培养、选拔和监督；是否做好管理好上级部门驻镇干部；是否做好本镇社会主义民主法治建设和精神文明建设工作;是否执行本级人民代表大会得决议和上级国家行政机关的决定和命令，发布决定和命令；是否做好本行政区域内的经济和社会发展计划，加强公共设施的建设和管理，是否依法管理本机财政、、执行本级预算；是否为农民提供有效地科技、教育、文化、信息、卫生计划生育、医疗、人才开发、劳动就业、安全生产等方面的服务。是否保护国有资产和集体所有的财产，保护公民私人所有的合法财产、保障公民的人身权力、民主权利和其他权利，保护各种组织的合法权益。是否开展社会主义民主与法制教育，加强社会治安综合治理，调解民事纠纷，维护社会秩序。推行计划生育，控制人口增长，保护妇女、儿童和老人的合法权益。是否做好民政行政工作的管理，发展社会福利事业，做好社会保障工作，办理兵役事项。是否办理好上级人民政府交办的其他事项。</w:t>
            </w:r>
          </w:p>
        </w:tc>
        <w:tc>
          <w:tcPr>
            <w:tcW w:w="2363"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党的路线方针政策是否宣传到位；上级党组织及本镇党员代表大会的决议是否执行；是否提请讨论决定本镇经济建设和社会发展中的重大问题；管理本镇机关和群众组织是否到位；是否加强党委自身建设和党支部为核心的村组织建设；是否做好干部的教育、培养、选拔和监督；是否做好管理好上级部门驻镇干部；是否做好本镇社会主义民主法治建设和精神文明建设工作;是否执行本级人民代表大会得决议和上级国家行政机关的决定和命令，发布决定和命令；是否做好本行政区域内的经济和社会发展计划，加强公共设施的建设和管理，是否依法管理本机财政、、执行本级预算；是否为农民提供有效地科技、教育、文化、信息、卫生计划生育、医疗、人才开发、劳动就业、安全生产等方面的服务。是否保护国有资产和集体所有的财产，保护公民私人所有的合法财产、保障公民的人身权力、民主权利和其他权利，保护各种组织的合法权益。是否开展社会主义民主与法制教育，加强社会治安综合治理，调解民事纠纷，维护社会秩序。推行计划生育，控制人口增长，保护妇女、儿童和老人的合法权益。是否做好民政行政工作的管理，发展社会福利事业，做好社会保障工作，办理兵役事项。是否办理好上级人民政府交办的其他事项。</w:t>
            </w:r>
          </w:p>
        </w:tc>
        <w:tc>
          <w:tcPr>
            <w:tcW w:w="2365"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已完成党的路线方针政策是否宣传到位；上级党组织及本镇党员代表大会的决议是否执行；是否提请讨论决定本镇经济建设和社会发展中的重大问题；管理本镇机关和群众组织是否到位；是否加强党委自身建设和党支部为核心的村组织建设；是否做好干部的教育、培养、选拔和监督；是否做好管理好上级部门驻镇干部；是否做好本镇社会主义民主法治建设和精神文明建设工作;是否执行本级人民代表大会得决议和上级国家行政机关的决定和命令，发布决定和命令；是否做好本行政区域内的经济和社会发展计划，加强公共设施的建设和管理，是否依法管理本机财政、、执行本级预算；是否为农民提供有效地科技、教育、文化、信息、卫生计划生育、医疗、人才开发、劳动就业、安全生产等方面的服务。是否保护国有资产和集体所有的财产，保护公民私人所有的合法财产、保障公民的人身权力、民主权利和其他权利，保护各种组织的合法权益。是否开展社会主义民主与法制教育，加强社会治安综合治理，调解民事纠纷，维护社会秩序。推行计划生育，控制人口增长，保护妇女、儿童和老人的合法权益。是否做好民政行政工作的管理，发展社会福利事业，做好社会保障工作，办理兵役事项。是否办理好上级人民政府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绩效指标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指标名称</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计量单位</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指标性质</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指标值</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全年完成值</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偏离度（%）</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得分系数（%）</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指标权重</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指标得分</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是否核心指标</w:t>
            </w:r>
          </w:p>
        </w:tc>
        <w:tc>
          <w:tcPr>
            <w:tcW w:w="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公共服务工作完成数量</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个</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7</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7</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是</w:t>
            </w:r>
          </w:p>
        </w:tc>
        <w:tc>
          <w:tcPr>
            <w:tcW w:w="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各工作达标率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70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75</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7.14</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是</w:t>
            </w:r>
          </w:p>
        </w:tc>
        <w:tc>
          <w:tcPr>
            <w:tcW w:w="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完成时间</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月</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12</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12</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是</w:t>
            </w:r>
          </w:p>
        </w:tc>
        <w:tc>
          <w:tcPr>
            <w:tcW w:w="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推动经济发展几率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60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60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否</w:t>
            </w:r>
          </w:p>
        </w:tc>
        <w:tc>
          <w:tcPr>
            <w:tcW w:w="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维护社会平安几率</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60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60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是</w:t>
            </w:r>
          </w:p>
        </w:tc>
        <w:tc>
          <w:tcPr>
            <w:tcW w:w="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完成工作成本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亿元</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3</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3.1</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3.33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是</w:t>
            </w:r>
          </w:p>
        </w:tc>
        <w:tc>
          <w:tcPr>
            <w:tcW w:w="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总体说明</w:t>
            </w:r>
          </w:p>
        </w:tc>
        <w:tc>
          <w:tcPr>
            <w:tcW w:w="7091"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r>
    </w:tbl>
    <w:p>
      <w:pPr>
        <w:keepNext w:val="0"/>
        <w:keepLines w:val="0"/>
        <w:widowControl/>
        <w:suppressLineNumbers w:val="0"/>
        <w:jc w:val="center"/>
        <w:textAlignment w:val="center"/>
        <w:rPr>
          <w:rStyle w:val="17"/>
          <w:rFonts w:hint="default" w:ascii="Times New Roman" w:hAnsi="Times New Roman" w:cs="Times New Roman"/>
          <w:lang w:val="en-US" w:eastAsia="zh-CN" w:bidi="ar"/>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2.项目支出绩效自评表</w:t>
      </w:r>
    </w:p>
    <w:tbl>
      <w:tblPr>
        <w:tblStyle w:val="10"/>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5"/>
        <w:gridCol w:w="695"/>
        <w:gridCol w:w="695"/>
        <w:gridCol w:w="695"/>
        <w:gridCol w:w="695"/>
        <w:gridCol w:w="695"/>
        <w:gridCol w:w="695"/>
        <w:gridCol w:w="695"/>
        <w:gridCol w:w="695"/>
        <w:gridCol w:w="695"/>
        <w:gridCol w:w="695"/>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8" w:hRule="atLeast"/>
        </w:trPr>
        <w:tc>
          <w:tcPr>
            <w:tcW w:w="83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Fonts w:hint="default" w:ascii="Times New Roman" w:hAnsi="Times New Roman" w:eastAsia="方正小标宋_GBK" w:cs="Times New Roman"/>
                <w:b/>
                <w:i w:val="0"/>
                <w:color w:val="000000"/>
                <w:kern w:val="0"/>
                <w:sz w:val="32"/>
                <w:szCs w:val="32"/>
                <w:u w:val="none"/>
                <w:lang w:val="en-US" w:eastAsia="zh-CN" w:bidi="ar"/>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序号</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项目名称：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指标名称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指标性质</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指标</w:t>
            </w:r>
          </w:p>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全年</w:t>
            </w:r>
            <w:r>
              <w:rPr>
                <w:rStyle w:val="17"/>
                <w:rFonts w:hint="default" w:ascii="Times New Roman" w:hAnsi="Times New Roman" w:cs="Times New Roman"/>
                <w:lang w:val="en-US" w:eastAsia="zh-CN" w:bidi="ar"/>
              </w:rPr>
              <w:br w:type="textWrapping"/>
            </w:r>
            <w:r>
              <w:rPr>
                <w:rStyle w:val="17"/>
                <w:rFonts w:hint="default" w:ascii="Times New Roman" w:hAnsi="Times New Roman" w:cs="Times New Roman"/>
                <w:lang w:val="en-US" w:eastAsia="zh-CN" w:bidi="ar"/>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偏离</w:t>
            </w:r>
            <w:r>
              <w:rPr>
                <w:rStyle w:val="17"/>
                <w:rFonts w:hint="default" w:ascii="Times New Roman" w:hAnsi="Times New Roman" w:cs="Times New Roman"/>
                <w:lang w:val="en-US" w:eastAsia="zh-CN" w:bidi="ar"/>
              </w:rPr>
              <w:br w:type="textWrapping"/>
            </w:r>
            <w:r>
              <w:rPr>
                <w:rStyle w:val="17"/>
                <w:rFonts w:hint="default" w:ascii="Times New Roman" w:hAnsi="Times New Roman" w:cs="Times New Roman"/>
                <w:lang w:val="en-US" w:eastAsia="zh-CN" w:bidi="ar"/>
              </w:rPr>
              <w:t>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得分</w:t>
            </w:r>
            <w:r>
              <w:rPr>
                <w:rStyle w:val="17"/>
                <w:rFonts w:hint="default" w:ascii="Times New Roman" w:hAnsi="Times New Roman" w:cs="Times New Roman"/>
                <w:lang w:val="en-US" w:eastAsia="zh-CN" w:bidi="ar"/>
              </w:rPr>
              <w:br w:type="textWrapping"/>
            </w:r>
            <w:r>
              <w:rPr>
                <w:rStyle w:val="17"/>
                <w:rFonts w:hint="default" w:ascii="Times New Roman" w:hAnsi="Times New Roman" w:cs="Times New Roman"/>
                <w:lang w:val="en-US" w:eastAsia="zh-CN" w:bidi="ar"/>
              </w:rPr>
              <w:t>系数（%）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指标</w:t>
            </w:r>
            <w:r>
              <w:rPr>
                <w:rStyle w:val="17"/>
                <w:rFonts w:hint="default" w:ascii="Times New Roman" w:hAnsi="Times New Roman" w:cs="Times New Roman"/>
                <w:lang w:val="en-US" w:eastAsia="zh-CN" w:bidi="ar"/>
              </w:rPr>
              <w:br w:type="textWrapping"/>
            </w:r>
            <w:r>
              <w:rPr>
                <w:rStyle w:val="17"/>
                <w:rFonts w:hint="default" w:ascii="Times New Roman" w:hAnsi="Times New Roman" w:cs="Times New Roman"/>
                <w:lang w:val="en-US" w:eastAsia="zh-CN" w:bidi="ar"/>
              </w:rPr>
              <w:t>权重</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指标得分</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说明</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自评总分：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w:t>
            </w:r>
          </w:p>
        </w:tc>
        <w:tc>
          <w:tcPr>
            <w:tcW w:w="6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乡镇环保专项</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年度投资计划</w:t>
            </w:r>
            <w:r>
              <w:rPr>
                <w:rStyle w:val="17"/>
                <w:rFonts w:hint="default" w:ascii="Times New Roman" w:hAnsi="Times New Roman" w:cs="Times New Roman"/>
                <w:lang w:val="en-US" w:eastAsia="zh-CN" w:bidi="ar"/>
              </w:rPr>
              <w:br w:type="textWrapping"/>
            </w:r>
            <w:r>
              <w:rPr>
                <w:rStyle w:val="17"/>
                <w:rFonts w:hint="default" w:ascii="Times New Roman" w:hAnsi="Times New Roman" w:cs="Times New Roman"/>
                <w:lang w:val="en-US" w:eastAsia="zh-CN" w:bidi="ar"/>
              </w:rPr>
              <w:t>完成率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验收合格率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集镇满意度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20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环保支出</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r>
              <w:rPr>
                <w:rStyle w:val="17"/>
                <w:rFonts w:hint="default" w:ascii="Times New Roman" w:hAnsi="Times New Roman" w:cs="Times New Roman"/>
                <w:lang w:val="en-US" w:eastAsia="zh-CN" w:bidi="ar"/>
              </w:rPr>
              <w:t>10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7"/>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bl>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（二）部门绩效评价情况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我</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未组织开展绩效评价。</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县财政局未委托第三方对我</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六、专业名词解释</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（一）财政拨款收入：指本年度从本级财政部门取得的财政拨款，包括一般公共预算财政拨款和政府性基金预算财政拨款。</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（二）事业收入：指事业单位开展专业业务活动及其辅助活动取得的现金流入；事业单位收到的财政专户实际核拨的教育收费等资金在此反映。</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（三）经营收入：指事业单位在专业业务活动及其辅助活动之外开展非独立核算经营活动取得的现金流入。</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（六）年初结转和结余：指单位上年结转本年使用的基本支出结转、项目支出结转和结余、经营结余。</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（七）结余分配：指单位按照国家有关规定，缴纳所得税、提取专用基金、转入非财政拨款结余等当年结余的分配情况。</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（八）年末结转和结余：指单位结转下年的基本支出结转、项目支出结转和结余、经营结余。</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（十）项目支出：指在基本支出之外为完成特定行政任务和事业发展目标所发生的支出。</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（十一）经营支出：指事业单位在专业业务活动及其辅助活动之外开展非独立核算经营活动发生的支出。</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（十四）工资福利支出（支出经济分类科目类级）：反映单位开支的在职职工和编制外长期聘用人员的各类劳动报酬，以及为上述人员缴纳的各项社会保险费等。</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（十五）商品和服务支出（支出经济分类科目类级）：反映单位购买商品和服务的支出（不包括用于购置固定资产的支出、战略性和应急储备支出）。</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方正仿宋_GBK" w:hAnsi="方正仿宋_GBK" w:eastAsia="方正仿宋_GBK" w:cs="方正仿宋_GBK"/>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（十六）对个人和家庭的补助（支出经济分类科目类级）：反映用于对个人和家庭的补助支出。</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eastAsia" w:ascii="方正仿宋_GBK" w:hAnsi="方正仿宋_GBK" w:eastAsia="方正仿宋_GBK" w:cs="方正仿宋_GBK"/>
          <w:b w:val="0"/>
          <w:bCs/>
          <w:sz w:val="32"/>
          <w:szCs w:val="32"/>
          <w:shd w:val="clear" w:color="auto" w:fill="FFFFFF"/>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七、决算公开联系方式及信息反馈渠道</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本</w:t>
      </w:r>
      <w:r>
        <w:rPr>
          <w:rFonts w:hint="eastAsia" w:ascii="Times New Roman" w:hAnsi="Times New Roman" w:eastAsia="方正仿宋_GBK" w:cs="宋体"/>
          <w:kern w:val="0"/>
          <w:sz w:val="32"/>
          <w:szCs w:val="32"/>
          <w:lang w:val="en-US" w:eastAsia="zh-CN" w:bidi="ar-SA"/>
        </w:rPr>
        <w:t>部门</w:t>
      </w:r>
      <w:r>
        <w:rPr>
          <w:rFonts w:hint="default" w:ascii="Times New Roman" w:hAnsi="Times New Roman" w:eastAsia="方正仿宋_GBK" w:cs="宋体"/>
          <w:kern w:val="0"/>
          <w:sz w:val="32"/>
          <w:szCs w:val="32"/>
          <w:lang w:val="en-US" w:eastAsia="zh-CN" w:bidi="ar-SA"/>
        </w:rPr>
        <w:t>决算公开信息反馈和联系方式：</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宋体"/>
          <w:kern w:val="0"/>
          <w:sz w:val="32"/>
          <w:szCs w:val="32"/>
          <w:lang w:val="en-US" w:eastAsia="zh-CN" w:bidi="ar-SA"/>
        </w:rPr>
        <w:t>易力 023-76615631</w:t>
      </w:r>
    </w:p>
    <w:p>
      <w:pPr>
        <w:rPr>
          <w:rFonts w:hint="default" w:ascii="Times New Roman" w:hAnsi="Times New Roman" w:cs="Times New Roman"/>
          <w:sz w:val="21"/>
          <w:szCs w:val="21"/>
        </w:rPr>
      </w:pPr>
    </w:p>
    <w:tbl>
      <w:tblPr>
        <w:tblStyle w:val="10"/>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公开部门：重庆市秀山土家族苗族自治县溪口镇人民政府</w:t>
            </w: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2,461.64</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48.77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256.45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65.63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142.62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1,087.69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85.13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2,471.88</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2,442.10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2,471.88</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2,471.88</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公开部门：重庆市秀山土家族苗族自治县溪口镇人民政府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2,471.88</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2,471.88</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546.68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546.68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256.45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256.45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80.43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80.43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40.63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40.63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65.63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65.63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20.96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20.96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142.62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142.62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1,117.47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1,117.47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244.87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244.87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130.37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630.72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630.72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88.94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88.94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179.60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179.60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362.18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362.18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85.13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85.13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80.13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80.13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80.13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80.13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p>
    <w:tbl>
      <w:tblPr>
        <w:tblStyle w:val="10"/>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重庆市秀山土家族苗族自治县溪口镇人民政府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2,442.10</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1,113.38</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1,328.72</w:t>
            </w: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635.00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596.76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33.80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546.68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516.68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516.68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516.68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24.60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43.77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43.77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256.45</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229.32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27.13</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18.34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80.43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80.43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40.63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40.63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65.63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20.96</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20.96</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39.43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13.14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142.62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119.24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1,087.69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987.10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100.59</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114.50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100.59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100.59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8.72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630.72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630.72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88.94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88.94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179.60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179.60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362.18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362.18</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36.60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85.13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80.13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80.13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80.13</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80.13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80.13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488"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重庆市秀山土家族苗族自治县溪口镇人民政府</w:t>
            </w: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2,461.64</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635.00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635.00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10.24</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256.45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256.45</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65.63</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65.63</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142.62</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142.38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0.24</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1,087.69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1,087.69</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85.13</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85.13</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10.00</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2,471.88</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2,442.10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2,431.86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10.24</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29.78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29.78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2,471.88</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2,471.88</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2,461.64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10.24</w:t>
            </w: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重庆市秀山土家族苗族自治县溪口镇人民政府</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2,431.86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1,113.38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1,318.48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635.00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596.76</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38.24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33.80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33.00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0.80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33.00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546.68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516.68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516.68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516.68</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24.60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43.77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48.77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43.77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43.77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256.45</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229.32</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27.13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44.71</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44.71</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160.04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160.04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18.34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18.34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20.64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20.64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80.43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80.43</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40.63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40.63</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15.57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15.57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0.69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2081006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24.57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24.57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65.63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39.43</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20.96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20.96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0.96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39.43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39.43</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26.29</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13.14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142.38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23.38</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23.38</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1,087.69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100.59</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987.10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215.09</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100.59</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114.50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100.59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100.59</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8.72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630.72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630.72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88.94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88.94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179.60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179.60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362.18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362.18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其他资源勘探工业信息等支出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其他资源勘探工业信息等支出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36.60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85.13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80.13</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80.13</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80.13</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80.13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80.13</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重庆市秀山土家族苗族自治县溪口镇人民政府</w:t>
            </w: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927.87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137.50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214.44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149.23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181.94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113.52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80.43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40.63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18.30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39.43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80.13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48.01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43.63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4.27</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26.30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975.88</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137.50</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重庆市秀山土家族苗族自治县溪口镇人民政府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10.24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10.24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10.24</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0.24</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0.24</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重庆市秀山土家族苗族自治县溪口镇人民政府</w:t>
            </w: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Layout w:type="fixed"/>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重庆市秀山土家族苗族自治县溪口镇人民政府</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110.65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4.27</w:t>
            </w: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4.27</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103.15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4.27</w:t>
            </w: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4.27</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4.27</w:t>
            </w: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4.27</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2.96</w:t>
            </w:r>
            <w:r>
              <w:rPr>
                <w:rFonts w:hint="default" w:ascii="Times New Roman" w:hAnsi="Times New Roman" w:cs="Times New Roman"/>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xml:space="preserve">— </w:t>
                          </w:r>
                          <w:r>
                            <w:rPr>
                              <w:rFonts w:ascii="Times New Roman" w:hAnsi="Times New Roman" w:cs="宋体"/>
                            </w:rPr>
                            <w:t>27</w:t>
                          </w:r>
                          <w:r>
                            <w:rPr>
                              <w:rFonts w:cs="宋体"/>
                            </w:rPr>
                            <w:t>.</w:t>
                          </w:r>
                          <w:r>
                            <w:rPr>
                              <w:rFonts w:ascii="Times New Roman" w:hAnsi="Times New Roman" w:cs="宋体"/>
                            </w:rPr>
                            <w:t>1</w:t>
                          </w:r>
                          <w:r>
                            <w:rPr>
                              <w:rFonts w:cs="宋体"/>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xml:space="preserve">— </w:t>
                    </w:r>
                    <w:r>
                      <w:rPr>
                        <w:rFonts w:ascii="Times New Roman" w:hAnsi="Times New Roman" w:cs="宋体"/>
                      </w:rPr>
                      <w:t>27</w:t>
                    </w:r>
                    <w:r>
                      <w:rPr>
                        <w:rFonts w:cs="宋体"/>
                      </w:rPr>
                      <w:t>.</w:t>
                    </w:r>
                    <w:r>
                      <w:rPr>
                        <w:rFonts w:ascii="Times New Roman" w:hAnsi="Times New Roman" w:cs="宋体"/>
                      </w:rPr>
                      <w:t>1</w:t>
                    </w:r>
                    <w:r>
                      <w:rPr>
                        <w:rFonts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702"/>
    <w:rsid w:val="00253855"/>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020FB"/>
    <w:rsid w:val="00E654E2"/>
    <w:rsid w:val="00E76362"/>
    <w:rsid w:val="00F137D3"/>
    <w:rsid w:val="00F13C36"/>
    <w:rsid w:val="00F32C53"/>
    <w:rsid w:val="00F73F90"/>
    <w:rsid w:val="00F7623D"/>
    <w:rsid w:val="01144F26"/>
    <w:rsid w:val="012075AC"/>
    <w:rsid w:val="01214F32"/>
    <w:rsid w:val="01346BB5"/>
    <w:rsid w:val="01474EBF"/>
    <w:rsid w:val="01BF3D5C"/>
    <w:rsid w:val="01F3521E"/>
    <w:rsid w:val="02093F1D"/>
    <w:rsid w:val="022365EF"/>
    <w:rsid w:val="022C384C"/>
    <w:rsid w:val="026D7B0E"/>
    <w:rsid w:val="02BE34EB"/>
    <w:rsid w:val="02C37F3F"/>
    <w:rsid w:val="031A2ADA"/>
    <w:rsid w:val="031C009C"/>
    <w:rsid w:val="032D20A4"/>
    <w:rsid w:val="03993223"/>
    <w:rsid w:val="03A33BE1"/>
    <w:rsid w:val="03AC5210"/>
    <w:rsid w:val="03B87EA0"/>
    <w:rsid w:val="03CC11EE"/>
    <w:rsid w:val="03E3214F"/>
    <w:rsid w:val="042C1CA7"/>
    <w:rsid w:val="04481EE5"/>
    <w:rsid w:val="044C50BA"/>
    <w:rsid w:val="045601AB"/>
    <w:rsid w:val="046B6CFC"/>
    <w:rsid w:val="049D62FB"/>
    <w:rsid w:val="04EA4033"/>
    <w:rsid w:val="05291E1F"/>
    <w:rsid w:val="052B70E0"/>
    <w:rsid w:val="056F2806"/>
    <w:rsid w:val="05935426"/>
    <w:rsid w:val="05BC6D49"/>
    <w:rsid w:val="06194FF1"/>
    <w:rsid w:val="06972147"/>
    <w:rsid w:val="06A2550B"/>
    <w:rsid w:val="06F80EE2"/>
    <w:rsid w:val="06FC40C4"/>
    <w:rsid w:val="07001CCA"/>
    <w:rsid w:val="072659B1"/>
    <w:rsid w:val="075678DB"/>
    <w:rsid w:val="07771C9D"/>
    <w:rsid w:val="077F5352"/>
    <w:rsid w:val="079D7CC7"/>
    <w:rsid w:val="07D250B0"/>
    <w:rsid w:val="07DA2274"/>
    <w:rsid w:val="08051BCA"/>
    <w:rsid w:val="080B4EF6"/>
    <w:rsid w:val="0862642C"/>
    <w:rsid w:val="086C12F4"/>
    <w:rsid w:val="08BA052C"/>
    <w:rsid w:val="08DB07BA"/>
    <w:rsid w:val="0969353F"/>
    <w:rsid w:val="096B5D77"/>
    <w:rsid w:val="098305D0"/>
    <w:rsid w:val="098A0877"/>
    <w:rsid w:val="09A55C0C"/>
    <w:rsid w:val="0A1028F8"/>
    <w:rsid w:val="0A53552C"/>
    <w:rsid w:val="0A5C4B69"/>
    <w:rsid w:val="0A86124A"/>
    <w:rsid w:val="0AA305CB"/>
    <w:rsid w:val="0AA90BC2"/>
    <w:rsid w:val="0AB54CC0"/>
    <w:rsid w:val="0B0753E4"/>
    <w:rsid w:val="0B27436A"/>
    <w:rsid w:val="0B5A632D"/>
    <w:rsid w:val="0B6201B5"/>
    <w:rsid w:val="0B9335CE"/>
    <w:rsid w:val="0B963BED"/>
    <w:rsid w:val="0B9E4E64"/>
    <w:rsid w:val="0BA76CDA"/>
    <w:rsid w:val="0BB97F63"/>
    <w:rsid w:val="0C1A1A18"/>
    <w:rsid w:val="0C1F6F55"/>
    <w:rsid w:val="0C5E3381"/>
    <w:rsid w:val="0C7927C4"/>
    <w:rsid w:val="0C9B098C"/>
    <w:rsid w:val="0D135034"/>
    <w:rsid w:val="0D673E11"/>
    <w:rsid w:val="0D774305"/>
    <w:rsid w:val="0DD22B79"/>
    <w:rsid w:val="0DDA54E4"/>
    <w:rsid w:val="0DE25D4D"/>
    <w:rsid w:val="0E3A5F83"/>
    <w:rsid w:val="0E403403"/>
    <w:rsid w:val="0E5F55F4"/>
    <w:rsid w:val="0E74421A"/>
    <w:rsid w:val="0EF97D3F"/>
    <w:rsid w:val="0F0F78C4"/>
    <w:rsid w:val="0F5C3A4D"/>
    <w:rsid w:val="0F780027"/>
    <w:rsid w:val="0F836721"/>
    <w:rsid w:val="0F9A5D78"/>
    <w:rsid w:val="0FA25D96"/>
    <w:rsid w:val="0FCD6CD6"/>
    <w:rsid w:val="103969DE"/>
    <w:rsid w:val="10423747"/>
    <w:rsid w:val="105C3BD0"/>
    <w:rsid w:val="105C4318"/>
    <w:rsid w:val="107B59E5"/>
    <w:rsid w:val="10CF18AF"/>
    <w:rsid w:val="10EC0126"/>
    <w:rsid w:val="10F70B9A"/>
    <w:rsid w:val="111445C7"/>
    <w:rsid w:val="114278C6"/>
    <w:rsid w:val="114D6C2C"/>
    <w:rsid w:val="1158083A"/>
    <w:rsid w:val="11633279"/>
    <w:rsid w:val="11643A4B"/>
    <w:rsid w:val="11DB60A0"/>
    <w:rsid w:val="11ED0F98"/>
    <w:rsid w:val="11F03528"/>
    <w:rsid w:val="12254FE5"/>
    <w:rsid w:val="12AE0F67"/>
    <w:rsid w:val="12C921C4"/>
    <w:rsid w:val="12D2296B"/>
    <w:rsid w:val="13871C70"/>
    <w:rsid w:val="13A71CB4"/>
    <w:rsid w:val="13AF1D43"/>
    <w:rsid w:val="13B852AD"/>
    <w:rsid w:val="13CE1647"/>
    <w:rsid w:val="13F263AC"/>
    <w:rsid w:val="13FD55AB"/>
    <w:rsid w:val="140B0739"/>
    <w:rsid w:val="141B0676"/>
    <w:rsid w:val="14200702"/>
    <w:rsid w:val="14CB7A29"/>
    <w:rsid w:val="150510D9"/>
    <w:rsid w:val="15133A08"/>
    <w:rsid w:val="152F799C"/>
    <w:rsid w:val="155B4806"/>
    <w:rsid w:val="16155964"/>
    <w:rsid w:val="161D008A"/>
    <w:rsid w:val="163A6CEE"/>
    <w:rsid w:val="168C32AE"/>
    <w:rsid w:val="16C3066B"/>
    <w:rsid w:val="173708E3"/>
    <w:rsid w:val="17C374FC"/>
    <w:rsid w:val="18091B09"/>
    <w:rsid w:val="18176B8E"/>
    <w:rsid w:val="189079DC"/>
    <w:rsid w:val="189B0D0B"/>
    <w:rsid w:val="18B43F7C"/>
    <w:rsid w:val="18CE5E34"/>
    <w:rsid w:val="18EC0990"/>
    <w:rsid w:val="19306A4E"/>
    <w:rsid w:val="194A1770"/>
    <w:rsid w:val="19905BE2"/>
    <w:rsid w:val="19B906A4"/>
    <w:rsid w:val="1A2C7C0A"/>
    <w:rsid w:val="1AB536F3"/>
    <w:rsid w:val="1B235461"/>
    <w:rsid w:val="1B5F26E3"/>
    <w:rsid w:val="1B6F15B6"/>
    <w:rsid w:val="1B7F09D8"/>
    <w:rsid w:val="1B9C5738"/>
    <w:rsid w:val="1BAA2EDC"/>
    <w:rsid w:val="1BB95932"/>
    <w:rsid w:val="1BF92CBC"/>
    <w:rsid w:val="1C4F3E06"/>
    <w:rsid w:val="1C5C0973"/>
    <w:rsid w:val="1C9618FF"/>
    <w:rsid w:val="1CA21469"/>
    <w:rsid w:val="1CA55E64"/>
    <w:rsid w:val="1CE075EE"/>
    <w:rsid w:val="1D014A01"/>
    <w:rsid w:val="1D022362"/>
    <w:rsid w:val="1D1B04B0"/>
    <w:rsid w:val="1DA95C18"/>
    <w:rsid w:val="1DB033E2"/>
    <w:rsid w:val="1DBD6767"/>
    <w:rsid w:val="1DC52125"/>
    <w:rsid w:val="1DD26311"/>
    <w:rsid w:val="1DEC7B67"/>
    <w:rsid w:val="1DEE3414"/>
    <w:rsid w:val="1E001DC7"/>
    <w:rsid w:val="1E3378B2"/>
    <w:rsid w:val="1E374ACB"/>
    <w:rsid w:val="1E4911BC"/>
    <w:rsid w:val="1E526DDC"/>
    <w:rsid w:val="1E5977E7"/>
    <w:rsid w:val="1E5E27E3"/>
    <w:rsid w:val="1E737382"/>
    <w:rsid w:val="1EBD56A3"/>
    <w:rsid w:val="1ECF0A66"/>
    <w:rsid w:val="1EED191F"/>
    <w:rsid w:val="1EF4626C"/>
    <w:rsid w:val="1EF67CA4"/>
    <w:rsid w:val="1F020D3A"/>
    <w:rsid w:val="1F2C5189"/>
    <w:rsid w:val="1F4B0B02"/>
    <w:rsid w:val="1FBB35CD"/>
    <w:rsid w:val="1FCD26AF"/>
    <w:rsid w:val="1FE746B9"/>
    <w:rsid w:val="204F565C"/>
    <w:rsid w:val="20642787"/>
    <w:rsid w:val="209E2783"/>
    <w:rsid w:val="20E66B1C"/>
    <w:rsid w:val="214501BA"/>
    <w:rsid w:val="21556F04"/>
    <w:rsid w:val="21B11241"/>
    <w:rsid w:val="22403BD3"/>
    <w:rsid w:val="22433B3A"/>
    <w:rsid w:val="224E3130"/>
    <w:rsid w:val="22615B0B"/>
    <w:rsid w:val="227F42BF"/>
    <w:rsid w:val="22842DB1"/>
    <w:rsid w:val="228C5A68"/>
    <w:rsid w:val="233D6D03"/>
    <w:rsid w:val="233F0D83"/>
    <w:rsid w:val="2346065D"/>
    <w:rsid w:val="238261ED"/>
    <w:rsid w:val="23A22FA9"/>
    <w:rsid w:val="23CA57E5"/>
    <w:rsid w:val="23DA37D9"/>
    <w:rsid w:val="24B92327"/>
    <w:rsid w:val="24C14514"/>
    <w:rsid w:val="2500357E"/>
    <w:rsid w:val="25331E67"/>
    <w:rsid w:val="2533755C"/>
    <w:rsid w:val="254D5DCA"/>
    <w:rsid w:val="25791755"/>
    <w:rsid w:val="25BB62D3"/>
    <w:rsid w:val="25DE2660"/>
    <w:rsid w:val="25E249D2"/>
    <w:rsid w:val="26396DF4"/>
    <w:rsid w:val="263F346C"/>
    <w:rsid w:val="26A05057"/>
    <w:rsid w:val="27167136"/>
    <w:rsid w:val="272F7B04"/>
    <w:rsid w:val="27446A22"/>
    <w:rsid w:val="27A1130A"/>
    <w:rsid w:val="27B23302"/>
    <w:rsid w:val="27E521E4"/>
    <w:rsid w:val="280D02EC"/>
    <w:rsid w:val="283E4272"/>
    <w:rsid w:val="285E1E5B"/>
    <w:rsid w:val="28654A4A"/>
    <w:rsid w:val="28BA1C74"/>
    <w:rsid w:val="28D13E84"/>
    <w:rsid w:val="28F819C0"/>
    <w:rsid w:val="29310A5F"/>
    <w:rsid w:val="293549EC"/>
    <w:rsid w:val="29672C9C"/>
    <w:rsid w:val="296B1649"/>
    <w:rsid w:val="29C37A35"/>
    <w:rsid w:val="29DA28F0"/>
    <w:rsid w:val="2A076083"/>
    <w:rsid w:val="2A2A4BD6"/>
    <w:rsid w:val="2A591730"/>
    <w:rsid w:val="2A73162E"/>
    <w:rsid w:val="2A827D02"/>
    <w:rsid w:val="2ABE067B"/>
    <w:rsid w:val="2B167953"/>
    <w:rsid w:val="2B200583"/>
    <w:rsid w:val="2B220B3A"/>
    <w:rsid w:val="2B6202D0"/>
    <w:rsid w:val="2B8209DE"/>
    <w:rsid w:val="2C4F5E0F"/>
    <w:rsid w:val="2C6722C9"/>
    <w:rsid w:val="2C6762A3"/>
    <w:rsid w:val="2CDB7CA3"/>
    <w:rsid w:val="2CF26AF4"/>
    <w:rsid w:val="2DB57D5D"/>
    <w:rsid w:val="2DCA5DDE"/>
    <w:rsid w:val="2DE35795"/>
    <w:rsid w:val="2DF838F4"/>
    <w:rsid w:val="2E9A2520"/>
    <w:rsid w:val="2E9E3B2A"/>
    <w:rsid w:val="2EBF7B3E"/>
    <w:rsid w:val="2EDE1934"/>
    <w:rsid w:val="2FAB2C4C"/>
    <w:rsid w:val="2FCA4B37"/>
    <w:rsid w:val="2FE029D7"/>
    <w:rsid w:val="2FEB740C"/>
    <w:rsid w:val="2FEB7875"/>
    <w:rsid w:val="2FF06E00"/>
    <w:rsid w:val="303308C8"/>
    <w:rsid w:val="30352FDC"/>
    <w:rsid w:val="304B6150"/>
    <w:rsid w:val="30562E26"/>
    <w:rsid w:val="30586FEC"/>
    <w:rsid w:val="3072726C"/>
    <w:rsid w:val="309F3FD1"/>
    <w:rsid w:val="30EC7046"/>
    <w:rsid w:val="31542C03"/>
    <w:rsid w:val="315F0B22"/>
    <w:rsid w:val="319D022C"/>
    <w:rsid w:val="31C90022"/>
    <w:rsid w:val="31CE1843"/>
    <w:rsid w:val="31D84415"/>
    <w:rsid w:val="32285F6F"/>
    <w:rsid w:val="32770556"/>
    <w:rsid w:val="329C0913"/>
    <w:rsid w:val="32AA0460"/>
    <w:rsid w:val="32AE1C19"/>
    <w:rsid w:val="32E04365"/>
    <w:rsid w:val="332C70C9"/>
    <w:rsid w:val="3337290D"/>
    <w:rsid w:val="3394268C"/>
    <w:rsid w:val="339B6512"/>
    <w:rsid w:val="33BF3EFF"/>
    <w:rsid w:val="33E31118"/>
    <w:rsid w:val="33EF7674"/>
    <w:rsid w:val="342D7BC6"/>
    <w:rsid w:val="349A354B"/>
    <w:rsid w:val="352930DB"/>
    <w:rsid w:val="35573069"/>
    <w:rsid w:val="355F6038"/>
    <w:rsid w:val="3588057E"/>
    <w:rsid w:val="358C217E"/>
    <w:rsid w:val="35937598"/>
    <w:rsid w:val="35D5719F"/>
    <w:rsid w:val="36C9128A"/>
    <w:rsid w:val="36EA1AF8"/>
    <w:rsid w:val="372E3953"/>
    <w:rsid w:val="372E4AF3"/>
    <w:rsid w:val="3738042F"/>
    <w:rsid w:val="37841E99"/>
    <w:rsid w:val="3795300E"/>
    <w:rsid w:val="379764D5"/>
    <w:rsid w:val="37BF1123"/>
    <w:rsid w:val="38011994"/>
    <w:rsid w:val="38304C24"/>
    <w:rsid w:val="383C3F15"/>
    <w:rsid w:val="38BE4696"/>
    <w:rsid w:val="38F175CC"/>
    <w:rsid w:val="3939115E"/>
    <w:rsid w:val="393B383E"/>
    <w:rsid w:val="399B24E1"/>
    <w:rsid w:val="39AE1545"/>
    <w:rsid w:val="39B82A39"/>
    <w:rsid w:val="39C42CA8"/>
    <w:rsid w:val="39CE7F18"/>
    <w:rsid w:val="39DC4FD6"/>
    <w:rsid w:val="39F03D7A"/>
    <w:rsid w:val="39F33306"/>
    <w:rsid w:val="3A24042B"/>
    <w:rsid w:val="3A2C1C67"/>
    <w:rsid w:val="3A2D3811"/>
    <w:rsid w:val="3A870B90"/>
    <w:rsid w:val="3AC16964"/>
    <w:rsid w:val="3AC47037"/>
    <w:rsid w:val="3B014B51"/>
    <w:rsid w:val="3B1705E5"/>
    <w:rsid w:val="3B18334B"/>
    <w:rsid w:val="3B36794F"/>
    <w:rsid w:val="3B46102D"/>
    <w:rsid w:val="3B5514EE"/>
    <w:rsid w:val="3B7F0973"/>
    <w:rsid w:val="3BFA250F"/>
    <w:rsid w:val="3C4E5D54"/>
    <w:rsid w:val="3C553C3D"/>
    <w:rsid w:val="3C566AD6"/>
    <w:rsid w:val="3C5A555C"/>
    <w:rsid w:val="3C6A5B02"/>
    <w:rsid w:val="3C8D7C05"/>
    <w:rsid w:val="3C8F049C"/>
    <w:rsid w:val="3D007237"/>
    <w:rsid w:val="3D2757A1"/>
    <w:rsid w:val="3D3D4FC4"/>
    <w:rsid w:val="3D6930FF"/>
    <w:rsid w:val="3D770654"/>
    <w:rsid w:val="3D8647D6"/>
    <w:rsid w:val="3DA61973"/>
    <w:rsid w:val="3DCF74F9"/>
    <w:rsid w:val="3DDB4585"/>
    <w:rsid w:val="3DDF3AB1"/>
    <w:rsid w:val="3E1D0952"/>
    <w:rsid w:val="3E2A64F7"/>
    <w:rsid w:val="3E42660A"/>
    <w:rsid w:val="3E4650D7"/>
    <w:rsid w:val="3E7555B1"/>
    <w:rsid w:val="3E787ED9"/>
    <w:rsid w:val="3E973E3A"/>
    <w:rsid w:val="3EAC37F7"/>
    <w:rsid w:val="3EEC37F3"/>
    <w:rsid w:val="3F032E93"/>
    <w:rsid w:val="3F0527E5"/>
    <w:rsid w:val="3F694D83"/>
    <w:rsid w:val="3F885DCC"/>
    <w:rsid w:val="3FBB5D44"/>
    <w:rsid w:val="3FCD675E"/>
    <w:rsid w:val="3FEC2A0A"/>
    <w:rsid w:val="4004000C"/>
    <w:rsid w:val="40AB2E95"/>
    <w:rsid w:val="411B6CE5"/>
    <w:rsid w:val="412070D7"/>
    <w:rsid w:val="41307B0F"/>
    <w:rsid w:val="41314E40"/>
    <w:rsid w:val="419122D3"/>
    <w:rsid w:val="41A70B41"/>
    <w:rsid w:val="41AF53B1"/>
    <w:rsid w:val="41E0734B"/>
    <w:rsid w:val="41ED7DAF"/>
    <w:rsid w:val="41FE4304"/>
    <w:rsid w:val="42076E02"/>
    <w:rsid w:val="422657FD"/>
    <w:rsid w:val="42346EFD"/>
    <w:rsid w:val="425C0BD0"/>
    <w:rsid w:val="426554D0"/>
    <w:rsid w:val="426C1EA8"/>
    <w:rsid w:val="42736402"/>
    <w:rsid w:val="42BB4359"/>
    <w:rsid w:val="42C72169"/>
    <w:rsid w:val="42E86A87"/>
    <w:rsid w:val="42EA0F10"/>
    <w:rsid w:val="430F487B"/>
    <w:rsid w:val="432A13EA"/>
    <w:rsid w:val="43307B09"/>
    <w:rsid w:val="43516478"/>
    <w:rsid w:val="438D0E97"/>
    <w:rsid w:val="43971F9B"/>
    <w:rsid w:val="439C0215"/>
    <w:rsid w:val="43B161A4"/>
    <w:rsid w:val="43BB152F"/>
    <w:rsid w:val="44B160C1"/>
    <w:rsid w:val="44BF25DF"/>
    <w:rsid w:val="44C37687"/>
    <w:rsid w:val="45211C2F"/>
    <w:rsid w:val="453B610A"/>
    <w:rsid w:val="456950C7"/>
    <w:rsid w:val="459A7EE0"/>
    <w:rsid w:val="45B64574"/>
    <w:rsid w:val="45CB699A"/>
    <w:rsid w:val="45CC78B7"/>
    <w:rsid w:val="462B7D7A"/>
    <w:rsid w:val="463C06A7"/>
    <w:rsid w:val="463C266D"/>
    <w:rsid w:val="46544B01"/>
    <w:rsid w:val="465B470D"/>
    <w:rsid w:val="466F3A35"/>
    <w:rsid w:val="46860B84"/>
    <w:rsid w:val="469D6AD4"/>
    <w:rsid w:val="46B6387E"/>
    <w:rsid w:val="46CF2986"/>
    <w:rsid w:val="46EF2483"/>
    <w:rsid w:val="471E6C84"/>
    <w:rsid w:val="47334959"/>
    <w:rsid w:val="4748792B"/>
    <w:rsid w:val="475D719D"/>
    <w:rsid w:val="47674801"/>
    <w:rsid w:val="4788789E"/>
    <w:rsid w:val="47890AFE"/>
    <w:rsid w:val="479E7181"/>
    <w:rsid w:val="47BE621A"/>
    <w:rsid w:val="4801423F"/>
    <w:rsid w:val="48225EF7"/>
    <w:rsid w:val="488F422B"/>
    <w:rsid w:val="48E36915"/>
    <w:rsid w:val="48EB6A16"/>
    <w:rsid w:val="4919431E"/>
    <w:rsid w:val="493652DD"/>
    <w:rsid w:val="49547878"/>
    <w:rsid w:val="495C4A24"/>
    <w:rsid w:val="497135DF"/>
    <w:rsid w:val="497F25FE"/>
    <w:rsid w:val="49885442"/>
    <w:rsid w:val="499F289B"/>
    <w:rsid w:val="4A263DF2"/>
    <w:rsid w:val="4A383D98"/>
    <w:rsid w:val="4A6F6675"/>
    <w:rsid w:val="4A9836B0"/>
    <w:rsid w:val="4A99601D"/>
    <w:rsid w:val="4B135857"/>
    <w:rsid w:val="4B4C5AC3"/>
    <w:rsid w:val="4B7951CB"/>
    <w:rsid w:val="4B7C315C"/>
    <w:rsid w:val="4B804039"/>
    <w:rsid w:val="4BC3109F"/>
    <w:rsid w:val="4C4E741A"/>
    <w:rsid w:val="4D007209"/>
    <w:rsid w:val="4D253836"/>
    <w:rsid w:val="4D4760DB"/>
    <w:rsid w:val="4D49615E"/>
    <w:rsid w:val="4D785BB9"/>
    <w:rsid w:val="4DAC4ACA"/>
    <w:rsid w:val="4DBE01D2"/>
    <w:rsid w:val="4DEA2F53"/>
    <w:rsid w:val="4DEF6510"/>
    <w:rsid w:val="4ED06320"/>
    <w:rsid w:val="4EFC6D10"/>
    <w:rsid w:val="4F0C6BA3"/>
    <w:rsid w:val="4F10477D"/>
    <w:rsid w:val="4F143AD8"/>
    <w:rsid w:val="4F186D58"/>
    <w:rsid w:val="4FEA65B7"/>
    <w:rsid w:val="50B106BC"/>
    <w:rsid w:val="50F06B6E"/>
    <w:rsid w:val="5114035C"/>
    <w:rsid w:val="515B1618"/>
    <w:rsid w:val="52234D33"/>
    <w:rsid w:val="522F2088"/>
    <w:rsid w:val="522F6E0C"/>
    <w:rsid w:val="523110B2"/>
    <w:rsid w:val="52463BA1"/>
    <w:rsid w:val="525331B3"/>
    <w:rsid w:val="52F163D4"/>
    <w:rsid w:val="531A2DB4"/>
    <w:rsid w:val="53561322"/>
    <w:rsid w:val="536546E7"/>
    <w:rsid w:val="538B48AF"/>
    <w:rsid w:val="53C0244D"/>
    <w:rsid w:val="53DD4D4E"/>
    <w:rsid w:val="53E578CE"/>
    <w:rsid w:val="541330F0"/>
    <w:rsid w:val="54221DBD"/>
    <w:rsid w:val="54272666"/>
    <w:rsid w:val="543B029D"/>
    <w:rsid w:val="546A6557"/>
    <w:rsid w:val="54801597"/>
    <w:rsid w:val="54861779"/>
    <w:rsid w:val="548A1087"/>
    <w:rsid w:val="54A27169"/>
    <w:rsid w:val="552256E1"/>
    <w:rsid w:val="554E5773"/>
    <w:rsid w:val="555A3CBC"/>
    <w:rsid w:val="5579651D"/>
    <w:rsid w:val="557A47CB"/>
    <w:rsid w:val="557A7AB8"/>
    <w:rsid w:val="5582012B"/>
    <w:rsid w:val="558E4E05"/>
    <w:rsid w:val="55A72B00"/>
    <w:rsid w:val="55BE2E85"/>
    <w:rsid w:val="55F26BAA"/>
    <w:rsid w:val="5631232E"/>
    <w:rsid w:val="56345530"/>
    <w:rsid w:val="56530F5D"/>
    <w:rsid w:val="567700D3"/>
    <w:rsid w:val="56916AF9"/>
    <w:rsid w:val="56ED51D1"/>
    <w:rsid w:val="56FF7E9E"/>
    <w:rsid w:val="570529CD"/>
    <w:rsid w:val="5734210F"/>
    <w:rsid w:val="578867FC"/>
    <w:rsid w:val="578A0DBF"/>
    <w:rsid w:val="579A6DAA"/>
    <w:rsid w:val="58230DB0"/>
    <w:rsid w:val="582C5278"/>
    <w:rsid w:val="583159EC"/>
    <w:rsid w:val="5842572D"/>
    <w:rsid w:val="58E15F82"/>
    <w:rsid w:val="59375431"/>
    <w:rsid w:val="5956611B"/>
    <w:rsid w:val="59807AB7"/>
    <w:rsid w:val="5A3B59D6"/>
    <w:rsid w:val="5A484FBA"/>
    <w:rsid w:val="5A5655AD"/>
    <w:rsid w:val="5A8F039C"/>
    <w:rsid w:val="5AA60629"/>
    <w:rsid w:val="5AB059FF"/>
    <w:rsid w:val="5AB907BA"/>
    <w:rsid w:val="5AD051B0"/>
    <w:rsid w:val="5AD134D8"/>
    <w:rsid w:val="5B0609A8"/>
    <w:rsid w:val="5B3C13CB"/>
    <w:rsid w:val="5B6503B1"/>
    <w:rsid w:val="5BCF2C55"/>
    <w:rsid w:val="5BF31299"/>
    <w:rsid w:val="5C162408"/>
    <w:rsid w:val="5C263CE4"/>
    <w:rsid w:val="5C445EF2"/>
    <w:rsid w:val="5C5D2777"/>
    <w:rsid w:val="5C864536"/>
    <w:rsid w:val="5CB15AFF"/>
    <w:rsid w:val="5CD27AD0"/>
    <w:rsid w:val="5CF66BF3"/>
    <w:rsid w:val="5CFC0394"/>
    <w:rsid w:val="5D290C69"/>
    <w:rsid w:val="5D6A4B89"/>
    <w:rsid w:val="5D794ECF"/>
    <w:rsid w:val="5D8C7F79"/>
    <w:rsid w:val="5D9504E9"/>
    <w:rsid w:val="5DA7760E"/>
    <w:rsid w:val="5E4A7B1F"/>
    <w:rsid w:val="5E5948B7"/>
    <w:rsid w:val="5EC51E5E"/>
    <w:rsid w:val="5F2D4A41"/>
    <w:rsid w:val="5F6674B5"/>
    <w:rsid w:val="5F84439E"/>
    <w:rsid w:val="5FAB09EA"/>
    <w:rsid w:val="5FF43D91"/>
    <w:rsid w:val="600B110B"/>
    <w:rsid w:val="60581D07"/>
    <w:rsid w:val="605952F6"/>
    <w:rsid w:val="60841BC8"/>
    <w:rsid w:val="60C54674"/>
    <w:rsid w:val="60C74F6C"/>
    <w:rsid w:val="60F933E5"/>
    <w:rsid w:val="61025A59"/>
    <w:rsid w:val="61231D55"/>
    <w:rsid w:val="613D5BBC"/>
    <w:rsid w:val="61536C39"/>
    <w:rsid w:val="616664E7"/>
    <w:rsid w:val="61A47424"/>
    <w:rsid w:val="61D0453F"/>
    <w:rsid w:val="61D678F0"/>
    <w:rsid w:val="62190D6B"/>
    <w:rsid w:val="622B343C"/>
    <w:rsid w:val="627644FD"/>
    <w:rsid w:val="62786A85"/>
    <w:rsid w:val="62944DD7"/>
    <w:rsid w:val="62C32044"/>
    <w:rsid w:val="62E159E3"/>
    <w:rsid w:val="62FF70C2"/>
    <w:rsid w:val="630E39E5"/>
    <w:rsid w:val="6319381F"/>
    <w:rsid w:val="63236436"/>
    <w:rsid w:val="63C25DC5"/>
    <w:rsid w:val="63C62057"/>
    <w:rsid w:val="63E24075"/>
    <w:rsid w:val="640660BC"/>
    <w:rsid w:val="642D7607"/>
    <w:rsid w:val="64314393"/>
    <w:rsid w:val="64571EF5"/>
    <w:rsid w:val="6479688E"/>
    <w:rsid w:val="649B0F46"/>
    <w:rsid w:val="64D135C9"/>
    <w:rsid w:val="64FB113D"/>
    <w:rsid w:val="65547309"/>
    <w:rsid w:val="656152C6"/>
    <w:rsid w:val="6587477F"/>
    <w:rsid w:val="658C3A08"/>
    <w:rsid w:val="65C031CA"/>
    <w:rsid w:val="65CE6852"/>
    <w:rsid w:val="66267C04"/>
    <w:rsid w:val="663F505A"/>
    <w:rsid w:val="66471FDB"/>
    <w:rsid w:val="66967186"/>
    <w:rsid w:val="66975896"/>
    <w:rsid w:val="66B07AC5"/>
    <w:rsid w:val="66EE5541"/>
    <w:rsid w:val="673E39A9"/>
    <w:rsid w:val="67924660"/>
    <w:rsid w:val="67C97FCF"/>
    <w:rsid w:val="67D252F5"/>
    <w:rsid w:val="68407834"/>
    <w:rsid w:val="6883293E"/>
    <w:rsid w:val="688412AD"/>
    <w:rsid w:val="68D45641"/>
    <w:rsid w:val="68EB1B71"/>
    <w:rsid w:val="69294197"/>
    <w:rsid w:val="69306BCD"/>
    <w:rsid w:val="69475C96"/>
    <w:rsid w:val="696854AA"/>
    <w:rsid w:val="696E450E"/>
    <w:rsid w:val="697E0C46"/>
    <w:rsid w:val="69A04D18"/>
    <w:rsid w:val="69BD0B4E"/>
    <w:rsid w:val="6A091928"/>
    <w:rsid w:val="6AAD2300"/>
    <w:rsid w:val="6B17125A"/>
    <w:rsid w:val="6B474EF5"/>
    <w:rsid w:val="6B700CE0"/>
    <w:rsid w:val="6B74651A"/>
    <w:rsid w:val="6B854245"/>
    <w:rsid w:val="6BBF53FD"/>
    <w:rsid w:val="6C0377F5"/>
    <w:rsid w:val="6C560CAE"/>
    <w:rsid w:val="6C576495"/>
    <w:rsid w:val="6D2F0513"/>
    <w:rsid w:val="6D5A58E0"/>
    <w:rsid w:val="6D903FF5"/>
    <w:rsid w:val="6DA955B8"/>
    <w:rsid w:val="6DAF4CBF"/>
    <w:rsid w:val="6DE346AB"/>
    <w:rsid w:val="6DE5391A"/>
    <w:rsid w:val="6E24774D"/>
    <w:rsid w:val="6E485835"/>
    <w:rsid w:val="6E4E3125"/>
    <w:rsid w:val="6E577018"/>
    <w:rsid w:val="6E7F603C"/>
    <w:rsid w:val="6E967090"/>
    <w:rsid w:val="6EFD1324"/>
    <w:rsid w:val="6F4B37BB"/>
    <w:rsid w:val="6F5A53AC"/>
    <w:rsid w:val="6FAC003D"/>
    <w:rsid w:val="6FE55E12"/>
    <w:rsid w:val="6FE807D4"/>
    <w:rsid w:val="6FFB2E76"/>
    <w:rsid w:val="70351D5A"/>
    <w:rsid w:val="704D6E60"/>
    <w:rsid w:val="706F07AD"/>
    <w:rsid w:val="708F6F7F"/>
    <w:rsid w:val="7098683D"/>
    <w:rsid w:val="70D94BD3"/>
    <w:rsid w:val="71012F34"/>
    <w:rsid w:val="713411A4"/>
    <w:rsid w:val="715D0262"/>
    <w:rsid w:val="719E4F6D"/>
    <w:rsid w:val="71C34D91"/>
    <w:rsid w:val="71D648BC"/>
    <w:rsid w:val="71FE3247"/>
    <w:rsid w:val="721466BC"/>
    <w:rsid w:val="721D33BA"/>
    <w:rsid w:val="72443859"/>
    <w:rsid w:val="72633F2E"/>
    <w:rsid w:val="72820FAD"/>
    <w:rsid w:val="72A31CC7"/>
    <w:rsid w:val="72DB435C"/>
    <w:rsid w:val="72E2613A"/>
    <w:rsid w:val="72F771F4"/>
    <w:rsid w:val="733639F9"/>
    <w:rsid w:val="736650B0"/>
    <w:rsid w:val="738B5944"/>
    <w:rsid w:val="73934AD2"/>
    <w:rsid w:val="739E0536"/>
    <w:rsid w:val="73DC7D29"/>
    <w:rsid w:val="745438E3"/>
    <w:rsid w:val="74F442F8"/>
    <w:rsid w:val="750837F0"/>
    <w:rsid w:val="754758CF"/>
    <w:rsid w:val="75513E22"/>
    <w:rsid w:val="757018C3"/>
    <w:rsid w:val="7596115F"/>
    <w:rsid w:val="764F62AB"/>
    <w:rsid w:val="765C45EC"/>
    <w:rsid w:val="768A7619"/>
    <w:rsid w:val="76A026B8"/>
    <w:rsid w:val="76AC5F0C"/>
    <w:rsid w:val="76C62E9B"/>
    <w:rsid w:val="76E90442"/>
    <w:rsid w:val="772A5796"/>
    <w:rsid w:val="772E1EBA"/>
    <w:rsid w:val="776E5014"/>
    <w:rsid w:val="77B11A0B"/>
    <w:rsid w:val="77C706E6"/>
    <w:rsid w:val="77E1284F"/>
    <w:rsid w:val="77E46836"/>
    <w:rsid w:val="77EB79F7"/>
    <w:rsid w:val="7821392B"/>
    <w:rsid w:val="78216FBB"/>
    <w:rsid w:val="796D60A4"/>
    <w:rsid w:val="79A031D5"/>
    <w:rsid w:val="7A1525F7"/>
    <w:rsid w:val="7A53125F"/>
    <w:rsid w:val="7A761CA3"/>
    <w:rsid w:val="7AD710F5"/>
    <w:rsid w:val="7AE50DE4"/>
    <w:rsid w:val="7B1D6CA3"/>
    <w:rsid w:val="7B420052"/>
    <w:rsid w:val="7B5F622F"/>
    <w:rsid w:val="7B861484"/>
    <w:rsid w:val="7BD06A28"/>
    <w:rsid w:val="7BF47BB0"/>
    <w:rsid w:val="7C265CF4"/>
    <w:rsid w:val="7C390C4A"/>
    <w:rsid w:val="7C3A7C0B"/>
    <w:rsid w:val="7C43212B"/>
    <w:rsid w:val="7C5248E4"/>
    <w:rsid w:val="7C566698"/>
    <w:rsid w:val="7C5866A3"/>
    <w:rsid w:val="7CE25811"/>
    <w:rsid w:val="7D171301"/>
    <w:rsid w:val="7D7406BB"/>
    <w:rsid w:val="7D887E9A"/>
    <w:rsid w:val="7DE94331"/>
    <w:rsid w:val="7E3D5052"/>
    <w:rsid w:val="7E652418"/>
    <w:rsid w:val="7E946ACD"/>
    <w:rsid w:val="7F106B65"/>
    <w:rsid w:val="7F446A19"/>
    <w:rsid w:val="7F5303D1"/>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character" w:customStyle="1" w:styleId="17">
    <w:name w:val="font71"/>
    <w:basedOn w:val="8"/>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2</TotalTime>
  <ScaleCrop>false</ScaleCrop>
  <LinksUpToDate>false</LinksUpToDate>
  <CharactersWithSpaces>27407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2024-09-20T08:06:55Z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