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rPr>
        <w:t>膏田镇综合行政执法大队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1.综合行政执法办公室。</w:t>
      </w:r>
      <w:r>
        <w:rPr>
          <w:rFonts w:hint="eastAsia" w:ascii="Times New Roman" w:hAnsi="Times New Roman" w:eastAsia="方正仿宋_GBK" w:cs="Times New Roman"/>
          <w:kern w:val="2"/>
          <w:sz w:val="32"/>
          <w:szCs w:val="32"/>
          <w:lang w:val="en-US" w:eastAsia="zh-CN" w:bidi="ar-SA"/>
        </w:rPr>
        <w:t>集中行使依法授权或委托乡镇政府承担的各项行政执法权；协调、配合县级有关单位及派驻机构开展其他领域的联合执法。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2.综合行政执法大队。</w:t>
      </w:r>
      <w:r>
        <w:rPr>
          <w:rFonts w:hint="eastAsia" w:ascii="Times New Roman" w:hAnsi="Times New Roman" w:eastAsia="方正仿宋_GBK" w:cs="Times New Roman"/>
          <w:kern w:val="2"/>
          <w:sz w:val="32"/>
          <w:szCs w:val="32"/>
          <w:lang w:val="en-US" w:eastAsia="zh-CN" w:bidi="ar-SA"/>
        </w:rPr>
        <w:t>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2023年度收入总计37.00万元，支出总计37.00万元。收支较上年决算数增加32.58万元，增长100.00%，主要原因是2022年度本单位与部门合并编报决算，按照市财政局要求，2023年度独立编报决算，故与上年对比增长100.00%。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37万元，较上年决算数增加32.58万元，增长100.00%，主要原因是2022年度本单位与部门合并编报决算，按照市财政局要求，2023年度独立编报决算，故与上年对比增长100.00%。其中：财政拨款收入37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支出合计37万元，较上年决算数增加37万元，增长100.00%，主要原因是2022年度本单位与部门合并编报决算，按照市财政局要求，2023年度独立编报决算，故与上年对比增长100.00%。其中：基本支出32.58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。2023年度年末结转和结余0.00万元，较上年决算数无增减，主要原因是本年度无结转结余。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37万元。与2022年相比，财政拨款收、支总计各增加37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收入37万元，较上年决算数增加37万元，增长100.00%。主要原因是2022年度本单位与部门合并编报决算，按照市财政局要求，2023年度独立编报决算，故与上年对比增长100.00%。较年初预算数增加0.79万元，，增长2.18%。主要原因是人员增加。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32.58万元，较上年决算数增加32.58万元，增长100.00%。主要原因是2022年度本单位与部门合并编报决算，按照市财政局要求，2023年度独立编报决算，故与上年对比增长100.00%。较年初预算数减少7.76万元，下降19.24%。主要原因是人员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2023年度年末一般公共预算财政拨款结转和结余0.00万元，较上年决算数无增减，主要原因是本年度无结转结余资金。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（1）社会保障与就业支出4.66万元，占12.59%，较年年初预算数无增减。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（2）卫生健康支出1.34万元，占3.61%，较年初预算数无增减。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（3）城乡社区支出28.27万元，占76.42%，较年初预算数减少0.06万元，下降0.21%，主要原因是人员增减变动。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（4）住房保障支出2.73万元，占7.38%，较年初预算数无增减。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37.00万元。其中：人员经费37.00万元，较上年决算数增37.00万元，增长100.00%，主要原因是2022年度本单位与部门合并编报决算，按照市财政局要求，2023年度独立编报决算，故与上年对比增长100.00%。人员经费用途主要包括工资福利支出。公用经费3.64万元，较上年决算数增加3.64万元，增长100.00%，主要原因是2022年度本单位与部门合并编报决算，按照市财政局要求，2023年度独立编报决算，故与上年对比增长100.00%。公用经费用途主要包括办公费、水电费、通信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膏田镇人民政府处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本单位为二级单位，未列支会议费。本年度培训费支出0.09万元，较上年决算数增加0.09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我单位无项目，故未开展项目绩效评价。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bookmarkStart w:id="0" w:name="_GoBack"/>
      <w:bookmarkEnd w:id="0"/>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33.36</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5A7F85"/>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7E1C42"/>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711BD"/>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2E5509"/>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163AB7"/>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E5813"/>
    <w:rsid w:val="71C34D91"/>
    <w:rsid w:val="72DB435C"/>
    <w:rsid w:val="72E2613A"/>
    <w:rsid w:val="72F771F4"/>
    <w:rsid w:val="73934AD2"/>
    <w:rsid w:val="750837F0"/>
    <w:rsid w:val="754758CF"/>
    <w:rsid w:val="764F62AB"/>
    <w:rsid w:val="765C45EC"/>
    <w:rsid w:val="768A7619"/>
    <w:rsid w:val="76C31C67"/>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