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rPr>
        <w:t>膏田镇劳动就业和社会保障服务所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承担就业、再就业以及农村富余劳动力转移，受社会保险经办机构的委托，负责办理辖区内养老、失业、医疗、工伤、生育保险等社会保障工作，负责辖区内劳动关系协调处理，受理劳动保障监察案件举报投诉和初步调查处理等工作。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劳动就业和社会保障服务所。</w:t>
      </w:r>
      <w:r>
        <w:rPr>
          <w:rFonts w:hint="eastAsia" w:ascii="Times New Roman" w:hAnsi="Times New Roman" w:eastAsia="方正仿宋_GBK" w:cs="Times New Roman"/>
          <w:kern w:val="2"/>
          <w:sz w:val="32"/>
          <w:szCs w:val="32"/>
          <w:lang w:val="en-US" w:eastAsia="zh-CN" w:bidi="ar-SA"/>
        </w:rPr>
        <w:t>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收入总计66.81万元，支出总计66.81万元。收支较上年决算数增加66.81万元，增长100.00%，主要原因是主要原因是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66.81万元，较上年决算数增加66.81万元，增长100.00%，主要原因是2022年度本单位与部门合并编报决算，按照市财政局要求，2023年度独立编报决算，故与上年对比增长100.00%。其中：财政拨款收入66.81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66.81万元，较上年决算数增加66.81万元，增长100.00%，主要原因是是2022年度本单位与部门合并编报决算，按照市财政局要求，2023年度独立编报决算，故与上年对比增长100.00%。其中：基本支出25.66万元，占38.40%；项目支出41.15万元，占61.60%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2023年度年末结转和结余0.00万元，较上年决算数无增减，主要原因是2022年度本单位与部门合并编报决算，按照市财政局要求，2023年度独立编报决算，故与上年对比无增减。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66.81万元。与2022年相比，财政拨款收、支总计各增加66.81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66.81万元，较上年决算数增加66.81万元，增长100.00%。主要原因是2022年度本单位与部门合并编报决算，按照市财政局要求，2023年度独立编报决算，故与上年对比增长100.00%。较年初预算数增加45.61万元，增长215.14%。主要原因是人员增减变化，年中增加义务兵优待、残疾人等预算收入。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2023年度一般公共预算财政拨款支出66.81万元，较上年决算数增加66.81万元，增长100.00%。主要原因是2022年度本单位与部门合并编报决算，按照市财政局要求，2023年度独立编报决算，故与上年对比增长100.00%。较年初预算数增加23.32万元，增长53.62%。主要原因是人员增减变化，年中增加义务兵优待支出、残疾人等预算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2023年度年末一般公共预算财政拨款结转和结余0.00万元，较上年决算数无增减，主要原因是2022年度本单位与部门合并编报决算，按照市财政局要求，2023年度独立编报决算，故与上年对比无增减。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（1）社会保障与就业支出64.36万元，占96.34%，较年初预算数增加23.32万元，增长56.82%，主要原因是人员增减变化，年中增加义务兵优待支出、残疾人等预算支出。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（2）卫生健康支出0.86万元，占1.28%，较年初预算数无增减，主要原因是人员增减变化。</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（3）住房保障支出1.59万元，占2.38%，较年初预算数无增减，主要原因是人员增减变化。</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 2023年度一般公共财政拨款基本支出25.66万元。其中：人员经费23.69万元，较上年决算数增加23.69万元，增长100.00%，主要原因是2022年度本单位与部门合并编报决算，按照市财政局要求，2023年度独立编报决算，故与上年对比增长100.00%。人员经费用途主要包括工资福利支出等。公用经费1.97万元，较上年决算数增加1.97万元，增长100.00%，主要原因是2022年度本单位与部门合并编报决算，按照市财政局要求，2023年度独立编报决算，故与上年对比增长100.00%。公用经费用途主要包括办公费、水电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膏田镇人民政府处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本单位为二级单位，未列支会议费。本年度培训费支出0.50万元，较上年决算数增加0.50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w:t>
      </w:r>
      <w:bookmarkStart w:id="0" w:name="_GoBack"/>
      <w:bookmarkEnd w:id="0"/>
      <w:r>
        <w:rPr>
          <w:rFonts w:hint="eastAsia" w:ascii="Times New Roman" w:hAnsi="Times New Roman" w:eastAsia="方正仿宋_GBK" w:cs="Times New Roman"/>
          <w:kern w:val="2"/>
          <w:sz w:val="32"/>
          <w:szCs w:val="32"/>
          <w:lang w:val="en-US" w:eastAsia="zh-CN" w:bidi="ar-SA"/>
        </w:rPr>
        <w:t>9个二级项目开展了绩效自评，涉及财政拨款项目支出资金41.15万元。2023年项目支出绩效自评表（二级项目）详见附件1。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义务兵（含消防士）家庭优待金开展了绩效评价，涉及财政拨款项目资金16.46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p>
    <w:p>
      <w:pPr>
        <w:keepNext w:val="0"/>
        <w:keepLines w:val="0"/>
        <w:widowControl/>
        <w:suppressLineNumbers w:val="0"/>
        <w:jc w:val="both"/>
        <w:textAlignment w:val="center"/>
        <w:rPr>
          <w:rStyle w:val="8"/>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义务兵（含消防士）家庭优待金</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涉及义务兵人数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40.00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40.00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资金及时拨付率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义务兵家庭受益</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全部完成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重庆市秀山土家族苗族自治县膏田镇劳动就业和社会保障服务所</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66.81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64.36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66.81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66.81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66.81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66.81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66.81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280" w:type="dxa"/>
        <w:tblInd w:w="0" w:type="dxa"/>
        <w:tblLayout w:type="fixed"/>
        <w:tblCellMar>
          <w:top w:w="0" w:type="dxa"/>
          <w:left w:w="0" w:type="dxa"/>
          <w:bottom w:w="0" w:type="dxa"/>
          <w:right w:w="0" w:type="dxa"/>
        </w:tblCellMar>
      </w:tblPr>
      <w:tblGrid>
        <w:gridCol w:w="1845"/>
        <w:gridCol w:w="3527"/>
        <w:gridCol w:w="3297"/>
        <w:gridCol w:w="1"/>
        <w:gridCol w:w="3297"/>
        <w:gridCol w:w="1"/>
        <w:gridCol w:w="3312"/>
      </w:tblGrid>
      <w:tr>
        <w:tblPrEx>
          <w:tblLayout w:type="fixed"/>
          <w:tblCellMar>
            <w:top w:w="0" w:type="dxa"/>
            <w:left w:w="0" w:type="dxa"/>
            <w:bottom w:w="0" w:type="dxa"/>
            <w:right w:w="0" w:type="dxa"/>
          </w:tblCellMar>
        </w:tblPrEx>
        <w:trPr>
          <w:trHeight w:val="380" w:hRule="atLeast"/>
        </w:trPr>
        <w:tc>
          <w:tcPr>
            <w:tcW w:w="1528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194" w:hRule="atLeast"/>
        </w:trPr>
        <w:tc>
          <w:tcPr>
            <w:tcW w:w="866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3298"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3" w:type="dxa"/>
            <w:gridSpan w:val="2"/>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194" w:hRule="atLeast"/>
        </w:trPr>
        <w:tc>
          <w:tcPr>
            <w:tcW w:w="866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8"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3" w:type="dxa"/>
            <w:gridSpan w:val="2"/>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0" w:hRule="atLeast"/>
        </w:trPr>
        <w:tc>
          <w:tcPr>
            <w:tcW w:w="53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08"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4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4" w:hRule="atLeast"/>
        </w:trPr>
        <w:tc>
          <w:tcPr>
            <w:tcW w:w="184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00" w:hRule="atLeast"/>
        </w:trPr>
        <w:tc>
          <w:tcPr>
            <w:tcW w:w="537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66.81</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25.66</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41.15</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64.36</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23.21</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41.15</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20.43</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20.43</w:t>
            </w: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1.86</w:t>
            </w: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32.84</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32.84</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32.84</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32.84</w:t>
            </w: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8.05</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8.05</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0.10</w:t>
            </w:r>
            <w:r>
              <w:rPr>
                <w:b/>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0.10</w:t>
            </w: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0"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w:t>
            </w:r>
            <w:r>
              <w:rPr>
                <w:b/>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6" w:hRule="atLeast"/>
        </w:trPr>
        <w:tc>
          <w:tcPr>
            <w:tcW w:w="18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329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3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23.69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重庆市秀山土家族苗族自治县膏田镇劳动就业和社会保障服务所</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806F7D"/>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A265E"/>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592B12"/>
    <w:rsid w:val="24B92327"/>
    <w:rsid w:val="24C14514"/>
    <w:rsid w:val="2533755C"/>
    <w:rsid w:val="25791755"/>
    <w:rsid w:val="26396DF4"/>
    <w:rsid w:val="27167136"/>
    <w:rsid w:val="271B442C"/>
    <w:rsid w:val="27B23302"/>
    <w:rsid w:val="28EF5A7D"/>
    <w:rsid w:val="29310A5F"/>
    <w:rsid w:val="29C37A35"/>
    <w:rsid w:val="2A076083"/>
    <w:rsid w:val="2A73162E"/>
    <w:rsid w:val="2B167953"/>
    <w:rsid w:val="2B200583"/>
    <w:rsid w:val="2B8209DE"/>
    <w:rsid w:val="2C474368"/>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22EA4"/>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C274C6"/>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5D74C0"/>
    <w:rsid w:val="60C74F6C"/>
    <w:rsid w:val="61025A59"/>
    <w:rsid w:val="613D5BBC"/>
    <w:rsid w:val="61536C39"/>
    <w:rsid w:val="62944DD7"/>
    <w:rsid w:val="6319381F"/>
    <w:rsid w:val="63C25DC5"/>
    <w:rsid w:val="63C62057"/>
    <w:rsid w:val="6431668F"/>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7E0"/>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