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lang w:val="en-US" w:eastAsia="zh-CN"/>
        </w:rPr>
        <w:t>膏田镇财政办公室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bookmarkStart w:id="0" w:name="_GoBack"/>
      <w:bookmarkEnd w:id="0"/>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财政办公室。</w:t>
      </w:r>
      <w:r>
        <w:rPr>
          <w:rFonts w:hint="eastAsia" w:ascii="Times New Roman" w:hAnsi="Times New Roman" w:eastAsia="方正仿宋_GBK" w:cs="Times New Roman"/>
          <w:kern w:val="2"/>
          <w:sz w:val="32"/>
          <w:szCs w:val="32"/>
          <w:lang w:val="en-US" w:eastAsia="zh-CN" w:bidi="ar-SA"/>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2023年度收入总计56.29万元，支出总计56.29万元。收支较上年决算数增加56.29万元，增长100.00%，主要原因是2022年度本单位与部门合并编报决算，按照市财政局要求2023年度独立编报决算，故与上年对比增长100%。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56.29万元，较上年决算数增加56.29万元，增长100.00%，主要原因是2022年度本单位与部门合并编报决算，按照市财政局要求2023年度独立编报决算，故与上年对比增长100%。其中：财政拨款收入56.29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56.29万元，较上年决算数增加56.29万元，增长100.00%，主要原因是2022年度本单位与部门合并编报决算，按照市财政局要求2023年度独立编报决算，故与上年对比增长100%。其中：基本支出56.29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2023年度年末结转和结余0.00万元，较上年决算数无增减，主要原因是资金已使用完，无结转结余。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56.29万元。与2022年相比，财政拨款收、支总计各增加56.29万元，增长100.00%。主要原因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收入56.29万元，较上年决算数增加56.29万元，增长100.00%。主要原因是2022年度本单位与部门合并编报决算，按照市财政局要求2023年度独立编报决算，故与上年对比增长100%。较年初预算数减少7.26万元，下降11.42%。主要原因是人员工资调减，人员经费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支出56.29万元，较上年决算数增加56.29万元，增长100.00%。主要原因是2022年度本单位与部门合并编报决算，按照市财政局要求2023年度独立编报决算，故与上年对比增长100%。较年初预算数减少7.26万元，下降11.42%。主要原因是人员工资调减，人员经费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2023年度年末一般公共预算财政拨款结转和结余0.00万元，较上年决算数无增减，主要原因是资金已使用完，无结转结余。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（1）一般公共服务支出41.11万元，占73.04%，较年初预算数减少8.03万元，下降16.34%，主要原因是人员工资调减，人员经费降低。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（2）社会保障与就业支出8.26万元，占14.67%，较年初预算数减少0.74万元，下降9.72%，主要原因是社保基数调整。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（3）卫生健康支出2.31万元，占4.11%，较年初预算数无增减，主要原因是资金已使用完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（4）住房保障支出4.60万元，占8.18%，较年初预算数无增减，主要原因是资金已使用完。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 2023年度一般公共财政拨款基本支出56.29万元。其中：人员经费48.58万元，较上年决算数增加48.58万元，增长100.00%，主要原因是2022年度本单位与部门合并编报决算，按照市财政局要求2023年度独立编报决算，故与上年对比增长100%。人员经费用途主要包括在职职工工资、绩效、社保公积金配套、体检费等开支。公用经费7.70万元，较上年决算数增加7.70万元，增长100.00%，主要原因是2022年度本单位与部门合并编报决算，按照市财政局要求2023年度独立编报决算，故与上年对比增长100%。公用经费用途主要包括水费、报刊费、食堂生活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膏田镇人民政府处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2022年度本单位与部门合并编报决算，按照市财政局要求2023年度独立编报决算，本年度未发生会议费。本年度培训费支出0.23万元，较上年决算数增加0.23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7.70万元，机关运行经费主要用于开支办公费。机关运行经费较上年支出数增加7.70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我单位无项目，故未开展项目绩效评价。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48.58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210C7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B6236"/>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216FC"/>
    <w:rsid w:val="198F678F"/>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82CC0"/>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D7F59"/>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E83D0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9C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2024-10-08T11:23:07Z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