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重庆市秀山土家族苗族自治县兰桥镇退役军人服务站</w:t>
      </w:r>
      <w:r>
        <w:rPr>
          <w:rFonts w:hint="default" w:ascii="Times New Roman" w:hAnsi="Times New Roman" w:eastAsia="方正小标宋_GBK"/>
          <w:sz w:val="36"/>
          <w:szCs w:val="36"/>
          <w:shd w:val="clear" w:color="auto" w:fill="FFFFFF"/>
        </w:rPr>
        <w:t>2023</w:t>
      </w:r>
      <w:r>
        <w:rPr>
          <w:rFonts w:ascii="方正小标宋_GBK" w:hAnsi="方正小标宋_GBK" w:eastAsia="方正小标宋_GBK" w:cs="方正小标宋_GBK"/>
          <w:sz w:val="36"/>
          <w:szCs w:val="36"/>
          <w:shd w:val="clear" w:color="auto" w:fill="FFFFFF"/>
        </w:rPr>
        <w:t>年度决算公开说明</w:t>
      </w:r>
    </w:p>
    <w:p>
      <w:pPr>
        <w:pStyle w:val="6"/>
        <w:spacing w:before="0" w:beforeAutospacing="0" w:after="0" w:afterAutospacing="0" w:line="560" w:lineRule="exact"/>
        <w:jc w:val="center"/>
        <w:rPr>
          <w:rFonts w:hint="default" w:ascii="方正小标宋_GBK" w:hAnsi="方正小标宋_GBK" w:eastAsia="方正小标宋_GBK" w:cs="方正小标宋_GBK"/>
          <w:sz w:val="36"/>
          <w:szCs w:val="36"/>
          <w:shd w:val="clear" w:color="auto" w:fill="FFFFFF"/>
        </w:rPr>
      </w:pPr>
    </w:p>
    <w:p>
      <w:pPr>
        <w:pStyle w:val="6"/>
        <w:shd w:val="clear" w:color="auto" w:fill="FFFFFF"/>
        <w:spacing w:before="0" w:beforeAutospacing="0" w:after="0" w:afterAutospacing="0" w:line="560" w:lineRule="exact"/>
        <w:ind w:firstLine="640" w:firstLineChars="200"/>
        <w:rPr>
          <w:rFonts w:hint="default" w:ascii="方正黑体_GBK" w:hAnsi="黑体" w:eastAsia="方正黑体_GBK" w:cs="黑体"/>
          <w:b/>
          <w:sz w:val="32"/>
          <w:szCs w:val="32"/>
        </w:rPr>
      </w:pPr>
      <w:r>
        <w:rPr>
          <w:rStyle w:val="8"/>
          <w:rFonts w:ascii="方正黑体_GBK" w:hAnsi="黑体" w:eastAsia="方正黑体_GBK" w:cs="黑体"/>
          <w:b w:val="0"/>
          <w:sz w:val="32"/>
          <w:szCs w:val="32"/>
          <w:shd w:val="clear" w:color="auto" w:fill="FFFFFF"/>
        </w:rPr>
        <w:t>一、单位基本情况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sz w:val="32"/>
          <w:szCs w:val="32"/>
        </w:rPr>
      </w:pPr>
      <w:r>
        <w:rPr>
          <w:rStyle w:val="8"/>
          <w:rFonts w:hint="default" w:ascii="Times New Roman" w:hAnsi="Times New Roman" w:eastAsia="方正楷体_GBK"/>
          <w:b w:val="0"/>
          <w:sz w:val="32"/>
          <w:szCs w:val="32"/>
          <w:shd w:val="clear" w:color="auto" w:fill="FFFFFF"/>
        </w:rPr>
        <w:t>（一）职能职责</w:t>
      </w:r>
    </w:p>
    <w:p>
      <w:pPr>
        <w:pStyle w:val="1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sz w:val="32"/>
          <w:szCs w:val="32"/>
          <w:shd w:val="clear" w:color="auto" w:fill="FFFFFF"/>
        </w:rPr>
      </w:pPr>
      <w:r>
        <w:rPr>
          <w:rStyle w:val="8"/>
          <w:rFonts w:hint="default" w:ascii="Times New Roman" w:hAnsi="Times New Roman" w:eastAsia="方正楷体_GBK"/>
          <w:b w:val="0"/>
          <w:sz w:val="32"/>
          <w:szCs w:val="32"/>
          <w:shd w:val="clear" w:color="auto" w:fill="FFFFFF"/>
        </w:rPr>
        <w:t>（二）机构设置</w:t>
      </w:r>
    </w:p>
    <w:p>
      <w:pPr>
        <w:pStyle w:val="1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退役军人服务站。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shd w:val="clear" w:color="auto" w:fill="FFFFFF"/>
        <w:spacing w:before="0" w:beforeAutospacing="0" w:after="0" w:afterAutospacing="0" w:line="560" w:lineRule="exact"/>
        <w:ind w:firstLine="640" w:firstLineChars="200"/>
        <w:rPr>
          <w:rStyle w:val="8"/>
          <w:rFonts w:hint="default" w:ascii="方正黑体_GBK" w:eastAsia="方正黑体_GBK"/>
          <w:b w:val="0"/>
        </w:rPr>
      </w:pPr>
      <w:r>
        <w:rPr>
          <w:rStyle w:val="8"/>
          <w:rFonts w:ascii="方正黑体_GBK" w:hAnsi="黑体" w:eastAsia="方正黑体_GBK" w:cs="黑体"/>
          <w:b w:val="0"/>
          <w:sz w:val="32"/>
          <w:szCs w:val="32"/>
          <w:shd w:val="clear" w:color="auto" w:fill="FFFFFF"/>
        </w:rPr>
        <w:t>二、单位决算情况说明</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rPr>
      </w:pPr>
      <w:r>
        <w:rPr>
          <w:rStyle w:val="8"/>
          <w:rFonts w:ascii="Times New Roman" w:hAnsi="Times New Roman" w:eastAsia="方正楷体_GBK"/>
          <w:b w:val="0"/>
          <w:sz w:val="32"/>
          <w:szCs w:val="32"/>
          <w:shd w:val="clear" w:color="auto" w:fill="FFFFFF"/>
        </w:rPr>
        <w:t>（一）收入支出决算总体情况说明</w:t>
      </w:r>
    </w:p>
    <w:p>
      <w:pPr>
        <w:pStyle w:val="1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rPr>
        <w:t>1.总体情况。</w:t>
      </w:r>
      <w:r>
        <w:rPr>
          <w:rFonts w:hint="default" w:ascii="Times New Roman" w:hAnsi="Times New Roman" w:eastAsia="方正仿宋_GBK"/>
          <w:sz w:val="32"/>
          <w:szCs w:val="32"/>
          <w:shd w:val="clear" w:color="auto" w:fill="FFFFFF"/>
        </w:rPr>
        <w:t>2023年度收入总计48.95万元，支出总计48.95万元。收支较上年决算数增加48.95万元，增长100.00%，主要原因是2022年度本单位与部门合并编报决算，按照市财政局要求，2023年度独立编报决算，故与上年对比增长100.00%。</w:t>
      </w:r>
    </w:p>
    <w:p>
      <w:pPr>
        <w:pStyle w:val="1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rPr>
        <w:t>2.收入情况。</w:t>
      </w:r>
      <w:r>
        <w:rPr>
          <w:rFonts w:hint="default" w:ascii="Times New Roman" w:hAnsi="Times New Roman" w:eastAsia="方正仿宋_GBK"/>
          <w:sz w:val="32"/>
          <w:szCs w:val="32"/>
          <w:shd w:val="clear" w:color="auto" w:fill="FFFFFF"/>
        </w:rPr>
        <w:t>2023年度收入合计48.95万元，较上年决算数增加48.95万元，增长100.00%，主要原因是2022年度本单位与部门合并编报决算，按照市财政局要求，2023年度独立编报决算，故与上年对比增长100.00%。其中：财政拨款收入48.95万元，占100.00%；事业收入0.00万元，占0.00%；经营收入0.00万元，占0.00%；其他收入0.00万元，占0.00%。此外，使用非财政拨款结余和专用结余0.00万元，年初结转和结余0.00万元。</w:t>
      </w:r>
    </w:p>
    <w:p>
      <w:pPr>
        <w:pStyle w:val="1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rPr>
        <w:t>3.支出情况。</w:t>
      </w:r>
      <w:r>
        <w:rPr>
          <w:rFonts w:hint="default" w:ascii="Times New Roman" w:hAnsi="Times New Roman" w:eastAsia="方正仿宋_GBK"/>
          <w:sz w:val="32"/>
          <w:szCs w:val="32"/>
          <w:shd w:val="clear" w:color="auto" w:fill="FFFFFF"/>
        </w:rPr>
        <w:t>2023年度支出合计48.95万元，较上年决算数增加48.95万元，增长100.00%，主要原因是2022年度本单位与部门合并编报决算，按照市财政局要求，2023年度独立编报决算，故与上年对比增长100.00%。其中：基本支出48.40万元，占98.88%；项目支出0.55万元，占1.12%；经营支出0.00万元，占0.00%。此外，结余分配0.00万元。</w:t>
      </w:r>
    </w:p>
    <w:p>
      <w:pPr>
        <w:pStyle w:val="1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b/>
          <w:sz w:val="32"/>
          <w:szCs w:val="32"/>
        </w:rPr>
        <w:t>4.结转结余情况。</w:t>
      </w:r>
      <w:r>
        <w:rPr>
          <w:rFonts w:hint="default" w:ascii="Times New Roman" w:hAnsi="Times New Roman" w:eastAsia="方正仿宋_GBK"/>
          <w:sz w:val="32"/>
          <w:szCs w:val="32"/>
          <w:shd w:val="clear" w:color="auto" w:fill="FFFFFF"/>
        </w:rPr>
        <w:t>2023年度年末结转和结余0.00万元，较上年决算数无增减，主要原因是我单位严格按照年初预算执行。</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rPr>
      </w:pPr>
      <w:r>
        <w:rPr>
          <w:rStyle w:val="8"/>
          <w:rFonts w:ascii="Times New Roman" w:hAnsi="Times New Roman" w:eastAsia="方正楷体_GBK"/>
          <w:b w:val="0"/>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年度财政拨款收、支总计48.95万元。与2022年相比，财政拨款收、支总计各增加48.95万元，增长100.00%。主要原因是2022年度本单位与部门合并编报决算，按照市财政局要求，2023年度独立编报决算，故与上年对比增长100.00%。</w:t>
      </w:r>
    </w:p>
    <w:p>
      <w:pPr>
        <w:pStyle w:val="6"/>
        <w:shd w:val="clear" w:color="auto" w:fill="FFFFFF"/>
        <w:spacing w:before="0" w:beforeAutospacing="0" w:after="0" w:afterAutospacing="0" w:line="560" w:lineRule="exact"/>
        <w:ind w:firstLine="640" w:firstLineChars="200"/>
        <w:jc w:val="both"/>
        <w:rPr>
          <w:rFonts w:hint="default" w:ascii="楷体" w:hAnsi="楷体" w:eastAsia="楷体" w:cs="楷体"/>
          <w:b/>
          <w:bCs/>
          <w:sz w:val="32"/>
          <w:szCs w:val="32"/>
          <w:shd w:val="clear" w:color="auto" w:fill="FFFFFF"/>
        </w:rPr>
      </w:pPr>
      <w:r>
        <w:rPr>
          <w:rStyle w:val="8"/>
          <w:rFonts w:ascii="Times New Roman" w:hAnsi="Times New Roman" w:eastAsia="方正楷体_GBK"/>
          <w:b w:val="0"/>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48.95</w:t>
      </w:r>
      <w:r>
        <w:rPr>
          <w:rFonts w:hint="default" w:ascii="Times New Roman" w:hAnsi="Times New Roman" w:eastAsia="方正仿宋_GBK"/>
          <w:sz w:val="32"/>
          <w:szCs w:val="32"/>
          <w:shd w:val="clear" w:color="auto" w:fill="FFFFFF"/>
        </w:rPr>
        <w:t>万元，较上年决算数增加48.95万元，增长100.00%。主要原因是2022年度本单位与部门合并编报决算，按照市财政局要求，2023年度独立编报决算，故与上年对比增长100.00%。较年初预算数减少1.77万元，下降3.49%。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48.95</w:t>
      </w:r>
      <w:r>
        <w:rPr>
          <w:rFonts w:hint="default" w:ascii="Times New Roman" w:hAnsi="Times New Roman" w:eastAsia="方正仿宋_GBK"/>
          <w:sz w:val="32"/>
          <w:szCs w:val="32"/>
          <w:shd w:val="clear" w:color="auto" w:fill="FFFFFF"/>
        </w:rPr>
        <w:t>万元，较上年决算数增加48.95万元，增长100.00%。主要原因是2022年度本单位与部门合并编报决算，按照市财政局要求，2023年度独立编报决算，故与上年对比增长100.00%。较年初预算数减少2.98万元，下降5.74%。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万元，较上年决算数无增减，主要原因是我单位收支平衡，无结转结余。</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43.23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88.31</w:t>
      </w:r>
      <w:r>
        <w:rPr>
          <w:rFonts w:hint="default" w:ascii="Times New Roman" w:hAnsi="Times New Roman" w:eastAsia="方正仿宋_GBK"/>
          <w:sz w:val="32"/>
          <w:szCs w:val="32"/>
          <w:shd w:val="clear" w:color="auto" w:fill="FFFFFF"/>
        </w:rPr>
        <w:t>%，较年初预算数减少2.98万元，下降6.45%，主要原因是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2.00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4.08</w:t>
      </w:r>
      <w:r>
        <w:rPr>
          <w:rFonts w:hint="default" w:ascii="Times New Roman" w:hAnsi="Times New Roman" w:eastAsia="方正仿宋_GBK"/>
          <w:sz w:val="32"/>
          <w:szCs w:val="32"/>
          <w:shd w:val="clear" w:color="auto" w:fill="FFFFFF"/>
        </w:rPr>
        <w:t>%，较年初预算数无增减，主要原因是我单位严格按照年初预算执行。</w:t>
      </w:r>
    </w:p>
    <w:p>
      <w:pPr>
        <w:spacing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住房保障支出3.73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7.61</w:t>
      </w:r>
      <w:r>
        <w:rPr>
          <w:rFonts w:hint="default" w:ascii="Times New Roman" w:hAnsi="Times New Roman" w:eastAsia="方正仿宋_GBK"/>
          <w:sz w:val="32"/>
          <w:szCs w:val="32"/>
          <w:shd w:val="clear" w:color="auto" w:fill="FFFFFF"/>
        </w:rPr>
        <w:t>%，较年初预算数无增减，主要原因是我单位严格按照年初预算执行。</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rPr>
      </w:pPr>
      <w:r>
        <w:rPr>
          <w:rStyle w:val="8"/>
          <w:rFonts w:ascii="Times New Roman" w:hAnsi="Times New Roman" w:eastAsia="方正楷体_GBK"/>
          <w:b w:val="0"/>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48.40</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43.27</w:t>
      </w:r>
      <w:r>
        <w:rPr>
          <w:rFonts w:hint="default" w:ascii="Times New Roman" w:hAnsi="Times New Roman" w:eastAsia="方正仿宋_GBK"/>
          <w:sz w:val="32"/>
          <w:szCs w:val="32"/>
          <w:shd w:val="clear" w:color="auto" w:fill="FFFFFF"/>
        </w:rPr>
        <w:t>万元，较上年决算数增加43.27万元，增长100.00%，主要原因是2022年度本单位与部门合并编报决算，按照市财政局要求，2023年度独立编报决算，故与上年对比增长100.00%。人员经费用途主要包括基本工资、津贴补贴、社会保障缴费等。公用经费</w:t>
      </w:r>
      <w:r>
        <w:rPr>
          <w:rFonts w:hint="default" w:ascii="Times New Roman" w:hAnsi="Times New Roman" w:eastAsia="方正仿宋_GBK"/>
          <w:sz w:val="32"/>
          <w:szCs w:val="32"/>
        </w:rPr>
        <w:t>5.13</w:t>
      </w:r>
      <w:r>
        <w:rPr>
          <w:rFonts w:hint="default" w:ascii="Times New Roman" w:hAnsi="Times New Roman" w:eastAsia="方正仿宋_GBK"/>
          <w:sz w:val="32"/>
          <w:szCs w:val="32"/>
          <w:shd w:val="clear" w:color="auto" w:fill="FFFFFF"/>
        </w:rPr>
        <w:t>万元，较上年决算数增加5.13万元，增长100.00%，主要原因是2022年度本单位与部门合并编报决算，按照市财政局要求，2023年度独立编报决算，故与上年对比增长100.00%。公用经费用途主要包括办公费、印刷费、差旅费、电费、水费等。</w:t>
      </w:r>
    </w:p>
    <w:p>
      <w:pPr>
        <w:pStyle w:val="6"/>
        <w:shd w:val="clear" w:color="auto" w:fill="FFFFFF"/>
        <w:spacing w:before="0" w:beforeAutospacing="0" w:after="0" w:afterAutospacing="0" w:line="560" w:lineRule="exact"/>
        <w:ind w:firstLine="640" w:firstLineChars="200"/>
        <w:jc w:val="both"/>
        <w:rPr>
          <w:rFonts w:hint="default" w:ascii="楷体" w:hAnsi="楷体" w:eastAsia="楷体" w:cs="楷体"/>
          <w:b/>
          <w:bCs/>
          <w:sz w:val="32"/>
          <w:szCs w:val="32"/>
          <w:shd w:val="clear" w:color="auto" w:fill="FFFFFF"/>
        </w:rPr>
      </w:pPr>
      <w:r>
        <w:rPr>
          <w:rStyle w:val="8"/>
          <w:rFonts w:ascii="Times New Roman" w:hAnsi="Times New Roman" w:eastAsia="方正楷体_GBK"/>
          <w:b w:val="0"/>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本单位2023年度无政府性基金预算财政拨款收支</w:t>
      </w:r>
      <w:r>
        <w:rPr>
          <w:rFonts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rPr>
      </w:pPr>
      <w:r>
        <w:rPr>
          <w:rStyle w:val="8"/>
          <w:rFonts w:ascii="Times New Roman" w:hAnsi="Times New Roman" w:eastAsia="方正楷体_GBK"/>
          <w:b w:val="0"/>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本单位2023年度无国有资本经营预算财政拨款支出</w:t>
      </w:r>
      <w:r>
        <w:rPr>
          <w:rFonts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60" w:lineRule="exact"/>
        <w:ind w:firstLine="640" w:firstLineChars="200"/>
        <w:rPr>
          <w:rStyle w:val="8"/>
          <w:rFonts w:hint="default" w:ascii="方正黑体_GBK" w:eastAsia="方正黑体_GBK"/>
          <w:b w:val="0"/>
        </w:rPr>
      </w:pPr>
      <w:r>
        <w:rPr>
          <w:rStyle w:val="8"/>
          <w:rFonts w:ascii="方正黑体_GBK" w:hAnsi="黑体" w:eastAsia="方正黑体_GBK" w:cs="黑体"/>
          <w:b w:val="0"/>
          <w:sz w:val="32"/>
          <w:szCs w:val="32"/>
          <w:shd w:val="clear" w:color="auto" w:fill="FFFFFF"/>
        </w:rPr>
        <w:t>三、“三公”经费情况说明</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rPr>
      </w:pPr>
      <w:r>
        <w:rPr>
          <w:rStyle w:val="8"/>
          <w:rFonts w:ascii="Times New Roman" w:hAnsi="Times New Roman" w:eastAsia="方正楷体_GBK"/>
          <w:b w:val="0"/>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Times New Roman" w:eastAsia="方正仿宋_GBK"/>
          <w:sz w:val="32"/>
          <w:szCs w:val="32"/>
          <w:shd w:val="clear" w:color="auto" w:fill="FFFFFF"/>
        </w:rPr>
        <w:t>本单位为兰桥镇人民政府下属二级单位，未单列“三公”经费支出。较上年支出数无增减，主要原因是本单位为兰桥镇人民政府下属二级单位，未单列“三公”经费支出。</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sz w:val="32"/>
          <w:szCs w:val="32"/>
          <w:shd w:val="clear" w:color="auto" w:fill="FFFFFF"/>
        </w:rPr>
      </w:pPr>
      <w:r>
        <w:rPr>
          <w:rStyle w:val="8"/>
          <w:rFonts w:ascii="Times New Roman" w:hAnsi="Times New Roman" w:eastAsia="方正楷体_GBK"/>
          <w:b w:val="0"/>
          <w:sz w:val="32"/>
          <w:szCs w:val="32"/>
          <w:shd w:val="clear" w:color="auto" w:fill="FFFFFF"/>
        </w:rPr>
        <w:t>（二）“三公”经费分项支出情况</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楷体_GBK"/>
          <w:b w:val="0"/>
          <w:sz w:val="32"/>
          <w:szCs w:val="32"/>
          <w:shd w:val="clear" w:color="auto" w:fill="FFFFFF"/>
        </w:rPr>
      </w:pPr>
      <w:r>
        <w:rPr>
          <w:rStyle w:val="8"/>
          <w:rFonts w:ascii="Times New Roman" w:hAnsi="Times New Roman" w:eastAsia="方正楷体_GBK"/>
          <w:b w:val="0"/>
          <w:sz w:val="32"/>
          <w:szCs w:val="32"/>
          <w:shd w:val="clear" w:color="auto" w:fill="FFFFFF"/>
        </w:rPr>
        <w:t>（三）“三公”经费实物量情况</w:t>
      </w:r>
    </w:p>
    <w:p>
      <w:pPr>
        <w:pStyle w:val="11"/>
        <w:autoSpaceDE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shd w:val="clear" w:color="auto" w:fill="FFFFFF"/>
        </w:rPr>
        <w:t>2023年度本单位因公出国（境）共计</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个团组，</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人；公务用车购置</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辆，公务车保有量为</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辆；国内公务接待</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批次</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人，其中：国内外事接待</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批次，</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人；国（境）外公务接待</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批次，</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人。2023年本单位人均接待费</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元，车均购置费</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万元，车均维护费</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四、其他需要说明的事项</w:t>
      </w:r>
    </w:p>
    <w:p>
      <w:pPr>
        <w:pStyle w:val="11"/>
        <w:autoSpaceDE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万元，较上年决算数无增减，主要原因是2022年度本单位与部门合并编报决算，按照市财政局要求2023年度独立编报决算，故与上年对比无增减。本年度培训费支出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万元，较上年决算数无变化，主要原因是本单位培训支出与兰桥镇人民政府整体存在交叉关系，具体数据见汇总报告。</w:t>
      </w:r>
    </w:p>
    <w:p>
      <w:pPr>
        <w:pStyle w:val="11"/>
        <w:autoSpaceDE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（二）机关运行经费情况说明</w:t>
      </w:r>
    </w:p>
    <w:p>
      <w:pPr>
        <w:pStyle w:val="11"/>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r>
        <w:rPr>
          <w:rFonts w:hint="default" w:ascii="Times New Roman" w:hAnsi="Times New Roman" w:eastAsia="方正仿宋_GBK" w:cs="Times New Roman"/>
          <w:sz w:val="32"/>
          <w:szCs w:val="32"/>
          <w:shd w:val="clear" w:color="auto" w:fill="FFFFFF"/>
          <w:lang w:eastAsia="zh-CN"/>
        </w:rPr>
        <w:t>。</w:t>
      </w:r>
    </w:p>
    <w:p>
      <w:pPr>
        <w:pStyle w:val="11"/>
        <w:autoSpaceDE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60" w:lineRule="exact"/>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w:t>
      </w:r>
    </w:p>
    <w:p>
      <w:pPr>
        <w:pStyle w:val="6"/>
        <w:shd w:val="clear" w:color="auto" w:fill="FFFFFF"/>
        <w:spacing w:before="0" w:beforeAutospacing="0" w:after="0" w:afterAutospacing="0" w:line="560" w:lineRule="exact"/>
        <w:ind w:firstLine="640" w:firstLineChars="200"/>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五、预算绩效管理情况说明</w:t>
      </w:r>
    </w:p>
    <w:p>
      <w:pPr>
        <w:pStyle w:val="11"/>
        <w:autoSpaceDE w:val="0"/>
        <w:spacing w:line="560" w:lineRule="exact"/>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根据预算绩效管理要求，我单位对1个二级项目开展了绩效自评，涉及财政拨款项目支出资金0.5</w:t>
      </w:r>
      <w:r>
        <w:rPr>
          <w:rFonts w:hint="eastAsia" w:ascii="Times New Roman" w:hAnsi="Times New Roman" w:eastAsia="方正仿宋_GBK"/>
          <w:sz w:val="32"/>
          <w:szCs w:val="32"/>
          <w:shd w:val="clear" w:color="auto" w:fill="FFFFFF"/>
        </w:rPr>
        <w:t>5</w:t>
      </w:r>
      <w:r>
        <w:rPr>
          <w:rFonts w:ascii="Times New Roman" w:hAnsi="Times New Roman" w:eastAsia="方正仿宋_GBK"/>
          <w:sz w:val="32"/>
          <w:szCs w:val="32"/>
          <w:shd w:val="clear" w:color="auto" w:fill="FFFFFF"/>
        </w:rPr>
        <w:t>万元。其中，以自评表形式开展自评1项，涉及财政拨款项目支出资金</w:t>
      </w:r>
      <w:r>
        <w:rPr>
          <w:rFonts w:hint="eastAsia" w:ascii="Times New Roman" w:hAnsi="Times New Roman" w:eastAsia="方正仿宋_GBK"/>
          <w:sz w:val="32"/>
          <w:szCs w:val="32"/>
          <w:shd w:val="clear" w:color="auto" w:fill="FFFFFF"/>
        </w:rPr>
        <w:t>0.55</w:t>
      </w:r>
      <w:r>
        <w:rPr>
          <w:rFonts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自评表见附件：</w:t>
      </w:r>
    </w:p>
    <w:p>
      <w:pPr>
        <w:pStyle w:val="11"/>
        <w:autoSpaceDE w:val="0"/>
        <w:spacing w:line="560" w:lineRule="exact"/>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（二）单位绩效评价情况</w:t>
      </w:r>
    </w:p>
    <w:p>
      <w:pPr>
        <w:pStyle w:val="11"/>
        <w:autoSpaceDE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全国示范退役军人服务站创建工作经费市级-渝财社[2022]44号开展了绩效评价，涉及财政拨款项目资金0.55万元，评价得分100分，评价等次为优，绩效评价发现了我单位无明显问题，我单位将继续努力为建设全国示范退役军人服务站作最大努力</w:t>
      </w:r>
      <w:r>
        <w:rPr>
          <w:rFonts w:ascii="Times New Roman" w:hAnsi="Times New Roman" w:eastAsia="方正仿宋_GBK"/>
          <w:b/>
          <w:bCs/>
          <w:sz w:val="32"/>
          <w:szCs w:val="32"/>
          <w:shd w:val="clear" w:color="auto" w:fill="FFFFFF"/>
        </w:rPr>
        <w:t>。</w:t>
      </w:r>
    </w:p>
    <w:p>
      <w:pPr>
        <w:pStyle w:val="11"/>
        <w:autoSpaceDE w:val="0"/>
        <w:spacing w:line="560" w:lineRule="exact"/>
        <w:ind w:firstLine="640"/>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lang w:eastAsia="zh-CN"/>
        </w:rPr>
        <w:t>县</w:t>
      </w:r>
      <w:bookmarkStart w:id="0" w:name="_GoBack"/>
      <w:bookmarkEnd w:id="0"/>
      <w:r>
        <w:rPr>
          <w:rFonts w:hint="eastAsia" w:ascii="方正仿宋_GBK" w:hAnsi="楷体" w:eastAsia="方正仿宋_GBK" w:cs="楷体"/>
          <w:bCs/>
          <w:sz w:val="32"/>
          <w:szCs w:val="32"/>
          <w:shd w:val="clear" w:color="auto" w:fill="FFFFFF"/>
        </w:rPr>
        <w:t>财政局未委托第三方对我单位开展绩效评价</w:t>
      </w:r>
      <w:r>
        <w:rPr>
          <w:rFonts w:hint="eastAsia" w:ascii="楷体" w:hAnsi="楷体" w:eastAsia="楷体" w:cs="楷体"/>
          <w:b/>
          <w:bCs/>
          <w:sz w:val="32"/>
          <w:szCs w:val="32"/>
          <w:shd w:val="clear" w:color="auto" w:fill="FFFFFF"/>
        </w:rPr>
        <w:t>。</w:t>
      </w:r>
    </w:p>
    <w:p>
      <w:pPr>
        <w:pStyle w:val="6"/>
        <w:shd w:val="clear" w:color="auto" w:fill="FFFFFF"/>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shd w:val="clear" w:color="auto" w:fill="FFFFFF"/>
        </w:rPr>
      </w:pPr>
      <w:r>
        <w:rPr>
          <w:rStyle w:val="8"/>
          <w:rFonts w:ascii="方正黑体_GBK" w:hAnsi="黑体" w:eastAsia="方正黑体_GBK" w:cs="黑体"/>
          <w:b w:val="0"/>
          <w:sz w:val="32"/>
          <w:szCs w:val="32"/>
          <w:shd w:val="clear" w:color="auto" w:fill="FFFFFF"/>
        </w:rPr>
        <w:t>六、专业名词解释</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Fonts w:ascii="方正楷体_GBK" w:hAnsi="楷体" w:eastAsia="方正楷体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（三）经营收入</w:t>
      </w:r>
      <w:r>
        <w:rPr>
          <w:rStyle w:val="8"/>
          <w:rFonts w:ascii="方正楷体_GBK" w:eastAsia="方正楷体_GBK"/>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（四）其他收入</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（五）使用非财政拨款结余</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（六）年初结转和结余</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（七）结余分配</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（八）年末结转和结余</w:t>
      </w:r>
      <w:r>
        <w:rPr>
          <w:rStyle w:val="8"/>
          <w:rFonts w:ascii="方正楷体_GBK" w:eastAsia="方正楷体_GBK"/>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（九）基本支出</w:t>
      </w:r>
      <w:r>
        <w:rPr>
          <w:rStyle w:val="8"/>
          <w:rFonts w:ascii="方正楷体_GBK" w:eastAsia="方正楷体_GBK"/>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（十）项目支出</w:t>
      </w:r>
      <w:r>
        <w:rPr>
          <w:rStyle w:val="8"/>
          <w:rFonts w:ascii="方正楷体_GBK" w:eastAsia="方正楷体_GBK"/>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（十一）经营支出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（十二）“三公”经费</w:t>
      </w:r>
      <w:r>
        <w:rPr>
          <w:rStyle w:val="8"/>
          <w:rFonts w:ascii="方正楷体_GBK" w:eastAsia="方正楷体_GBK"/>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（十三）机关运行经费</w:t>
      </w:r>
      <w:r>
        <w:rPr>
          <w:rStyle w:val="8"/>
          <w:rFonts w:ascii="方正楷体_GBK" w:eastAsia="方正楷体_GBK"/>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（十四）工资福利支出（支出经济分类科目类级）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（十五）商品和服务支出（支出经济分类科目类级）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（十六）对个人和家庭的补助（支出经济分类科目类级）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sz w:val="32"/>
          <w:szCs w:val="32"/>
          <w:shd w:val="clear" w:color="auto" w:fill="FFFFFF"/>
        </w:rPr>
        <w:t>（十七）其他资本性支出（支出经济分类科目类级）</w:t>
      </w:r>
      <w:r>
        <w:rPr>
          <w:rStyle w:val="8"/>
          <w:rFonts w:ascii="方正楷体_GBK" w:eastAsia="方正楷体_GBK"/>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rPr>
          <w:rStyle w:val="8"/>
          <w:rFonts w:hint="default" w:ascii="方正仿宋_GBK" w:hAnsi="方正仿宋_GBK" w:eastAsia="方正仿宋_GBK" w:cs="方正仿宋_GBK"/>
          <w:sz w:val="32"/>
          <w:szCs w:val="32"/>
          <w:shd w:val="clear" w:color="auto" w:fill="FFFFFF"/>
        </w:rPr>
      </w:pPr>
      <w:r>
        <w:rPr>
          <w:rStyle w:val="8"/>
          <w:rFonts w:ascii="方正黑体_GBK" w:hAnsi="黑体" w:eastAsia="方正黑体_GBK" w:cs="黑体"/>
          <w:b w:val="0"/>
          <w:sz w:val="32"/>
          <w:szCs w:val="32"/>
          <w:shd w:val="clear" w:color="auto" w:fill="FFFFFF"/>
        </w:rPr>
        <w:t>七、决算公开联系方式及信息反馈渠道</w:t>
      </w:r>
    </w:p>
    <w:p>
      <w:pPr>
        <w:pStyle w:val="11"/>
        <w:autoSpaceDE w:val="0"/>
        <w:spacing w:line="560" w:lineRule="exact"/>
        <w:ind w:left="240" w:leftChars="100" w:firstLine="640"/>
        <w:rPr>
          <w:rStyle w:val="8"/>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本单位决算公开信息反馈和联系方式：陈俊023-76628418</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重庆市秀山土家族苗族自治县兰桥镇退役军人服务站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43.23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重庆市秀山土家族苗族自治县兰桥镇退役军人服务站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48.95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48.95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重庆市秀山土家族苗族自治县兰桥镇退役军人服务站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48.95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0.55</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0.55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43.27</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7F19"/>
    <w:rsid w:val="0004631C"/>
    <w:rsid w:val="001A055E"/>
    <w:rsid w:val="001C1CA5"/>
    <w:rsid w:val="001D3BB7"/>
    <w:rsid w:val="002B254B"/>
    <w:rsid w:val="003651AF"/>
    <w:rsid w:val="00466C9B"/>
    <w:rsid w:val="00480987"/>
    <w:rsid w:val="00550ABE"/>
    <w:rsid w:val="00770383"/>
    <w:rsid w:val="007819D4"/>
    <w:rsid w:val="007B419D"/>
    <w:rsid w:val="007B7C4B"/>
    <w:rsid w:val="007D3D39"/>
    <w:rsid w:val="008B6A86"/>
    <w:rsid w:val="00994AF7"/>
    <w:rsid w:val="009B67B8"/>
    <w:rsid w:val="009D2B67"/>
    <w:rsid w:val="00A373CE"/>
    <w:rsid w:val="00A566F9"/>
    <w:rsid w:val="00AF2751"/>
    <w:rsid w:val="00B03CCD"/>
    <w:rsid w:val="00BD4017"/>
    <w:rsid w:val="00BD510F"/>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436C3D"/>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普通(网站)1"/>
    <w:basedOn w:val="1"/>
    <w:qFormat/>
    <w:uiPriority w:val="0"/>
    <w:pPr>
      <w:spacing w:before="100" w:beforeAutospacing="1" w:after="100" w:afterAutospacing="1"/>
    </w:pPr>
  </w:style>
  <w:style w:type="paragraph" w:customStyle="1" w:styleId="17">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1835</Words>
  <Characters>10464</Characters>
  <Lines>87</Lines>
  <Paragraphs>24</Paragraphs>
  <TotalTime>0</TotalTime>
  <ScaleCrop>false</ScaleCrop>
  <LinksUpToDate>false</LinksUpToDate>
  <CharactersWithSpaces>12275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2024-09-29T06:39:50Z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