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line="560"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重庆市秀山土家族苗族自治县兰桥镇综合行政执法大队</w:t>
      </w:r>
      <w:r>
        <w:rPr>
          <w:rFonts w:hint="default" w:ascii="Times New Roman" w:hAnsi="Times New Roman" w:eastAsia="方正小标宋_GBK"/>
          <w:sz w:val="36"/>
          <w:szCs w:val="36"/>
          <w:shd w:val="clear" w:color="auto" w:fill="FFFFFF"/>
        </w:rPr>
        <w:t>2023</w:t>
      </w:r>
      <w:r>
        <w:rPr>
          <w:rFonts w:ascii="方正小标宋_GBK" w:hAnsi="方正小标宋_GBK" w:eastAsia="方正小标宋_GBK" w:cs="方正小标宋_GBK"/>
          <w:sz w:val="36"/>
          <w:szCs w:val="36"/>
          <w:shd w:val="clear" w:color="auto" w:fill="FFFFFF"/>
        </w:rPr>
        <w:t>年度决算公开说明</w:t>
      </w:r>
    </w:p>
    <w:p>
      <w:pPr>
        <w:pStyle w:val="6"/>
        <w:spacing w:before="0" w:beforeAutospacing="0" w:line="560" w:lineRule="exact"/>
        <w:jc w:val="center"/>
        <w:rPr>
          <w:rFonts w:hint="default" w:ascii="方正小标宋_GBK" w:hAnsi="方正小标宋_GBK" w:eastAsia="方正小标宋_GBK" w:cs="方正小标宋_GBK"/>
          <w:sz w:val="36"/>
          <w:szCs w:val="36"/>
          <w:shd w:val="clear" w:color="auto" w:fill="FFFFFF"/>
        </w:rPr>
      </w:pPr>
    </w:p>
    <w:p>
      <w:pPr>
        <w:pStyle w:val="6"/>
        <w:shd w:val="clear" w:color="auto" w:fill="FFFFFF"/>
        <w:spacing w:before="0" w:beforeAutospacing="0" w:after="0" w:afterAutospacing="0" w:line="560" w:lineRule="exact"/>
        <w:ind w:firstLine="640" w:firstLineChars="200"/>
        <w:rPr>
          <w:rStyle w:val="8"/>
          <w:rFonts w:hint="default" w:ascii="方正黑体_GBK" w:hAnsi="方正仿宋_GBK" w:eastAsia="方正黑体_GBK" w:cs="方正仿宋_GBK"/>
          <w:b w:val="0"/>
          <w:shd w:val="clear" w:color="auto" w:fill="FFFFFF"/>
        </w:rPr>
      </w:pPr>
      <w:r>
        <w:rPr>
          <w:rStyle w:val="8"/>
          <w:rFonts w:ascii="方正黑体_GBK" w:hAnsi="方正仿宋_GBK" w:eastAsia="方正黑体_GBK" w:cs="方正仿宋_GBK"/>
          <w:b w:val="0"/>
          <w:sz w:val="32"/>
          <w:szCs w:val="32"/>
          <w:shd w:val="clear" w:color="auto" w:fill="FFFFFF"/>
        </w:rPr>
        <w:t>一、单位基本情况</w:t>
      </w:r>
    </w:p>
    <w:p>
      <w:pPr>
        <w:pStyle w:val="6"/>
        <w:shd w:val="clear" w:color="auto" w:fill="FFFFFF"/>
        <w:spacing w:before="0" w:beforeAutospacing="0" w:after="0" w:afterAutospacing="0" w:line="560" w:lineRule="exact"/>
        <w:ind w:firstLine="640" w:firstLineChars="200"/>
        <w:rPr>
          <w:rFonts w:hint="default" w:ascii="方正楷体_GBK" w:hAnsi="方正仿宋_GBK" w:eastAsia="方正楷体_GBK" w:cs="方正仿宋_GBK"/>
          <w:b/>
          <w:sz w:val="32"/>
          <w:szCs w:val="32"/>
        </w:rPr>
      </w:pPr>
      <w:r>
        <w:rPr>
          <w:rStyle w:val="8"/>
          <w:rFonts w:ascii="方正楷体_GBK" w:hAnsi="楷体" w:eastAsia="方正楷体_GBK" w:cs="楷体"/>
          <w:b w:val="0"/>
          <w:sz w:val="32"/>
          <w:szCs w:val="32"/>
          <w:shd w:val="clear" w:color="auto" w:fill="FFFFFF"/>
        </w:rPr>
        <w:t>（一）</w:t>
      </w:r>
      <w:r>
        <w:rPr>
          <w:rStyle w:val="8"/>
          <w:rFonts w:ascii="方正楷体_GBK" w:hAnsi="方正仿宋_GBK" w:eastAsia="方正楷体_GBK" w:cs="方正仿宋_GBK"/>
          <w:b w:val="0"/>
          <w:sz w:val="32"/>
          <w:szCs w:val="32"/>
          <w:shd w:val="clear" w:color="auto" w:fill="FFFFFF"/>
        </w:rPr>
        <w:t>职能职责</w:t>
      </w:r>
    </w:p>
    <w:p>
      <w:pPr>
        <w:pStyle w:val="1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shd w:val="clear" w:color="auto" w:fill="FFFFFF"/>
        <w:spacing w:before="0" w:beforeAutospacing="0" w:after="0" w:afterAutospacing="0" w:line="560" w:lineRule="exact"/>
        <w:ind w:firstLine="640" w:firstLineChars="200"/>
        <w:rPr>
          <w:rStyle w:val="8"/>
          <w:rFonts w:hint="default" w:ascii="方正楷体_GBK" w:hAnsi="楷体" w:eastAsia="方正楷体_GBK" w:cs="楷体"/>
          <w:b w:val="0"/>
          <w:sz w:val="32"/>
          <w:szCs w:val="32"/>
          <w:shd w:val="clear" w:color="auto" w:fill="FFFFFF"/>
        </w:rPr>
      </w:pPr>
      <w:r>
        <w:rPr>
          <w:rStyle w:val="8"/>
          <w:rFonts w:hint="default" w:ascii="方正楷体_GBK" w:hAnsi="楷体" w:eastAsia="方正楷体_GBK" w:cs="楷体"/>
          <w:b w:val="0"/>
          <w:sz w:val="32"/>
          <w:szCs w:val="32"/>
          <w:shd w:val="clear" w:color="auto" w:fill="FFFFFF"/>
        </w:rPr>
        <w:t>（二）机构设置</w:t>
      </w:r>
    </w:p>
    <w:p>
      <w:pPr>
        <w:pStyle w:val="1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Times New Roman" w:eastAsia="方正仿宋_GBK"/>
          <w:sz w:val="32"/>
          <w:szCs w:val="32"/>
          <w:shd w:val="clear" w:color="auto" w:fill="FFFFFF"/>
        </w:rPr>
        <w:t>1.综合行政执法办公室。集中行使依法授权或委托乡镇政府承担的各项行政执法权；协调、配合县级有关单位及派驻机构开展其他领域的联合执法</w:t>
      </w:r>
      <w:r>
        <w:rPr>
          <w:rFonts w:hint="default" w:ascii="Times New Roman" w:hAnsi="Times New Roman" w:eastAsia="方正仿宋_GBK"/>
          <w:sz w:val="32"/>
          <w:szCs w:val="32"/>
          <w:shd w:val="clear" w:color="auto" w:fill="FFFFFF"/>
        </w:rPr>
        <w:t>。</w:t>
      </w:r>
    </w:p>
    <w:p>
      <w:pPr>
        <w:pStyle w:val="6"/>
        <w:shd w:val="clear" w:color="auto" w:fill="FFFFFF"/>
        <w:spacing w:before="0" w:beforeAutospacing="0" w:after="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Times New Roman" w:eastAsia="方正仿宋_GBK"/>
          <w:sz w:val="32"/>
          <w:szCs w:val="32"/>
          <w:shd w:val="clear" w:color="auto" w:fill="FFFFFF"/>
        </w:rPr>
        <w:t>2.综合行政执法大队。主要职责：集中行使乡镇依法承担和单位授权或委托的各项行政执法权，制止、打击各类行政违法行为，协助、配合县级有关单位及其派驻机构开展联合执法。</w:t>
      </w:r>
    </w:p>
    <w:p>
      <w:pPr>
        <w:pStyle w:val="6"/>
        <w:shd w:val="clear" w:color="auto" w:fill="FFFFFF"/>
        <w:spacing w:before="0" w:beforeAutospacing="0" w:after="0" w:afterAutospacing="0" w:line="560" w:lineRule="exact"/>
        <w:ind w:firstLine="640" w:firstLineChars="200"/>
        <w:rPr>
          <w:rStyle w:val="8"/>
          <w:rFonts w:hint="default" w:ascii="方正黑体_GBK" w:hAnsi="方正仿宋_GBK" w:eastAsia="方正黑体_GBK" w:cs="方正仿宋_GBK"/>
          <w:b w:val="0"/>
        </w:rPr>
      </w:pPr>
      <w:r>
        <w:rPr>
          <w:rStyle w:val="8"/>
          <w:rFonts w:ascii="方正黑体_GBK" w:hAnsi="方正仿宋_GBK" w:eastAsia="方正黑体_GBK" w:cs="方正仿宋_GBK"/>
          <w:b w:val="0"/>
          <w:sz w:val="32"/>
          <w:szCs w:val="32"/>
          <w:shd w:val="clear" w:color="auto" w:fill="FFFFFF"/>
        </w:rPr>
        <w:t>二、单位决算情况说明</w:t>
      </w:r>
    </w:p>
    <w:p>
      <w:pPr>
        <w:pStyle w:val="6"/>
        <w:shd w:val="clear" w:color="auto" w:fill="FFFFFF"/>
        <w:spacing w:before="0" w:beforeAutospacing="0" w:after="0" w:afterAutospacing="0" w:line="560" w:lineRule="exact"/>
        <w:ind w:firstLine="640" w:firstLineChars="200"/>
        <w:rPr>
          <w:rStyle w:val="8"/>
          <w:rFonts w:hint="default" w:ascii="方正楷体_GBK" w:eastAsia="方正楷体_GBK"/>
          <w:b w:val="0"/>
        </w:rPr>
      </w:pPr>
      <w:r>
        <w:rPr>
          <w:rStyle w:val="8"/>
          <w:rFonts w:ascii="方正楷体_GBK" w:hAnsi="楷体" w:eastAsia="方正楷体_GBK" w:cs="楷体"/>
          <w:b w:val="0"/>
          <w:sz w:val="32"/>
          <w:szCs w:val="32"/>
          <w:shd w:val="clear" w:color="auto" w:fill="FFFFFF"/>
        </w:rPr>
        <w:t>（一）收入支出决算总体情况说明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1.总体情况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2023年度收入总计58.19万元，支出总计</w:t>
      </w:r>
      <w:r>
        <w:rPr>
          <w:rFonts w:hint="default" w:ascii="Times New Roman" w:hAnsi="Times New Roman" w:eastAsia="方正仿宋_GBK"/>
          <w:sz w:val="32"/>
          <w:szCs w:val="32"/>
        </w:rPr>
        <w:t>58.19</w:t>
      </w:r>
      <w:r>
        <w:rPr>
          <w:rFonts w:hint="default" w:ascii="Times New Roman" w:hAnsi="Times New Roman" w:eastAsia="方正仿宋_GBK"/>
          <w:sz w:val="32"/>
          <w:szCs w:val="32"/>
          <w:shd w:val="clear" w:color="auto" w:fill="FFFFFF"/>
        </w:rPr>
        <w:t>万元。收支较上年决算数增加58.19万元，增长100.00%，主要原因是2022年度本单位与部门合并编报决算，按照市财政局要求，2023年度独立编报决算，故与上年对比增长100.00%。</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b w:val="0"/>
          <w:sz w:val="32"/>
          <w:szCs w:val="32"/>
          <w:shd w:val="clear" w:color="auto" w:fill="FFFFFF"/>
        </w:rPr>
        <w:t>2.收入情况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2023年度收入合计58.19万元，较上年决算数增加58.19万元，增长100.00%，主要原因是2022年度本单位与部门合并编报决算，按照市财政局要求，2023年度独立编报决算，故与上年对比增长100.00%。其中：财政拨款收入</w:t>
      </w:r>
      <w:r>
        <w:rPr>
          <w:rFonts w:hint="default" w:ascii="Times New Roman" w:hAnsi="Times New Roman" w:eastAsia="方正仿宋_GBK"/>
          <w:sz w:val="32"/>
          <w:szCs w:val="32"/>
        </w:rPr>
        <w:t>58.19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b w:val="0"/>
          <w:sz w:val="32"/>
          <w:szCs w:val="32"/>
          <w:shd w:val="clear" w:color="auto" w:fill="FFFFFF"/>
        </w:rPr>
        <w:t>3.支出情况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58.19</w:t>
      </w:r>
      <w:r>
        <w:rPr>
          <w:rFonts w:hint="default" w:ascii="Times New Roman" w:hAnsi="Times New Roman" w:eastAsia="方正仿宋_GBK"/>
          <w:sz w:val="32"/>
          <w:szCs w:val="32"/>
          <w:shd w:val="clear" w:color="auto" w:fill="FFFFFF"/>
        </w:rPr>
        <w:t>万元，较上年决算数增加58.19万元，增长100.00%，主要原因是2022年度本单位与部门合并编报决算，按照市财政局要求，2023年度独立编报决算，故与上年对比增长100.00%。其中：基本支出</w:t>
      </w:r>
      <w:r>
        <w:rPr>
          <w:rFonts w:hint="default" w:ascii="Times New Roman" w:hAnsi="Times New Roman" w:eastAsia="方正仿宋_GBK"/>
          <w:sz w:val="32"/>
          <w:szCs w:val="32"/>
        </w:rPr>
        <w:t>58.19</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4.结转结余情况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万元，较上年决算数无增减，主要原因是本年收支平衡，无结转结余资金。</w:t>
      </w:r>
    </w:p>
    <w:p>
      <w:pPr>
        <w:pStyle w:val="6"/>
        <w:shd w:val="clear" w:color="auto" w:fill="FFFFFF"/>
        <w:spacing w:before="0" w:beforeAutospacing="0" w:after="0" w:afterAutospacing="0" w:line="560" w:lineRule="exact"/>
        <w:ind w:firstLine="640" w:firstLineChars="200"/>
        <w:rPr>
          <w:rStyle w:val="8"/>
          <w:rFonts w:hint="default" w:ascii="方正楷体_GBK" w:eastAsia="方正楷体_GBK"/>
          <w:b w:val="0"/>
        </w:rPr>
      </w:pPr>
      <w:r>
        <w:rPr>
          <w:rStyle w:val="8"/>
          <w:rFonts w:ascii="方正楷体_GBK" w:hAnsi="楷体" w:eastAsia="方正楷体_GBK" w:cs="楷体"/>
          <w:b w:val="0"/>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58.19万元。与2022年相比，财政拨款收、支总计各增加58.19万元，增长100.00%。主要原因是2022年度本单位与部门合并编报决算，按照市财政局要求，2023年度独立编报决算，故与上年对比增长100.00%。</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1.收入情况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58.19</w:t>
      </w:r>
      <w:r>
        <w:rPr>
          <w:rFonts w:hint="default" w:ascii="Times New Roman" w:hAnsi="Times New Roman" w:eastAsia="方正仿宋_GBK"/>
          <w:sz w:val="32"/>
          <w:szCs w:val="32"/>
          <w:shd w:val="clear" w:color="auto" w:fill="FFFFFF"/>
        </w:rPr>
        <w:t>万元，较上年决算数增加58.19万元，增长100.00%。主要原因是2022年度本单位与部门合并编报决算，按照市财政局要求，2023年度独立编报决算，故与上年对比增长100.00%。较年初预算数增加0.70万元，增长1.22%。主要原因是由于社保公积金等政策性调整。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2.支出情况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58.19</w:t>
      </w:r>
      <w:r>
        <w:rPr>
          <w:rFonts w:hint="default" w:ascii="Times New Roman" w:hAnsi="Times New Roman" w:eastAsia="方正仿宋_GBK"/>
          <w:sz w:val="32"/>
          <w:szCs w:val="32"/>
          <w:shd w:val="clear" w:color="auto" w:fill="FFFFFF"/>
        </w:rPr>
        <w:t>万元，较上年决算数增加58.19万元，增长100.00%。主要原因是2022年度本单位与部门合并编报决算，按照市财政局要求，2023年度独立编报决算，故与上年对比增长100.00%。较年初预算数减少0.21万元，下降0.36%。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3.结转结余情况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万元，较上年决算数无增减，主要原因是我单位严格按照年初预算执行。</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b w:val="0"/>
          <w:sz w:val="32"/>
          <w:szCs w:val="32"/>
          <w:shd w:val="clear" w:color="auto" w:fill="FFFFFF"/>
        </w:rPr>
        <w:t>4.比较情况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7.07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12.15</w:t>
      </w:r>
      <w:r>
        <w:rPr>
          <w:rFonts w:hint="default" w:ascii="Times New Roman" w:hAnsi="Times New Roman" w:eastAsia="方正仿宋_GBK"/>
          <w:sz w:val="32"/>
          <w:szCs w:val="32"/>
          <w:shd w:val="clear" w:color="auto" w:fill="FFFFFF"/>
        </w:rPr>
        <w:t>%，较年初预算数减少0.39万元，下降5.23%，主要原因是</w:t>
      </w:r>
      <w:r>
        <w:rPr>
          <w:rFonts w:hint="default" w:ascii="Times New Roman" w:hAnsi="Times New Roman" w:eastAsia="方正仿宋_GBK"/>
          <w:color w:val="000000" w:themeColor="text1"/>
          <w:sz w:val="32"/>
          <w:szCs w:val="32"/>
          <w:shd w:val="clear" w:color="auto" w:fill="FFFFFF"/>
        </w:rPr>
        <w:t>严格按照过紧日子要求，创建节约型政府，减少非必要公共开支。</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2.20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3.78</w:t>
      </w:r>
      <w:r>
        <w:rPr>
          <w:rFonts w:hint="default" w:ascii="Times New Roman" w:hAnsi="Times New Roman" w:eastAsia="方正仿宋_GBK"/>
          <w:sz w:val="32"/>
          <w:szCs w:val="32"/>
          <w:shd w:val="clear" w:color="auto" w:fill="FFFFFF"/>
        </w:rPr>
        <w:t>%，较年初预算数无增减，主要原因是我单位严格按照年初预算执行。</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（3）城乡社区支出</w:t>
      </w:r>
      <w:r>
        <w:rPr>
          <w:rFonts w:hint="default" w:ascii="Times New Roman" w:hAnsi="Times New Roman" w:eastAsia="方正仿宋_GBK"/>
          <w:sz w:val="32"/>
          <w:szCs w:val="32"/>
        </w:rPr>
        <w:t>44.60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76.64</w:t>
      </w:r>
      <w:r>
        <w:rPr>
          <w:rFonts w:hint="default" w:ascii="Times New Roman" w:hAnsi="Times New Roman" w:eastAsia="方正仿宋_GBK"/>
          <w:sz w:val="32"/>
          <w:szCs w:val="32"/>
          <w:shd w:val="clear" w:color="auto" w:fill="FFFFFF"/>
        </w:rPr>
        <w:t>%，较年初预算数增加0.18万元，增长0.41%，主要原因是政策性工资调整。</w:t>
      </w:r>
    </w:p>
    <w:p>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住房保障支出4.33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7.44</w:t>
      </w:r>
      <w:r>
        <w:rPr>
          <w:rFonts w:hint="default" w:ascii="Times New Roman" w:hAnsi="Times New Roman" w:eastAsia="方正仿宋_GBK"/>
          <w:sz w:val="32"/>
          <w:szCs w:val="32"/>
          <w:shd w:val="clear" w:color="auto" w:fill="FFFFFF"/>
        </w:rPr>
        <w:t>%，较年初预算数无增减，主要原因是我单位严格按照年初预算执行</w:t>
      </w:r>
      <w:r>
        <w:rPr>
          <w:rFonts w:ascii="方正仿宋_GBK" w:hAnsi="方正仿宋_GBK" w:eastAsia="方正仿宋_GBK" w:cs="方正仿宋_GBK"/>
          <w:sz w:val="32"/>
          <w:szCs w:val="32"/>
          <w:shd w:val="clear" w:color="auto" w:fill="FFFFFF"/>
        </w:rPr>
        <w:t>。</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58.19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52.71</w:t>
      </w:r>
      <w:r>
        <w:rPr>
          <w:rFonts w:hint="default" w:ascii="Times New Roman" w:hAnsi="Times New Roman" w:eastAsia="方正仿宋_GBK"/>
          <w:sz w:val="32"/>
          <w:szCs w:val="32"/>
          <w:shd w:val="clear" w:color="auto" w:fill="FFFFFF"/>
        </w:rPr>
        <w:t>万元，较上年决算数增加52.71万元，增长100.00%，主要原因是2022年度本单位与部门合并编报决算，按照市财政局要求，2023年度独立编报决算，故与上年对比增长100.00%。人员经费用途主要包括基本工资、津贴补贴、社会保障缴费等。公用经费</w:t>
      </w:r>
      <w:r>
        <w:rPr>
          <w:rFonts w:hint="default" w:ascii="Times New Roman" w:hAnsi="Times New Roman" w:eastAsia="方正仿宋_GBK"/>
          <w:sz w:val="32"/>
          <w:szCs w:val="32"/>
        </w:rPr>
        <w:t>5.48</w:t>
      </w:r>
      <w:r>
        <w:rPr>
          <w:rFonts w:hint="default" w:ascii="Times New Roman" w:hAnsi="Times New Roman" w:eastAsia="方正仿宋_GBK"/>
          <w:sz w:val="32"/>
          <w:szCs w:val="32"/>
          <w:shd w:val="clear" w:color="auto" w:fill="FFFFFF"/>
        </w:rPr>
        <w:t>万元，较上年决算数增加5.48万元，增长100.00%，主要原因是2022年度本单位与部门合并编报决算，按照市财政局要求，2023年度独立编报决算，故与上年对比增长100.00%。公用经费用途主要包括办公费、印刷费、差旅费、电费、水费等。</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sz w:val="32"/>
          <w:szCs w:val="32"/>
          <w:shd w:val="clear" w:color="auto" w:fill="FFFFFF"/>
        </w:rPr>
      </w:pPr>
      <w:r>
        <w:rPr>
          <w:rStyle w:val="8"/>
          <w:rFonts w:hint="default" w:ascii="Times New Roman" w:hAnsi="Times New Roman" w:eastAsia="方正楷体_GBK"/>
          <w:b w:val="0"/>
          <w:sz w:val="32"/>
          <w:szCs w:val="32"/>
          <w:shd w:val="clear" w:color="auto" w:fill="FFFFFF"/>
        </w:rPr>
        <w:t>（五）政府性基金预算收支决算情况说明</w:t>
      </w:r>
    </w:p>
    <w:p>
      <w:pPr>
        <w:pStyle w:val="1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本单位2023年度无政府性基金预算财政拨款收支。</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sz w:val="32"/>
          <w:szCs w:val="32"/>
          <w:shd w:val="clear" w:color="auto" w:fill="FFFFFF"/>
        </w:rPr>
      </w:pPr>
      <w:r>
        <w:rPr>
          <w:rStyle w:val="8"/>
          <w:rFonts w:hint="default" w:ascii="Times New Roman" w:hAnsi="Times New Roman" w:eastAsia="方正楷体_GBK"/>
          <w:b w:val="0"/>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本单位2023年度无国有资本经营预算财政拨款支出。</w:t>
      </w:r>
    </w:p>
    <w:p>
      <w:pPr>
        <w:pStyle w:val="6"/>
        <w:shd w:val="clear" w:color="auto" w:fill="FFFFFF"/>
        <w:spacing w:before="0" w:beforeAutospacing="0" w:after="0" w:afterAutospacing="0" w:line="560" w:lineRule="exact"/>
        <w:ind w:firstLine="640" w:firstLineChars="200"/>
        <w:rPr>
          <w:rStyle w:val="8"/>
          <w:rFonts w:hint="default" w:ascii="方正黑体_GBK" w:hAnsi="方正仿宋_GBK" w:eastAsia="方正黑体_GBK" w:cs="方正仿宋_GBK"/>
          <w:b w:val="0"/>
          <w:sz w:val="32"/>
          <w:szCs w:val="32"/>
          <w:shd w:val="clear" w:color="auto" w:fill="FFFFFF"/>
        </w:rPr>
      </w:pPr>
      <w:r>
        <w:rPr>
          <w:rStyle w:val="8"/>
          <w:rFonts w:ascii="方正黑体_GBK" w:hAnsi="方正仿宋_GBK" w:eastAsia="方正黑体_GBK" w:cs="方正仿宋_GBK"/>
          <w:b w:val="0"/>
          <w:sz w:val="32"/>
          <w:szCs w:val="32"/>
          <w:shd w:val="clear" w:color="auto" w:fill="FFFFFF"/>
        </w:rPr>
        <w:t>三、“三公”经费情况说明</w:t>
      </w:r>
    </w:p>
    <w:p>
      <w:pPr>
        <w:pStyle w:val="6"/>
        <w:snapToGrid w:val="0"/>
        <w:spacing w:before="0" w:beforeAutospacing="0" w:after="0" w:afterAutospacing="0" w:line="560" w:lineRule="exact"/>
        <w:ind w:firstLine="640" w:firstLineChars="200"/>
        <w:jc w:val="both"/>
        <w:rPr>
          <w:rFonts w:hint="default" w:ascii="方正楷体_GBK" w:hAnsi="Times New Roman" w:eastAsia="方正楷体_GBK"/>
          <w:sz w:val="32"/>
          <w:szCs w:val="32"/>
          <w:shd w:val="clear" w:color="auto" w:fill="FFFFFF"/>
        </w:rPr>
      </w:pPr>
      <w:r>
        <w:rPr>
          <w:rFonts w:ascii="方正楷体_GBK" w:hAnsi="楷体" w:eastAsia="方正楷体_GBK" w:cs="楷体"/>
          <w:bCs/>
          <w:sz w:val="32"/>
          <w:szCs w:val="32"/>
          <w:shd w:val="clear" w:color="auto" w:fill="FFFFFF"/>
        </w:rPr>
        <w:t>（一）“三公”经费支出总体情况说明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Times New Roman" w:eastAsia="方正仿宋_GBK"/>
          <w:sz w:val="32"/>
          <w:szCs w:val="32"/>
          <w:shd w:val="clear" w:color="auto" w:fill="FFFFFF"/>
        </w:rPr>
        <w:t>本单位为兰桥镇人民政府下属二级单位，未单列“三公”经费支出。较上年支出数无增减，主要原因是本单位为兰桥镇人民政府下属二级单位，未单列“三公”经费支出。</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（二）“三公”经费分项支出情况</w:t>
      </w:r>
    </w:p>
    <w:p>
      <w:pPr>
        <w:pStyle w:val="18"/>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8"/>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8"/>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8"/>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shd w:val="clear" w:color="auto" w:fill="FFFFFF"/>
        <w:spacing w:before="0" w:beforeAutospacing="0" w:after="0" w:afterAutospacing="0" w:line="560" w:lineRule="exact"/>
        <w:ind w:firstLine="640" w:firstLineChars="200"/>
        <w:rPr>
          <w:rStyle w:val="8"/>
          <w:rFonts w:hint="default" w:ascii="方正仿宋_GBK" w:hAnsi="方正仿宋_GBK" w:eastAsia="方正仿宋_GBK" w:cs="方正仿宋_GBK"/>
          <w:b w:val="0"/>
          <w:sz w:val="32"/>
          <w:szCs w:val="32"/>
          <w:shd w:val="clear" w:color="auto" w:fill="FFFFFF"/>
        </w:rPr>
      </w:pPr>
      <w:r>
        <w:rPr>
          <w:rStyle w:val="8"/>
          <w:rFonts w:ascii="方正黑体_GBK" w:hAnsi="方正仿宋_GBK" w:eastAsia="方正黑体_GBK" w:cs="方正仿宋_GBK"/>
          <w:b w:val="0"/>
          <w:sz w:val="32"/>
          <w:szCs w:val="32"/>
          <w:shd w:val="clear" w:color="auto" w:fill="FFFFFF"/>
        </w:rPr>
        <w:t>四、其他需要说明的事项</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万元，较上年决算数无增减，主要原因是2022年度本单位与部门合并编报决算，按照市财政局要求2023年度独立编报决算，故与上年对比无增减。本年度培训费支出</w:t>
      </w:r>
      <w:r>
        <w:rPr>
          <w:rFonts w:hint="default" w:ascii="Times New Roman" w:hAnsi="Times New Roman" w:eastAsia="方正仿宋_GBK"/>
          <w:sz w:val="32"/>
          <w:szCs w:val="32"/>
        </w:rPr>
        <w:t>0.40</w:t>
      </w:r>
      <w:r>
        <w:rPr>
          <w:rFonts w:hint="default" w:ascii="Times New Roman" w:hAnsi="Times New Roman" w:eastAsia="方正仿宋_GBK"/>
          <w:sz w:val="32"/>
          <w:szCs w:val="32"/>
          <w:shd w:val="clear" w:color="auto" w:fill="FFFFFF"/>
        </w:rPr>
        <w:t>万元，较上年决算数增加0.40万元，增长100.00%，主要原因是2022年度本单位与部门合并编报决算，按照市财政局要求，2023年度独立编报决算，故与上年对比增长100.00%。</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pPr>
        <w:pStyle w:val="11"/>
        <w:keepNext w:val="0"/>
        <w:keepLines w:val="0"/>
        <w:pageBreakBefore w:val="0"/>
        <w:widowControl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r>
        <w:rPr>
          <w:rFonts w:hint="default" w:ascii="Times New Roman" w:hAnsi="Times New Roman" w:eastAsia="方正仿宋_GBK" w:cs="Times New Roman"/>
          <w:sz w:val="32"/>
          <w:szCs w:val="32"/>
          <w:shd w:val="clear" w:color="auto" w:fill="FFFFFF"/>
          <w:lang w:eastAsia="zh-CN"/>
        </w:rPr>
        <w:t>。</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6"/>
        <w:shd w:val="clear" w:color="auto" w:fill="FFFFFF"/>
        <w:spacing w:before="0" w:beforeAutospacing="0" w:after="0" w:afterAutospacing="0" w:line="560" w:lineRule="exact"/>
        <w:ind w:firstLine="640" w:firstLineChars="200"/>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w:t>
      </w:r>
    </w:p>
    <w:p>
      <w:pPr>
        <w:pStyle w:val="6"/>
        <w:shd w:val="clear" w:color="auto" w:fill="FFFFFF"/>
        <w:spacing w:before="0" w:beforeAutospacing="0" w:after="0" w:afterAutospacing="0" w:line="560" w:lineRule="exact"/>
        <w:ind w:firstLine="640" w:firstLineChars="200"/>
        <w:rPr>
          <w:rStyle w:val="8"/>
          <w:rFonts w:hint="default" w:ascii="黑体" w:hAnsi="黑体" w:eastAsia="黑体" w:cs="黑体"/>
          <w:b w:val="0"/>
          <w:sz w:val="32"/>
          <w:szCs w:val="32"/>
          <w:shd w:val="clear" w:color="auto" w:fill="FFFFFF"/>
        </w:rPr>
      </w:pPr>
      <w:r>
        <w:rPr>
          <w:rStyle w:val="8"/>
          <w:rFonts w:ascii="方正黑体_GBK" w:hAnsi="方正仿宋_GBK" w:eastAsia="方正黑体_GBK" w:cs="方正仿宋_GBK"/>
          <w:b w:val="0"/>
          <w:sz w:val="32"/>
          <w:szCs w:val="32"/>
          <w:shd w:val="clear" w:color="auto" w:fill="FFFFFF"/>
        </w:rPr>
        <w:t>五、预算绩效管理情况说明</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（一）单位自评情况</w:t>
      </w:r>
    </w:p>
    <w:p>
      <w:pPr>
        <w:pStyle w:val="12"/>
        <w:autoSpaceDE w:val="0"/>
        <w:spacing w:before="0" w:beforeAutospacing="0" w:after="0" w:afterAutospacing="0" w:line="560" w:lineRule="exact"/>
        <w:ind w:firstLine="640" w:firstLineChars="200"/>
        <w:rPr>
          <w:rFonts w:ascii="方正仿宋_GBK" w:hAnsi="方正仿宋_GBK" w:eastAsia="方正仿宋_GBK" w:cs="方正仿宋_GBK"/>
          <w:sz w:val="32"/>
          <w:szCs w:val="32"/>
          <w:highlight w:val="yellow"/>
          <w:shd w:val="clear" w:color="auto" w:fill="FFFFFF"/>
        </w:rPr>
      </w:pPr>
      <w:r>
        <w:rPr>
          <w:rFonts w:ascii="Times New Roman" w:hAnsi="Times New Roman" w:eastAsia="方正仿宋_GBK"/>
          <w:sz w:val="32"/>
          <w:szCs w:val="32"/>
          <w:shd w:val="clear" w:color="auto" w:fill="FFFFFF"/>
        </w:rPr>
        <w:t>根据预算绩效管理要求，我单位对部门整体和0个一级项目、0个二级项目开展了绩效自评，涉及财政拨款项目支出资金0万元。</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（二）单位绩效评价情况</w:t>
      </w:r>
    </w:p>
    <w:p>
      <w:pPr>
        <w:pStyle w:val="14"/>
        <w:autoSpaceDE w:val="0"/>
        <w:spacing w:line="560" w:lineRule="exact"/>
        <w:ind w:firstLine="64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（三）财政绩效评价情况</w:t>
      </w:r>
    </w:p>
    <w:p>
      <w:pPr>
        <w:pStyle w:val="11"/>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shd w:val="clear" w:color="auto" w:fill="FFFFFF"/>
          <w:lang w:eastAsia="zh-CN"/>
        </w:rPr>
        <w:t>县</w:t>
      </w:r>
      <w:bookmarkStart w:id="0" w:name="_GoBack"/>
      <w:bookmarkEnd w:id="0"/>
      <w:r>
        <w:rPr>
          <w:rFonts w:hint="eastAsia" w:ascii="Times New Roman" w:hAnsi="Times New Roman" w:eastAsia="方正仿宋_GBK"/>
          <w:sz w:val="32"/>
          <w:szCs w:val="32"/>
          <w:shd w:val="clear" w:color="auto" w:fill="FFFFFF"/>
        </w:rPr>
        <w:t>财政局未委托第三方对我单位开展绩效评价。</w:t>
      </w:r>
    </w:p>
    <w:p>
      <w:pPr>
        <w:pStyle w:val="6"/>
        <w:shd w:val="clear" w:color="auto" w:fill="FFFFFF"/>
        <w:spacing w:before="0" w:beforeAutospacing="0" w:after="0" w:afterAutospacing="0" w:line="560" w:lineRule="exact"/>
        <w:ind w:firstLine="640" w:firstLineChars="200"/>
        <w:rPr>
          <w:rStyle w:val="8"/>
          <w:rFonts w:hint="default" w:ascii="方正黑体_GBK" w:eastAsia="方正黑体_GBK"/>
          <w:b w:val="0"/>
        </w:rPr>
      </w:pPr>
      <w:r>
        <w:rPr>
          <w:rStyle w:val="8"/>
          <w:rFonts w:ascii="方正黑体_GBK" w:hAnsi="方正仿宋_GBK" w:eastAsia="方正黑体_GBK" w:cs="方正仿宋_GBK"/>
          <w:b w:val="0"/>
          <w:sz w:val="32"/>
          <w:szCs w:val="32"/>
          <w:shd w:val="clear" w:color="auto" w:fill="FFFFFF"/>
        </w:rPr>
        <w:t>六、专业名词解释</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Fonts w:ascii="方正楷体_GBK" w:hAnsi="楷体" w:eastAsia="方正楷体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Fonts w:ascii="方正楷体_GBK" w:hAnsi="楷体" w:eastAsia="方正楷体_GBK" w:cs="楷体"/>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Fonts w:ascii="方正楷体_GBK" w:hAnsi="楷体" w:eastAsia="方正楷体_GBK" w:cs="楷体"/>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楷体_GBK" w:eastAsia="方正楷体_GBK"/>
          <w:bCs/>
          <w:sz w:val="32"/>
          <w:szCs w:val="32"/>
        </w:rPr>
        <w:t>（四）其他收入</w:t>
      </w:r>
      <w:r>
        <w:rPr>
          <w:rFonts w:ascii="方正楷体_GBK" w:hAnsi="楷体" w:eastAsia="方正楷体_GBK" w:cs="楷体"/>
          <w:b/>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（六）年初结转和结余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（七）结余分配</w:t>
      </w:r>
      <w:r>
        <w:rPr>
          <w:rStyle w:val="8"/>
          <w:rFonts w:ascii="方正楷体_GBK" w:eastAsia="方正楷体_GBK"/>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（八）年末结转和结余</w:t>
      </w:r>
      <w:r>
        <w:rPr>
          <w:rStyle w:val="8"/>
          <w:rFonts w:ascii="方正楷体_GBK" w:eastAsia="方正楷体_GBK"/>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（九）基本支出</w:t>
      </w:r>
      <w:r>
        <w:rPr>
          <w:rStyle w:val="8"/>
          <w:rFonts w:ascii="方正楷体_GBK" w:eastAsia="方正楷体_GBK"/>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（十）项目支出</w:t>
      </w:r>
      <w:r>
        <w:rPr>
          <w:rStyle w:val="8"/>
          <w:rFonts w:ascii="方正楷体_GBK" w:eastAsia="方正楷体_GBK"/>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（十一）经营支出</w:t>
      </w:r>
      <w:r>
        <w:rPr>
          <w:rStyle w:val="8"/>
          <w:rFonts w:ascii="方正楷体_GBK" w:eastAsia="方正楷体_GBK"/>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（十二）“三公”经费</w:t>
      </w:r>
      <w:r>
        <w:rPr>
          <w:rStyle w:val="8"/>
          <w:rFonts w:ascii="方正楷体_GBK" w:eastAsia="方正楷体_GBK"/>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（十三）机关运行经费</w:t>
      </w:r>
      <w:r>
        <w:rPr>
          <w:rStyle w:val="8"/>
          <w:rFonts w:ascii="方正楷体_GBK" w:eastAsia="方正楷体_GBK"/>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（十四）工资福利支出（支出经济分类科目类级）</w:t>
      </w:r>
      <w:r>
        <w:rPr>
          <w:rStyle w:val="8"/>
          <w:rFonts w:ascii="方正楷体_GBK" w:eastAsia="方正楷体_GBK"/>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（十五）商品和服务支出（支出经济分类科目类级）</w:t>
      </w:r>
      <w:r>
        <w:rPr>
          <w:rStyle w:val="8"/>
          <w:rFonts w:ascii="方正楷体_GBK" w:eastAsia="方正楷体_GBK"/>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（十六）对个人和家庭的补助（支出经济分类科目类级）</w:t>
      </w:r>
      <w:r>
        <w:rPr>
          <w:rStyle w:val="8"/>
          <w:rFonts w:ascii="方正楷体_GBK" w:eastAsia="方正楷体_GBK"/>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（十七）其他资本性支出（支出经济分类科目类级）</w:t>
      </w:r>
      <w:r>
        <w:rPr>
          <w:rStyle w:val="8"/>
          <w:rFonts w:ascii="方正楷体_GBK" w:eastAsia="方正楷体_GBK"/>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640" w:firstLineChars="200"/>
        <w:rPr>
          <w:rStyle w:val="8"/>
          <w:rFonts w:hint="default" w:ascii="方正黑体_GBK" w:hAnsi="方正仿宋_GBK" w:eastAsia="方正黑体_GBK" w:cs="方正仿宋_GBK"/>
          <w:b w:val="0"/>
          <w:sz w:val="32"/>
          <w:szCs w:val="32"/>
          <w:shd w:val="clear" w:color="auto" w:fill="FFFFFF"/>
        </w:rPr>
      </w:pPr>
      <w:r>
        <w:rPr>
          <w:rStyle w:val="8"/>
          <w:rFonts w:ascii="方正黑体_GBK" w:hAnsi="黑体" w:eastAsia="方正黑体_GBK" w:cs="黑体"/>
          <w:b w:val="0"/>
          <w:sz w:val="32"/>
          <w:szCs w:val="32"/>
          <w:shd w:val="clear" w:color="auto" w:fill="FFFFFF"/>
        </w:rPr>
        <w:t>七、决算公开联系方式及信息反馈渠道</w:t>
      </w:r>
    </w:p>
    <w:p>
      <w:pPr>
        <w:pStyle w:val="11"/>
        <w:autoSpaceDE w:val="0"/>
        <w:spacing w:line="560" w:lineRule="exact"/>
        <w:ind w:firstLine="640"/>
        <w:rPr>
          <w:rStyle w:val="8"/>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本单位决算公开信息反馈和联系方式：陈俊023-76628418</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重庆市秀山土家族苗族自治县兰桥镇综合行政执法大队</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58.19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44.60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58.19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58.19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58.19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58.19</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重庆市秀山土家族苗族自治县兰桥镇综合行政执法大队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58.19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58.19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重庆市秀山土家族苗族自治县兰桥镇综合行政执法大队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58.19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58.19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重庆市秀山土家族苗族自治县兰桥镇综合行政执法大队</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58.19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58.19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44.60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44.60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44.60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44.60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44.60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44.60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重庆市秀山土家族苗族自治县兰桥镇综合行政执法大队</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52.71</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重庆市秀山土家族苗族自治县兰桥镇综合行政执法大队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重庆市秀山土家族苗族自治县兰桥镇综合行政执法大队</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642D5"/>
    <w:rsid w:val="000A4B11"/>
    <w:rsid w:val="001D3BB7"/>
    <w:rsid w:val="002B254B"/>
    <w:rsid w:val="004174DA"/>
    <w:rsid w:val="00466C9B"/>
    <w:rsid w:val="00550ABE"/>
    <w:rsid w:val="0058372A"/>
    <w:rsid w:val="006D6985"/>
    <w:rsid w:val="00770383"/>
    <w:rsid w:val="007819D4"/>
    <w:rsid w:val="007B419D"/>
    <w:rsid w:val="007B7C4B"/>
    <w:rsid w:val="007D3D39"/>
    <w:rsid w:val="00830629"/>
    <w:rsid w:val="00994AF7"/>
    <w:rsid w:val="009B67B8"/>
    <w:rsid w:val="009D2B67"/>
    <w:rsid w:val="00A51F3D"/>
    <w:rsid w:val="00A566F9"/>
    <w:rsid w:val="00A96F56"/>
    <w:rsid w:val="00AF2751"/>
    <w:rsid w:val="00B03CCD"/>
    <w:rsid w:val="00BE2B89"/>
    <w:rsid w:val="00C10E9E"/>
    <w:rsid w:val="00C20C3E"/>
    <w:rsid w:val="00F3571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99568F"/>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HTML 预设格式1"/>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17">
    <w:name w:val="普通(网站)1"/>
    <w:basedOn w:val="1"/>
    <w:uiPriority w:val="0"/>
    <w:pPr>
      <w:spacing w:before="100" w:beforeAutospacing="1" w:after="100" w:afterAutospacing="1"/>
    </w:pPr>
  </w:style>
  <w:style w:type="paragraph" w:customStyle="1" w:styleId="18">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1824</Words>
  <Characters>10397</Characters>
  <Lines>86</Lines>
  <Paragraphs>24</Paragraphs>
  <TotalTime>0</TotalTime>
  <ScaleCrop>false</ScaleCrop>
  <LinksUpToDate>false</LinksUpToDate>
  <CharactersWithSpaces>12197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2024-09-29T06:38:49Z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