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pacing w:before="0" w:beforeAutospacing="0" w:after="0" w:afterAutospacing="0" w:line="560" w:lineRule="exact"/>
        <w:jc w:val="center"/>
        <w:rPr>
          <w:rFonts w:ascii="方正小标宋_GBK" w:hAnsi="方正小标宋_GBK" w:eastAsia="方正小标宋_GBK" w:cs="方正小标宋_GBK"/>
          <w:sz w:val="36"/>
          <w:szCs w:val="36"/>
          <w:shd w:val="clear" w:color="auto" w:fill="FFFFFF"/>
        </w:rPr>
      </w:pPr>
      <w:r>
        <w:rPr>
          <w:rFonts w:ascii="方正小标宋_GBK" w:hAnsi="方正小标宋_GBK" w:eastAsia="方正小标宋_GBK" w:cs="方正小标宋_GBK"/>
          <w:sz w:val="36"/>
          <w:szCs w:val="36"/>
        </w:rPr>
        <w:t>重庆市秀山土家族苗族自治县兰桥镇劳动就业和社会保障服务所</w:t>
      </w:r>
      <w:r>
        <w:rPr>
          <w:rFonts w:ascii="方正小标宋_GBK" w:hAnsi="方正小标宋_GBK" w:eastAsia="方正小标宋_GBK" w:cs="方正小标宋_GBK"/>
          <w:sz w:val="36"/>
          <w:szCs w:val="36"/>
          <w:shd w:val="clear" w:color="auto" w:fill="FFFFFF"/>
        </w:rPr>
        <w:t>2023年度决算公开说明</w:t>
      </w:r>
    </w:p>
    <w:p>
      <w:pPr>
        <w:pStyle w:val="6"/>
        <w:spacing w:before="0" w:beforeAutospacing="0" w:after="0" w:afterAutospacing="0" w:line="560" w:lineRule="exact"/>
        <w:jc w:val="center"/>
        <w:rPr>
          <w:rFonts w:hint="default" w:ascii="方正小标宋_GBK" w:hAnsi="方正小标宋_GBK" w:eastAsia="方正小标宋_GBK" w:cs="方正小标宋_GBK"/>
          <w:sz w:val="36"/>
          <w:szCs w:val="36"/>
          <w:shd w:val="clear" w:color="auto" w:fill="FFFFFF"/>
        </w:rPr>
      </w:pPr>
    </w:p>
    <w:p>
      <w:pPr>
        <w:pStyle w:val="6"/>
        <w:shd w:val="clear" w:color="auto" w:fill="FFFFFF"/>
        <w:spacing w:before="0" w:beforeAutospacing="0" w:after="0" w:afterAutospacing="0" w:line="560" w:lineRule="exact"/>
        <w:ind w:firstLine="640" w:firstLineChars="200"/>
        <w:rPr>
          <w:rFonts w:hint="default" w:ascii="方正黑体_GBK" w:hAnsi="黑体" w:eastAsia="方正黑体_GBK" w:cs="黑体"/>
          <w:sz w:val="32"/>
          <w:szCs w:val="32"/>
        </w:rPr>
      </w:pPr>
      <w:r>
        <w:rPr>
          <w:rStyle w:val="8"/>
          <w:rFonts w:ascii="方正黑体_GBK" w:hAnsi="黑体" w:eastAsia="方正黑体_GBK" w:cs="黑体"/>
          <w:b w:val="0"/>
          <w:sz w:val="32"/>
          <w:szCs w:val="32"/>
          <w:shd w:val="clear" w:color="auto" w:fill="FFFFFF"/>
        </w:rPr>
        <w:t>一、单位基本情况</w:t>
      </w:r>
    </w:p>
    <w:p>
      <w:pPr>
        <w:pStyle w:val="6"/>
        <w:shd w:val="clear" w:color="auto" w:fill="FFFFFF"/>
        <w:spacing w:before="0" w:beforeAutospacing="0" w:after="0" w:afterAutospacing="0" w:line="560" w:lineRule="exact"/>
        <w:ind w:firstLine="640" w:firstLineChars="200"/>
        <w:jc w:val="both"/>
        <w:rPr>
          <w:rFonts w:hint="default" w:ascii="方正楷体_GBK" w:hAnsi="方正楷体_GBK" w:eastAsia="方正楷体_GBK" w:cs="方正楷体_GBK"/>
          <w:bCs/>
          <w:sz w:val="32"/>
          <w:szCs w:val="32"/>
        </w:rPr>
      </w:pPr>
      <w:r>
        <w:rPr>
          <w:rStyle w:val="8"/>
          <w:rFonts w:ascii="方正楷体_GBK" w:hAnsi="方正楷体_GBK" w:eastAsia="方正楷体_GBK" w:cs="方正楷体_GBK"/>
          <w:b w:val="0"/>
          <w:bCs/>
          <w:sz w:val="32"/>
          <w:szCs w:val="32"/>
          <w:shd w:val="clear" w:color="auto" w:fill="FFFFFF"/>
        </w:rPr>
        <w:t>（一）职能职责</w:t>
      </w:r>
    </w:p>
    <w:p>
      <w:pPr>
        <w:pStyle w:val="16"/>
        <w:snapToGrid w:val="0"/>
        <w:spacing w:before="0" w:beforeAutospacing="0" w:after="0" w:afterAutospacing="0" w:line="560" w:lineRule="exact"/>
        <w:ind w:firstLine="640" w:firstLineChars="200"/>
        <w:jc w:val="both"/>
        <w:rPr>
          <w:rFonts w:hint="default" w:ascii="Times New Roman" w:hAnsi="Times New Roman" w:eastAsia="方正仿宋_GBK"/>
          <w:sz w:val="32"/>
          <w:szCs w:val="32"/>
          <w:shd w:val="clear" w:color="auto" w:fill="FFFFFF"/>
        </w:rPr>
      </w:pPr>
      <w:r>
        <w:rPr>
          <w:rFonts w:hint="default" w:ascii="Times New Roman" w:hAnsi="Times New Roman" w:eastAsia="方正仿宋_GBK"/>
          <w:sz w:val="32"/>
          <w:szCs w:val="32"/>
          <w:shd w:val="clear" w:color="auto" w:fill="FFFFFF"/>
        </w:rPr>
        <w:t>贯彻执行法律、法规、规章和县人民政府的决策部署、依法管理本辖区内公共事务，创新经济社会发展环境，为经济社会发展提供良好发展空间和便捷服务，重点履行社会管理和公共服务职能，促进辖区物质文明、精神文明和政治文明建设协调发展。承办县委、县政府交办的其他工作。</w:t>
      </w:r>
    </w:p>
    <w:p>
      <w:pPr>
        <w:pStyle w:val="6"/>
        <w:shd w:val="clear" w:color="auto" w:fill="FFFFFF"/>
        <w:spacing w:before="0" w:beforeAutospacing="0" w:after="0" w:afterAutospacing="0" w:line="560" w:lineRule="exact"/>
        <w:ind w:firstLine="640" w:firstLineChars="200"/>
        <w:jc w:val="both"/>
        <w:rPr>
          <w:rStyle w:val="8"/>
          <w:rFonts w:hint="default" w:ascii="方正楷体_GBK" w:hAnsi="方正楷体_GBK" w:eastAsia="方正楷体_GBK" w:cs="方正楷体_GBK"/>
          <w:b w:val="0"/>
          <w:bCs/>
          <w:sz w:val="32"/>
          <w:szCs w:val="32"/>
          <w:shd w:val="clear" w:color="auto" w:fill="FFFFFF"/>
        </w:rPr>
      </w:pPr>
      <w:r>
        <w:rPr>
          <w:rStyle w:val="8"/>
          <w:rFonts w:hint="default" w:ascii="方正楷体_GBK" w:hAnsi="方正楷体_GBK" w:eastAsia="方正楷体_GBK" w:cs="方正楷体_GBK"/>
          <w:b w:val="0"/>
          <w:bCs/>
          <w:sz w:val="32"/>
          <w:szCs w:val="32"/>
          <w:shd w:val="clear" w:color="auto" w:fill="FFFFFF"/>
        </w:rPr>
        <w:t>（二）机构设置</w:t>
      </w:r>
    </w:p>
    <w:p>
      <w:pPr>
        <w:pStyle w:val="6"/>
        <w:shd w:val="clear" w:color="auto" w:fill="FFFFFF"/>
        <w:spacing w:before="0" w:beforeAutospacing="0" w:after="0" w:afterAutospacing="0" w:line="560" w:lineRule="exact"/>
        <w:ind w:firstLine="640" w:firstLineChars="200"/>
        <w:rPr>
          <w:rFonts w:hint="default" w:ascii="方正仿宋_GBK" w:hAnsi="方正仿宋_GBK" w:eastAsia="方正仿宋_GBK" w:cs="方正仿宋_GBK"/>
          <w:sz w:val="32"/>
          <w:szCs w:val="32"/>
        </w:rPr>
      </w:pPr>
      <w:r>
        <w:rPr>
          <w:rFonts w:hint="default" w:ascii="Times New Roman" w:hAnsi="Times New Roman" w:eastAsia="方正仿宋_GBK"/>
          <w:sz w:val="32"/>
          <w:szCs w:val="32"/>
          <w:shd w:val="clear" w:color="auto" w:fill="FFFFFF"/>
        </w:rPr>
        <w:t>劳动就业和社会保障服务所。主要职责：承担就业、再就业、农村富余劳动力转移，劳动和社会保障、城镇居民最低生活保障、社保救济、医疗保障服务等社会保障相关具体工作。</w:t>
      </w:r>
    </w:p>
    <w:p>
      <w:pPr>
        <w:pStyle w:val="6"/>
        <w:shd w:val="clear" w:color="auto" w:fill="FFFFFF"/>
        <w:spacing w:before="0" w:beforeAutospacing="0" w:after="0" w:afterAutospacing="0" w:line="560" w:lineRule="exact"/>
        <w:ind w:firstLine="640" w:firstLineChars="200"/>
        <w:rPr>
          <w:rStyle w:val="8"/>
          <w:rFonts w:hint="default" w:ascii="方正黑体_GBK" w:eastAsia="方正黑体_GBK"/>
          <w:b w:val="0"/>
        </w:rPr>
      </w:pPr>
      <w:r>
        <w:rPr>
          <w:rStyle w:val="8"/>
          <w:rFonts w:ascii="方正黑体_GBK" w:hAnsi="黑体" w:eastAsia="方正黑体_GBK" w:cs="黑体"/>
          <w:b w:val="0"/>
          <w:sz w:val="32"/>
          <w:szCs w:val="32"/>
          <w:shd w:val="clear" w:color="auto" w:fill="FFFFFF"/>
        </w:rPr>
        <w:t>二、单位决算情况说明</w:t>
      </w:r>
    </w:p>
    <w:p>
      <w:pPr>
        <w:pStyle w:val="11"/>
        <w:autoSpaceDE w:val="0"/>
        <w:spacing w:line="560" w:lineRule="exact"/>
        <w:ind w:firstLine="640"/>
        <w:rPr>
          <w:rFonts w:ascii="方正楷体_GBK" w:hAnsi="楷体" w:eastAsia="方正楷体_GBK" w:cs="楷体"/>
          <w:bCs/>
          <w:sz w:val="32"/>
          <w:szCs w:val="32"/>
          <w:shd w:val="clear" w:color="auto" w:fill="FFFFFF"/>
        </w:rPr>
      </w:pPr>
      <w:r>
        <w:rPr>
          <w:rFonts w:hint="eastAsia" w:ascii="方正楷体_GBK" w:hAnsi="楷体" w:eastAsia="方正楷体_GBK" w:cs="楷体"/>
          <w:bCs/>
          <w:sz w:val="32"/>
          <w:szCs w:val="32"/>
          <w:shd w:val="clear" w:color="auto" w:fill="FFFFFF"/>
        </w:rPr>
        <w:t>（一）收入支出决算总体情况说明</w:t>
      </w:r>
    </w:p>
    <w:p>
      <w:pPr>
        <w:pStyle w:val="6"/>
        <w:shd w:val="clear" w:color="auto" w:fill="FFFFFF"/>
        <w:spacing w:before="0" w:beforeAutospacing="0" w:after="0" w:afterAutospacing="0" w:line="560" w:lineRule="exact"/>
        <w:ind w:firstLine="640" w:firstLineChars="200"/>
        <w:rPr>
          <w:rFonts w:hint="default" w:ascii="Times New Roman" w:hAnsi="Times New Roman" w:eastAsia="方正仿宋_GBK"/>
          <w:sz w:val="32"/>
          <w:szCs w:val="32"/>
        </w:rPr>
      </w:pPr>
      <w:r>
        <w:rPr>
          <w:rStyle w:val="8"/>
          <w:rFonts w:hint="default" w:ascii="Times New Roman" w:hAnsi="Times New Roman" w:eastAsia="方正仿宋_GBK"/>
          <w:b w:val="0"/>
          <w:sz w:val="32"/>
          <w:szCs w:val="32"/>
          <w:shd w:val="clear" w:color="auto" w:fill="FFFFFF"/>
        </w:rPr>
        <w:t>1.总体情况。</w:t>
      </w:r>
      <w:r>
        <w:rPr>
          <w:rFonts w:hint="default" w:ascii="Times New Roman" w:hAnsi="Times New Roman" w:eastAsia="方正仿宋_GBK"/>
          <w:sz w:val="32"/>
          <w:szCs w:val="32"/>
          <w:shd w:val="clear" w:color="auto" w:fill="FFFFFF"/>
        </w:rPr>
        <w:t>2023年度收入总计78.85万元，支出总计</w:t>
      </w:r>
      <w:r>
        <w:rPr>
          <w:rFonts w:hint="default" w:ascii="Times New Roman" w:hAnsi="Times New Roman" w:eastAsia="方正仿宋_GBK"/>
          <w:sz w:val="32"/>
          <w:szCs w:val="32"/>
        </w:rPr>
        <w:t>78.85</w:t>
      </w:r>
      <w:r>
        <w:rPr>
          <w:rFonts w:hint="default" w:ascii="Times New Roman" w:hAnsi="Times New Roman" w:eastAsia="方正仿宋_GBK"/>
          <w:sz w:val="32"/>
          <w:szCs w:val="32"/>
          <w:shd w:val="clear" w:color="auto" w:fill="FFFFFF"/>
        </w:rPr>
        <w:t>万元。收支较上年决算数增加78.85万元，增长100.00%，主要原因是2022年度本单位与部门合并报表决算，按照市财政局要求，2023年度独立编报决算，故与上年对比增长100.00%。</w:t>
      </w:r>
    </w:p>
    <w:p>
      <w:pPr>
        <w:pStyle w:val="6"/>
        <w:snapToGrid w:val="0"/>
        <w:spacing w:before="0" w:beforeAutospacing="0" w:after="0" w:afterAutospacing="0" w:line="560" w:lineRule="exact"/>
        <w:ind w:firstLine="640" w:firstLineChars="200"/>
        <w:jc w:val="both"/>
        <w:rPr>
          <w:rFonts w:hint="default" w:ascii="Times New Roman" w:hAnsi="Times New Roman" w:eastAsia="方正仿宋_GBK"/>
          <w:sz w:val="32"/>
          <w:szCs w:val="32"/>
          <w:shd w:val="clear" w:color="auto" w:fill="FFFFFF"/>
        </w:rPr>
      </w:pPr>
      <w:r>
        <w:rPr>
          <w:rStyle w:val="8"/>
          <w:rFonts w:hint="default" w:ascii="Times New Roman" w:hAnsi="Times New Roman" w:eastAsia="方正仿宋_GBK"/>
          <w:b w:val="0"/>
          <w:sz w:val="32"/>
          <w:szCs w:val="32"/>
          <w:shd w:val="clear" w:color="auto" w:fill="FFFFFF"/>
        </w:rPr>
        <w:t>2.收入情况。</w:t>
      </w:r>
      <w:r>
        <w:rPr>
          <w:rFonts w:hint="default" w:ascii="Times New Roman" w:hAnsi="Times New Roman" w:eastAsia="方正仿宋_GBK"/>
          <w:sz w:val="32"/>
          <w:szCs w:val="32"/>
          <w:shd w:val="clear" w:color="auto" w:fill="FFFFFF"/>
        </w:rPr>
        <w:t>2023年度收入合计78.85万元，较上年决算数增加78.85万元，增长100.00%，主要原因是2022年度本单位与部门合并报表决算，按照市财政局要求，2023年度独立编报决算，故与上年对比增长100.00%。其中：财政拨款收入</w:t>
      </w:r>
      <w:r>
        <w:rPr>
          <w:rFonts w:hint="default" w:ascii="Times New Roman" w:hAnsi="Times New Roman" w:eastAsia="方正仿宋_GBK"/>
          <w:sz w:val="32"/>
          <w:szCs w:val="32"/>
        </w:rPr>
        <w:t>78.85</w:t>
      </w:r>
      <w:r>
        <w:rPr>
          <w:rFonts w:hint="default" w:ascii="Times New Roman" w:hAnsi="Times New Roman" w:eastAsia="方正仿宋_GBK"/>
          <w:sz w:val="32"/>
          <w:szCs w:val="32"/>
          <w:shd w:val="clear" w:color="auto" w:fill="FFFFFF"/>
        </w:rPr>
        <w:t>万元，占</w:t>
      </w:r>
      <w:r>
        <w:rPr>
          <w:rFonts w:hint="default" w:ascii="Times New Roman" w:hAnsi="Times New Roman" w:eastAsia="方正仿宋_GBK"/>
          <w:sz w:val="32"/>
          <w:szCs w:val="32"/>
        </w:rPr>
        <w:t>100.00</w:t>
      </w:r>
      <w:r>
        <w:rPr>
          <w:rFonts w:hint="default" w:ascii="Times New Roman" w:hAnsi="Times New Roman" w:eastAsia="方正仿宋_GBK"/>
          <w:sz w:val="32"/>
          <w:szCs w:val="32"/>
          <w:shd w:val="clear" w:color="auto" w:fill="FFFFFF"/>
        </w:rPr>
        <w:t>%；事业收入</w:t>
      </w:r>
      <w:r>
        <w:rPr>
          <w:rFonts w:hint="default" w:ascii="Times New Roman" w:hAnsi="Times New Roman" w:eastAsia="方正仿宋_GBK"/>
          <w:sz w:val="32"/>
          <w:szCs w:val="32"/>
        </w:rPr>
        <w:t>0.00</w:t>
      </w:r>
      <w:r>
        <w:rPr>
          <w:rFonts w:hint="default" w:ascii="Times New Roman" w:hAnsi="Times New Roman" w:eastAsia="方正仿宋_GBK"/>
          <w:sz w:val="32"/>
          <w:szCs w:val="32"/>
          <w:shd w:val="clear" w:color="auto" w:fill="FFFFFF"/>
        </w:rPr>
        <w:t>万元，占0.00%；经营收入</w:t>
      </w:r>
      <w:r>
        <w:rPr>
          <w:rFonts w:hint="default" w:ascii="Times New Roman" w:hAnsi="Times New Roman" w:eastAsia="方正仿宋_GBK"/>
          <w:sz w:val="32"/>
          <w:szCs w:val="32"/>
        </w:rPr>
        <w:t>0.00</w:t>
      </w:r>
      <w:r>
        <w:rPr>
          <w:rFonts w:hint="default" w:ascii="Times New Roman" w:hAnsi="Times New Roman" w:eastAsia="方正仿宋_GBK"/>
          <w:sz w:val="32"/>
          <w:szCs w:val="32"/>
          <w:shd w:val="clear" w:color="auto" w:fill="FFFFFF"/>
        </w:rPr>
        <w:t>万元，占0.00%；其他收入</w:t>
      </w:r>
      <w:r>
        <w:rPr>
          <w:rFonts w:hint="default" w:ascii="Times New Roman" w:hAnsi="Times New Roman" w:eastAsia="方正仿宋_GBK"/>
          <w:sz w:val="32"/>
          <w:szCs w:val="32"/>
        </w:rPr>
        <w:t>0.00</w:t>
      </w:r>
      <w:r>
        <w:rPr>
          <w:rFonts w:hint="default" w:ascii="Times New Roman" w:hAnsi="Times New Roman" w:eastAsia="方正仿宋_GBK"/>
          <w:sz w:val="32"/>
          <w:szCs w:val="32"/>
          <w:shd w:val="clear" w:color="auto" w:fill="FFFFFF"/>
        </w:rPr>
        <w:t>万元，占0.00%。此外，使用非财政拨款结余和专用结余</w:t>
      </w:r>
      <w:r>
        <w:rPr>
          <w:rFonts w:hint="default" w:ascii="Times New Roman" w:hAnsi="Times New Roman" w:eastAsia="方正仿宋_GBK"/>
          <w:sz w:val="32"/>
          <w:szCs w:val="32"/>
        </w:rPr>
        <w:t>0.00</w:t>
      </w:r>
      <w:r>
        <w:rPr>
          <w:rFonts w:hint="default" w:ascii="Times New Roman" w:hAnsi="Times New Roman" w:eastAsia="方正仿宋_GBK"/>
          <w:sz w:val="32"/>
          <w:szCs w:val="32"/>
          <w:shd w:val="clear" w:color="auto" w:fill="FFFFFF"/>
        </w:rPr>
        <w:t>万元，年初结转和结余</w:t>
      </w:r>
      <w:r>
        <w:rPr>
          <w:rFonts w:hint="default" w:ascii="Times New Roman" w:hAnsi="Times New Roman" w:eastAsia="方正仿宋_GBK"/>
          <w:sz w:val="32"/>
          <w:szCs w:val="32"/>
        </w:rPr>
        <w:t>0.00</w:t>
      </w:r>
      <w:r>
        <w:rPr>
          <w:rFonts w:hint="default" w:ascii="Times New Roman" w:hAnsi="Times New Roman" w:eastAsia="方正仿宋_GBK"/>
          <w:sz w:val="32"/>
          <w:szCs w:val="32"/>
          <w:shd w:val="clear" w:color="auto" w:fill="FFFFFF"/>
        </w:rPr>
        <w:t>万元。</w:t>
      </w:r>
    </w:p>
    <w:p>
      <w:pPr>
        <w:pStyle w:val="6"/>
        <w:snapToGrid w:val="0"/>
        <w:spacing w:before="0" w:beforeAutospacing="0" w:after="0" w:afterAutospacing="0" w:line="560" w:lineRule="exact"/>
        <w:ind w:firstLine="640" w:firstLineChars="200"/>
        <w:jc w:val="both"/>
        <w:rPr>
          <w:rFonts w:hint="default" w:ascii="Times New Roman" w:hAnsi="Times New Roman" w:eastAsia="方正仿宋_GBK"/>
          <w:sz w:val="32"/>
          <w:szCs w:val="32"/>
          <w:shd w:val="clear" w:color="auto" w:fill="FFFFFF"/>
        </w:rPr>
      </w:pPr>
      <w:r>
        <w:rPr>
          <w:rStyle w:val="8"/>
          <w:rFonts w:hint="default" w:ascii="Times New Roman" w:hAnsi="Times New Roman" w:eastAsia="方正仿宋_GBK"/>
          <w:b w:val="0"/>
          <w:sz w:val="32"/>
          <w:szCs w:val="32"/>
          <w:shd w:val="clear" w:color="auto" w:fill="FFFFFF"/>
        </w:rPr>
        <w:t>3.支出情况。</w:t>
      </w:r>
      <w:r>
        <w:rPr>
          <w:rFonts w:hint="default" w:ascii="Times New Roman" w:hAnsi="Times New Roman" w:eastAsia="方正仿宋_GBK"/>
          <w:sz w:val="32"/>
          <w:szCs w:val="32"/>
          <w:shd w:val="clear" w:color="auto" w:fill="FFFFFF"/>
        </w:rPr>
        <w:t>2023年度支出合计</w:t>
      </w:r>
      <w:r>
        <w:rPr>
          <w:rFonts w:hint="default" w:ascii="Times New Roman" w:hAnsi="Times New Roman" w:eastAsia="方正仿宋_GBK"/>
          <w:sz w:val="32"/>
          <w:szCs w:val="32"/>
        </w:rPr>
        <w:t>78.85</w:t>
      </w:r>
      <w:r>
        <w:rPr>
          <w:rFonts w:hint="default" w:ascii="Times New Roman" w:hAnsi="Times New Roman" w:eastAsia="方正仿宋_GBK"/>
          <w:sz w:val="32"/>
          <w:szCs w:val="32"/>
          <w:shd w:val="clear" w:color="auto" w:fill="FFFFFF"/>
        </w:rPr>
        <w:t>万元，较上年决算数增加78.85万元，增长100.00%，主要原因是2022年度本单位与部门合并报表决算，按照市财政局要求，2023年度独立编报决算，故与上年对比增长100.00%。其中：基本支出</w:t>
      </w:r>
      <w:r>
        <w:rPr>
          <w:rFonts w:hint="default" w:ascii="Times New Roman" w:hAnsi="Times New Roman" w:eastAsia="方正仿宋_GBK"/>
          <w:sz w:val="32"/>
          <w:szCs w:val="32"/>
        </w:rPr>
        <w:t>47.59</w:t>
      </w:r>
      <w:r>
        <w:rPr>
          <w:rFonts w:hint="default" w:ascii="Times New Roman" w:hAnsi="Times New Roman" w:eastAsia="方正仿宋_GBK"/>
          <w:sz w:val="32"/>
          <w:szCs w:val="32"/>
          <w:shd w:val="clear" w:color="auto" w:fill="FFFFFF"/>
        </w:rPr>
        <w:t>万元，占60.35%；项目支出</w:t>
      </w:r>
      <w:r>
        <w:rPr>
          <w:rFonts w:hint="default" w:ascii="Times New Roman" w:hAnsi="Times New Roman" w:eastAsia="方正仿宋_GBK"/>
          <w:sz w:val="32"/>
          <w:szCs w:val="32"/>
        </w:rPr>
        <w:t>31.26</w:t>
      </w:r>
      <w:r>
        <w:rPr>
          <w:rFonts w:hint="default" w:ascii="Times New Roman" w:hAnsi="Times New Roman" w:eastAsia="方正仿宋_GBK"/>
          <w:sz w:val="32"/>
          <w:szCs w:val="32"/>
          <w:shd w:val="clear" w:color="auto" w:fill="FFFFFF"/>
        </w:rPr>
        <w:t>万元，占39.65%；经营支出</w:t>
      </w:r>
      <w:r>
        <w:rPr>
          <w:rFonts w:hint="default" w:ascii="Times New Roman" w:hAnsi="Times New Roman" w:eastAsia="方正仿宋_GBK"/>
          <w:sz w:val="32"/>
          <w:szCs w:val="32"/>
        </w:rPr>
        <w:t>0.00</w:t>
      </w:r>
      <w:r>
        <w:rPr>
          <w:rFonts w:hint="default" w:ascii="Times New Roman" w:hAnsi="Times New Roman" w:eastAsia="方正仿宋_GBK"/>
          <w:sz w:val="32"/>
          <w:szCs w:val="32"/>
          <w:shd w:val="clear" w:color="auto" w:fill="FFFFFF"/>
        </w:rPr>
        <w:t>万元，占0.00%。此外，结余分配</w:t>
      </w:r>
      <w:r>
        <w:rPr>
          <w:rFonts w:hint="default" w:ascii="Times New Roman" w:hAnsi="Times New Roman" w:eastAsia="方正仿宋_GBK"/>
          <w:sz w:val="32"/>
          <w:szCs w:val="32"/>
        </w:rPr>
        <w:t>0.00</w:t>
      </w:r>
      <w:r>
        <w:rPr>
          <w:rFonts w:hint="default" w:ascii="Times New Roman" w:hAnsi="Times New Roman" w:eastAsia="方正仿宋_GBK"/>
          <w:sz w:val="32"/>
          <w:szCs w:val="32"/>
          <w:shd w:val="clear" w:color="auto" w:fill="FFFFFF"/>
        </w:rPr>
        <w:t>万元。</w:t>
      </w:r>
    </w:p>
    <w:p>
      <w:pPr>
        <w:pStyle w:val="6"/>
        <w:snapToGrid w:val="0"/>
        <w:spacing w:before="0" w:beforeAutospacing="0" w:after="0" w:afterAutospacing="0" w:line="560" w:lineRule="exact"/>
        <w:ind w:firstLine="640" w:firstLineChars="200"/>
        <w:jc w:val="both"/>
        <w:rPr>
          <w:rFonts w:hint="default" w:ascii="Times New Roman" w:hAnsi="Times New Roman" w:eastAsia="方正仿宋_GBK"/>
          <w:sz w:val="32"/>
          <w:szCs w:val="32"/>
        </w:rPr>
      </w:pPr>
      <w:r>
        <w:rPr>
          <w:rStyle w:val="8"/>
          <w:rFonts w:hint="default" w:ascii="Times New Roman" w:hAnsi="Times New Roman" w:eastAsia="方正仿宋_GBK"/>
          <w:b w:val="0"/>
          <w:sz w:val="32"/>
          <w:szCs w:val="32"/>
          <w:shd w:val="clear" w:color="auto" w:fill="FFFFFF"/>
        </w:rPr>
        <w:t>4.结转结余情况。</w:t>
      </w:r>
      <w:r>
        <w:rPr>
          <w:rFonts w:hint="default" w:ascii="Times New Roman" w:hAnsi="Times New Roman" w:eastAsia="方正仿宋_GBK"/>
          <w:sz w:val="32"/>
          <w:szCs w:val="32"/>
          <w:shd w:val="clear" w:color="auto" w:fill="FFFFFF"/>
        </w:rPr>
        <w:t>2023年度年末结转和结余</w:t>
      </w:r>
      <w:r>
        <w:rPr>
          <w:rFonts w:hint="default" w:ascii="Times New Roman" w:hAnsi="Times New Roman" w:eastAsia="方正仿宋_GBK"/>
          <w:sz w:val="32"/>
          <w:szCs w:val="32"/>
        </w:rPr>
        <w:t>0.00</w:t>
      </w:r>
      <w:r>
        <w:rPr>
          <w:rFonts w:hint="default" w:ascii="Times New Roman" w:hAnsi="Times New Roman" w:eastAsia="方正仿宋_GBK"/>
          <w:sz w:val="32"/>
          <w:szCs w:val="32"/>
          <w:shd w:val="clear" w:color="auto" w:fill="FFFFFF"/>
        </w:rPr>
        <w:t>万元，较上年决算数无增减，主要原因是本单位收支平衡，无结转结余。</w:t>
      </w:r>
    </w:p>
    <w:p>
      <w:pPr>
        <w:pStyle w:val="11"/>
        <w:autoSpaceDE w:val="0"/>
        <w:spacing w:line="560" w:lineRule="exact"/>
        <w:ind w:firstLine="640"/>
        <w:rPr>
          <w:rFonts w:ascii="方正楷体_GBK" w:hAnsi="楷体" w:eastAsia="方正楷体_GBK" w:cs="楷体"/>
          <w:bCs/>
          <w:sz w:val="32"/>
          <w:szCs w:val="32"/>
          <w:shd w:val="clear" w:color="auto" w:fill="FFFFFF"/>
        </w:rPr>
      </w:pPr>
      <w:r>
        <w:rPr>
          <w:rFonts w:hint="eastAsia" w:ascii="方正楷体_GBK" w:hAnsi="楷体" w:eastAsia="方正楷体_GBK" w:cs="楷体"/>
          <w:bCs/>
          <w:sz w:val="32"/>
          <w:szCs w:val="32"/>
          <w:shd w:val="clear" w:color="auto" w:fill="FFFFFF"/>
        </w:rPr>
        <w:t>（二）财政拨款收入支出决算总体情况说明</w:t>
      </w:r>
    </w:p>
    <w:p>
      <w:pPr>
        <w:pStyle w:val="6"/>
        <w:snapToGrid w:val="0"/>
        <w:spacing w:before="0" w:beforeAutospacing="0" w:after="0" w:afterAutospacing="0" w:line="560"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sz w:val="32"/>
          <w:szCs w:val="32"/>
          <w:shd w:val="clear" w:color="auto" w:fill="FFFFFF"/>
        </w:rPr>
        <w:t>2023年度财政拨款收、支总计78.85万元。与2022年相比，财政拨款收、支总计各增加78.85万元，增长100.00%。主要原因是2022年度本单位与部门合并报表决算，按照市财政局要求，2023年度独立编报决算，故与上年对比增长100.00%。</w:t>
      </w:r>
    </w:p>
    <w:p>
      <w:pPr>
        <w:pStyle w:val="11"/>
        <w:autoSpaceDE w:val="0"/>
        <w:spacing w:line="560" w:lineRule="exact"/>
        <w:ind w:firstLine="640"/>
        <w:rPr>
          <w:rFonts w:ascii="方正楷体_GBK" w:hAnsi="楷体" w:eastAsia="方正楷体_GBK" w:cs="楷体"/>
          <w:bCs/>
          <w:sz w:val="32"/>
          <w:szCs w:val="32"/>
          <w:shd w:val="clear" w:color="auto" w:fill="FFFFFF"/>
        </w:rPr>
      </w:pPr>
      <w:r>
        <w:rPr>
          <w:rFonts w:hint="eastAsia" w:ascii="方正楷体_GBK" w:hAnsi="楷体" w:eastAsia="方正楷体_GBK" w:cs="楷体"/>
          <w:bCs/>
          <w:sz w:val="32"/>
          <w:szCs w:val="32"/>
          <w:shd w:val="clear" w:color="auto" w:fill="FFFFFF"/>
        </w:rPr>
        <w:t>（三）一般公共预算财政拨款收入支出决算情况说明</w:t>
      </w:r>
    </w:p>
    <w:p>
      <w:pPr>
        <w:pStyle w:val="6"/>
        <w:snapToGrid w:val="0"/>
        <w:spacing w:before="0" w:beforeAutospacing="0" w:after="0" w:afterAutospacing="0" w:line="560" w:lineRule="exact"/>
        <w:ind w:firstLine="640" w:firstLineChars="200"/>
        <w:jc w:val="both"/>
        <w:rPr>
          <w:rFonts w:hint="default" w:ascii="Times New Roman" w:hAnsi="Times New Roman" w:eastAsia="方正仿宋_GBK"/>
          <w:sz w:val="32"/>
          <w:szCs w:val="32"/>
        </w:rPr>
      </w:pPr>
      <w:r>
        <w:rPr>
          <w:rStyle w:val="8"/>
          <w:rFonts w:hint="default" w:ascii="Times New Roman" w:hAnsi="Times New Roman" w:eastAsia="方正仿宋_GBK"/>
          <w:b w:val="0"/>
          <w:sz w:val="32"/>
          <w:szCs w:val="32"/>
          <w:shd w:val="clear" w:color="auto" w:fill="FFFFFF"/>
        </w:rPr>
        <w:t>1.收入情况。</w:t>
      </w:r>
      <w:r>
        <w:rPr>
          <w:rFonts w:hint="default" w:ascii="Times New Roman" w:hAnsi="Times New Roman" w:eastAsia="方正仿宋_GBK"/>
          <w:sz w:val="32"/>
          <w:szCs w:val="32"/>
          <w:shd w:val="clear" w:color="auto" w:fill="FFFFFF"/>
        </w:rPr>
        <w:t>2023年度一般公共预算财政拨款收入</w:t>
      </w:r>
      <w:r>
        <w:rPr>
          <w:rFonts w:hint="default" w:ascii="Times New Roman" w:hAnsi="Times New Roman" w:eastAsia="方正仿宋_GBK"/>
          <w:sz w:val="32"/>
          <w:szCs w:val="32"/>
        </w:rPr>
        <w:t>78.85</w:t>
      </w:r>
      <w:r>
        <w:rPr>
          <w:rFonts w:hint="default" w:ascii="Times New Roman" w:hAnsi="Times New Roman" w:eastAsia="方正仿宋_GBK"/>
          <w:sz w:val="32"/>
          <w:szCs w:val="32"/>
          <w:shd w:val="clear" w:color="auto" w:fill="FFFFFF"/>
        </w:rPr>
        <w:t>万元，较上年决算数增加78.85万元，增长100.00%。主要原因是2022年度本单位与部门合并报表决算，按照市财政局要求，2023年度独立编报决算，故与上年对比增长100.00%。较年初预算数增加40.33万元，增长104.70%。主要原因是年初预算主要包含基本支出，较多惠民类项目年中追加预算。此外，年初财政拨款结转和结余</w:t>
      </w:r>
      <w:r>
        <w:rPr>
          <w:rFonts w:hint="default" w:ascii="Times New Roman" w:hAnsi="Times New Roman" w:eastAsia="方正仿宋_GBK"/>
          <w:sz w:val="32"/>
          <w:szCs w:val="32"/>
        </w:rPr>
        <w:t>0.00</w:t>
      </w:r>
      <w:r>
        <w:rPr>
          <w:rFonts w:hint="default" w:ascii="Times New Roman" w:hAnsi="Times New Roman" w:eastAsia="方正仿宋_GBK"/>
          <w:sz w:val="32"/>
          <w:szCs w:val="32"/>
          <w:shd w:val="clear" w:color="auto" w:fill="FFFFFF"/>
        </w:rPr>
        <w:t>万元。</w:t>
      </w:r>
    </w:p>
    <w:p>
      <w:pPr>
        <w:pStyle w:val="6"/>
        <w:snapToGrid w:val="0"/>
        <w:spacing w:before="0" w:beforeAutospacing="0" w:after="0" w:afterAutospacing="0" w:line="560" w:lineRule="exact"/>
        <w:ind w:firstLine="640" w:firstLineChars="200"/>
        <w:jc w:val="both"/>
        <w:rPr>
          <w:rFonts w:hint="default" w:ascii="Times New Roman" w:hAnsi="Times New Roman" w:eastAsia="方正仿宋_GBK"/>
          <w:sz w:val="32"/>
          <w:szCs w:val="32"/>
        </w:rPr>
      </w:pPr>
      <w:r>
        <w:rPr>
          <w:rStyle w:val="8"/>
          <w:rFonts w:hint="default" w:ascii="Times New Roman" w:hAnsi="Times New Roman" w:eastAsia="方正仿宋_GBK"/>
          <w:b w:val="0"/>
          <w:sz w:val="32"/>
          <w:szCs w:val="32"/>
          <w:shd w:val="clear" w:color="auto" w:fill="FFFFFF"/>
        </w:rPr>
        <w:t>2.支出情况。</w:t>
      </w:r>
      <w:r>
        <w:rPr>
          <w:rFonts w:hint="default" w:ascii="Times New Roman" w:hAnsi="Times New Roman" w:eastAsia="方正仿宋_GBK"/>
          <w:sz w:val="32"/>
          <w:szCs w:val="32"/>
          <w:shd w:val="clear" w:color="auto" w:fill="FFFFFF"/>
        </w:rPr>
        <w:t>2023年度一般公共预算财政拨款支出</w:t>
      </w:r>
      <w:r>
        <w:rPr>
          <w:rFonts w:hint="default" w:ascii="Times New Roman" w:hAnsi="Times New Roman" w:eastAsia="方正仿宋_GBK"/>
          <w:sz w:val="32"/>
          <w:szCs w:val="32"/>
        </w:rPr>
        <w:t>78.85</w:t>
      </w:r>
      <w:r>
        <w:rPr>
          <w:rFonts w:hint="default" w:ascii="Times New Roman" w:hAnsi="Times New Roman" w:eastAsia="方正仿宋_GBK"/>
          <w:sz w:val="32"/>
          <w:szCs w:val="32"/>
          <w:shd w:val="clear" w:color="auto" w:fill="FFFFFF"/>
        </w:rPr>
        <w:t>万元，较上年决算数增加78.85万元，增长100.00%。主要原因2022年度本单位与部门合并报表决算，按照市财政局要求，2023年度独立编报决算，故与上年对比增长100.00%。较年初预算数增加28.43万元，增长56.39%。主要原因是年初预算主要包含基本支出，较多惠民类项目年中追加预算。</w:t>
      </w:r>
    </w:p>
    <w:p>
      <w:pPr>
        <w:pStyle w:val="6"/>
        <w:snapToGrid w:val="0"/>
        <w:spacing w:before="0" w:beforeAutospacing="0" w:after="0" w:afterAutospacing="0" w:line="560" w:lineRule="exact"/>
        <w:ind w:firstLine="640" w:firstLineChars="200"/>
        <w:jc w:val="both"/>
        <w:rPr>
          <w:rFonts w:hint="default" w:ascii="Times New Roman" w:hAnsi="Times New Roman" w:eastAsia="方正仿宋_GBK"/>
          <w:sz w:val="32"/>
          <w:szCs w:val="32"/>
        </w:rPr>
      </w:pPr>
      <w:r>
        <w:rPr>
          <w:rStyle w:val="8"/>
          <w:rFonts w:hint="default" w:ascii="Times New Roman" w:hAnsi="Times New Roman" w:eastAsia="方正仿宋_GBK"/>
          <w:b w:val="0"/>
          <w:sz w:val="32"/>
          <w:szCs w:val="32"/>
          <w:shd w:val="clear" w:color="auto" w:fill="FFFFFF"/>
        </w:rPr>
        <w:t>3.结转结余情况。</w:t>
      </w:r>
      <w:r>
        <w:rPr>
          <w:rFonts w:hint="default" w:ascii="Times New Roman" w:hAnsi="Times New Roman" w:eastAsia="方正仿宋_GBK"/>
          <w:sz w:val="32"/>
          <w:szCs w:val="32"/>
          <w:shd w:val="clear" w:color="auto" w:fill="FFFFFF"/>
        </w:rPr>
        <w:t>2023年度年末一般公共预算财政拨款结转和结余</w:t>
      </w:r>
      <w:r>
        <w:rPr>
          <w:rFonts w:hint="default" w:ascii="Times New Roman" w:hAnsi="Times New Roman" w:eastAsia="方正仿宋_GBK"/>
          <w:sz w:val="32"/>
          <w:szCs w:val="32"/>
        </w:rPr>
        <w:t>0.00</w:t>
      </w:r>
      <w:r>
        <w:rPr>
          <w:rFonts w:hint="default" w:ascii="Times New Roman" w:hAnsi="Times New Roman" w:eastAsia="方正仿宋_GBK"/>
          <w:sz w:val="32"/>
          <w:szCs w:val="32"/>
          <w:shd w:val="clear" w:color="auto" w:fill="FFFFFF"/>
        </w:rPr>
        <w:t>万元，较上年决算数无增减，主要原因是本年收支平衡，无结转结余。</w:t>
      </w:r>
    </w:p>
    <w:p>
      <w:pPr>
        <w:pStyle w:val="6"/>
        <w:snapToGrid w:val="0"/>
        <w:spacing w:before="0" w:beforeAutospacing="0" w:after="0" w:afterAutospacing="0" w:line="560" w:lineRule="exact"/>
        <w:ind w:firstLine="640" w:firstLineChars="200"/>
        <w:jc w:val="both"/>
        <w:rPr>
          <w:rFonts w:hint="default" w:ascii="Times New Roman" w:hAnsi="Times New Roman" w:eastAsia="方正仿宋_GBK"/>
          <w:color w:val="FF0000"/>
          <w:sz w:val="32"/>
          <w:szCs w:val="32"/>
          <w:highlight w:val="cyan"/>
          <w:shd w:val="clear" w:color="auto" w:fill="FFFFFF"/>
        </w:rPr>
      </w:pPr>
      <w:r>
        <w:rPr>
          <w:rStyle w:val="8"/>
          <w:rFonts w:hint="default" w:ascii="Times New Roman" w:hAnsi="Times New Roman" w:eastAsia="方正仿宋_GBK"/>
          <w:b w:val="0"/>
          <w:sz w:val="32"/>
          <w:szCs w:val="32"/>
          <w:shd w:val="clear" w:color="auto" w:fill="FFFFFF"/>
        </w:rPr>
        <w:t xml:space="preserve"> 4.比较情况。</w:t>
      </w:r>
      <w:r>
        <w:rPr>
          <w:rFonts w:hint="default" w:ascii="Times New Roman" w:hAnsi="Times New Roman" w:eastAsia="方正仿宋_GBK"/>
          <w:sz w:val="32"/>
          <w:szCs w:val="32"/>
          <w:shd w:val="clear" w:color="auto" w:fill="FFFFFF"/>
        </w:rPr>
        <w:t>本单位2023年度一般公共预算财政拨款支出主要用于以下几个方面：</w:t>
      </w:r>
    </w:p>
    <w:p>
      <w:pPr>
        <w:pStyle w:val="6"/>
        <w:snapToGrid w:val="0"/>
        <w:spacing w:before="0" w:beforeAutospacing="0" w:after="0" w:afterAutospacing="0" w:line="560"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sz w:val="32"/>
          <w:szCs w:val="32"/>
          <w:shd w:val="clear" w:color="auto" w:fill="FFFFFF"/>
        </w:rPr>
        <w:t>（1）社会保障与就业支出</w:t>
      </w:r>
      <w:r>
        <w:rPr>
          <w:rFonts w:hint="default" w:ascii="Times New Roman" w:hAnsi="Times New Roman" w:eastAsia="方正仿宋_GBK"/>
          <w:sz w:val="32"/>
          <w:szCs w:val="32"/>
        </w:rPr>
        <w:t>65.54</w:t>
      </w:r>
      <w:r>
        <w:rPr>
          <w:rFonts w:hint="default" w:ascii="Times New Roman" w:hAnsi="Times New Roman" w:eastAsia="方正仿宋_GBK"/>
          <w:sz w:val="32"/>
          <w:szCs w:val="32"/>
          <w:shd w:val="clear" w:color="auto" w:fill="FFFFFF"/>
        </w:rPr>
        <w:t>万元，占</w:t>
      </w:r>
      <w:r>
        <w:rPr>
          <w:rFonts w:hint="default" w:ascii="Times New Roman" w:hAnsi="Times New Roman" w:eastAsia="方正仿宋_GBK"/>
          <w:sz w:val="32"/>
          <w:szCs w:val="32"/>
        </w:rPr>
        <w:t>83.12</w:t>
      </w:r>
      <w:r>
        <w:rPr>
          <w:rFonts w:hint="default" w:ascii="Times New Roman" w:hAnsi="Times New Roman" w:eastAsia="方正仿宋_GBK"/>
          <w:sz w:val="32"/>
          <w:szCs w:val="32"/>
          <w:shd w:val="clear" w:color="auto" w:fill="FFFFFF"/>
        </w:rPr>
        <w:t>%，较年初预算数增加22.16万元，增长51.08%，主要原因是年初预算主要包含基本支出，较多惠民类项目年中追加预算。</w:t>
      </w:r>
    </w:p>
    <w:p>
      <w:pPr>
        <w:pStyle w:val="6"/>
        <w:snapToGrid w:val="0"/>
        <w:spacing w:before="0" w:beforeAutospacing="0" w:after="0" w:afterAutospacing="0" w:line="560"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sz w:val="32"/>
          <w:szCs w:val="32"/>
          <w:shd w:val="clear" w:color="auto" w:fill="FFFFFF"/>
        </w:rPr>
        <w:t>（2）卫生健康支出</w:t>
      </w:r>
      <w:r>
        <w:rPr>
          <w:rFonts w:hint="default" w:ascii="Times New Roman" w:hAnsi="Times New Roman" w:eastAsia="方正仿宋_GBK"/>
          <w:sz w:val="32"/>
          <w:szCs w:val="32"/>
        </w:rPr>
        <w:t>10.39</w:t>
      </w:r>
      <w:r>
        <w:rPr>
          <w:rFonts w:hint="default" w:ascii="Times New Roman" w:hAnsi="Times New Roman" w:eastAsia="方正仿宋_GBK"/>
          <w:sz w:val="32"/>
          <w:szCs w:val="32"/>
          <w:shd w:val="clear" w:color="auto" w:fill="FFFFFF"/>
        </w:rPr>
        <w:t>万元，占</w:t>
      </w:r>
      <w:r>
        <w:rPr>
          <w:rFonts w:hint="default" w:ascii="Times New Roman" w:hAnsi="Times New Roman" w:eastAsia="方正仿宋_GBK"/>
          <w:sz w:val="32"/>
          <w:szCs w:val="32"/>
        </w:rPr>
        <w:t>13.18</w:t>
      </w:r>
      <w:r>
        <w:rPr>
          <w:rFonts w:hint="default" w:ascii="Times New Roman" w:hAnsi="Times New Roman" w:eastAsia="方正仿宋_GBK"/>
          <w:sz w:val="32"/>
          <w:szCs w:val="32"/>
          <w:shd w:val="clear" w:color="auto" w:fill="FFFFFF"/>
        </w:rPr>
        <w:t>%，较年初预算数增加6.27万元，增长152.18%，主要原因是年初预算主要包含基本支出，较多惠民类项目年中追加预算。</w:t>
      </w:r>
    </w:p>
    <w:p>
      <w:pPr>
        <w:spacing w:line="560" w:lineRule="exact"/>
        <w:ind w:firstLine="640" w:firstLineChars="200"/>
        <w:rPr>
          <w:rFonts w:hint="default" w:ascii="Times New Roman" w:hAnsi="Times New Roman" w:eastAsia="方正仿宋_GBK"/>
          <w:color w:val="FF0000"/>
          <w:sz w:val="32"/>
          <w:szCs w:val="32"/>
          <w:shd w:val="clear" w:color="auto" w:fill="FFFFFF"/>
        </w:rPr>
      </w:pPr>
      <w:r>
        <w:rPr>
          <w:rFonts w:hint="default" w:ascii="Times New Roman" w:hAnsi="Times New Roman" w:eastAsia="方正仿宋_GBK"/>
          <w:sz w:val="32"/>
          <w:szCs w:val="32"/>
          <w:shd w:val="clear" w:color="auto" w:fill="FFFFFF"/>
        </w:rPr>
        <w:t>（3）</w:t>
      </w:r>
      <w:r>
        <w:rPr>
          <w:rFonts w:hint="default" w:ascii="Times New Roman" w:hAnsi="Times New Roman" w:eastAsia="方正仿宋_GBK"/>
          <w:sz w:val="32"/>
          <w:szCs w:val="32"/>
        </w:rPr>
        <w:t>住房保障支出2.92</w:t>
      </w:r>
      <w:r>
        <w:rPr>
          <w:rFonts w:hint="default" w:ascii="Times New Roman" w:hAnsi="Times New Roman" w:eastAsia="方正仿宋_GBK"/>
          <w:sz w:val="32"/>
          <w:szCs w:val="32"/>
          <w:shd w:val="clear" w:color="auto" w:fill="FFFFFF"/>
        </w:rPr>
        <w:t>万元，占</w:t>
      </w:r>
      <w:r>
        <w:rPr>
          <w:rFonts w:hint="default" w:ascii="Times New Roman" w:hAnsi="Times New Roman" w:eastAsia="方正仿宋_GBK"/>
          <w:sz w:val="32"/>
          <w:szCs w:val="32"/>
        </w:rPr>
        <w:t>3.70</w:t>
      </w:r>
      <w:r>
        <w:rPr>
          <w:rFonts w:hint="default" w:ascii="Times New Roman" w:hAnsi="Times New Roman" w:eastAsia="方正仿宋_GBK"/>
          <w:sz w:val="32"/>
          <w:szCs w:val="32"/>
          <w:shd w:val="clear" w:color="auto" w:fill="FFFFFF"/>
        </w:rPr>
        <w:t>%，较年初预算数无增减，主要原因是我单位严格按照年初预算执行。</w:t>
      </w:r>
    </w:p>
    <w:p>
      <w:pPr>
        <w:pStyle w:val="11"/>
        <w:autoSpaceDE w:val="0"/>
        <w:spacing w:line="560" w:lineRule="exact"/>
        <w:ind w:firstLine="640"/>
        <w:rPr>
          <w:rFonts w:ascii="方正楷体_GBK" w:hAnsi="楷体" w:eastAsia="方正楷体_GBK" w:cs="楷体"/>
          <w:bCs/>
          <w:sz w:val="32"/>
          <w:szCs w:val="32"/>
          <w:shd w:val="clear" w:color="auto" w:fill="FFFFFF"/>
        </w:rPr>
      </w:pPr>
      <w:r>
        <w:rPr>
          <w:rFonts w:hint="eastAsia" w:ascii="方正楷体_GBK" w:hAnsi="楷体" w:eastAsia="方正楷体_GBK" w:cs="楷体"/>
          <w:bCs/>
          <w:sz w:val="32"/>
          <w:szCs w:val="32"/>
          <w:shd w:val="clear" w:color="auto" w:fill="FFFFFF"/>
        </w:rPr>
        <w:t>（四）一般公共预算财政拨款基本支出决算情况说明</w:t>
      </w:r>
    </w:p>
    <w:p>
      <w:pPr>
        <w:pStyle w:val="6"/>
        <w:snapToGrid w:val="0"/>
        <w:spacing w:before="0" w:beforeAutospacing="0" w:after="0" w:afterAutospacing="0" w:line="560"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sz w:val="32"/>
          <w:szCs w:val="32"/>
          <w:shd w:val="clear" w:color="auto" w:fill="FFFFFF"/>
        </w:rPr>
        <w:t>2023年度一般公共财政拨款基本支出</w:t>
      </w:r>
      <w:r>
        <w:rPr>
          <w:rFonts w:hint="default" w:ascii="Times New Roman" w:hAnsi="Times New Roman" w:eastAsia="方正仿宋_GBK"/>
          <w:sz w:val="32"/>
          <w:szCs w:val="32"/>
        </w:rPr>
        <w:t>47.59</w:t>
      </w:r>
      <w:r>
        <w:rPr>
          <w:rFonts w:hint="default" w:ascii="Times New Roman" w:hAnsi="Times New Roman" w:eastAsia="方正仿宋_GBK"/>
          <w:sz w:val="32"/>
          <w:szCs w:val="32"/>
          <w:shd w:val="clear" w:color="auto" w:fill="FFFFFF"/>
        </w:rPr>
        <w:t>万元。其中：人员经费</w:t>
      </w:r>
      <w:r>
        <w:rPr>
          <w:rFonts w:hint="default" w:ascii="Times New Roman" w:hAnsi="Times New Roman" w:eastAsia="方正仿宋_GBK"/>
          <w:sz w:val="32"/>
          <w:szCs w:val="32"/>
        </w:rPr>
        <w:t>44.13</w:t>
      </w:r>
      <w:r>
        <w:rPr>
          <w:rFonts w:hint="default" w:ascii="Times New Roman" w:hAnsi="Times New Roman" w:eastAsia="方正仿宋_GBK"/>
          <w:sz w:val="32"/>
          <w:szCs w:val="32"/>
          <w:shd w:val="clear" w:color="auto" w:fill="FFFFFF"/>
        </w:rPr>
        <w:t>万元，较上年决算数增加44.13万元，增长100.00%，主要原因是2022年度本单位与部门合并报表决算，按照市财政局要求，2023年度独立编报决算，故与上年对比增长100.00%。人员经费用途主要包括</w:t>
      </w:r>
      <w:r>
        <w:rPr>
          <w:rFonts w:hint="default" w:ascii="Times New Roman" w:hAnsi="Times New Roman" w:eastAsia="方正仿宋_GBK"/>
          <w:color w:val="000000" w:themeColor="text1"/>
          <w:sz w:val="32"/>
          <w:szCs w:val="32"/>
          <w:shd w:val="clear" w:color="auto" w:fill="FFFFFF"/>
        </w:rPr>
        <w:t>基本工资、奖金及津贴补贴发放，社保公积金缴纳等。</w:t>
      </w:r>
      <w:r>
        <w:rPr>
          <w:rFonts w:hint="default" w:ascii="Times New Roman" w:hAnsi="Times New Roman" w:eastAsia="方正仿宋_GBK"/>
          <w:sz w:val="32"/>
          <w:szCs w:val="32"/>
          <w:shd w:val="clear" w:color="auto" w:fill="FFFFFF"/>
        </w:rPr>
        <w:t>公用经费</w:t>
      </w:r>
      <w:r>
        <w:rPr>
          <w:rFonts w:hint="default" w:ascii="Times New Roman" w:hAnsi="Times New Roman" w:eastAsia="方正仿宋_GBK"/>
          <w:sz w:val="32"/>
          <w:szCs w:val="32"/>
        </w:rPr>
        <w:t>3.46</w:t>
      </w:r>
      <w:r>
        <w:rPr>
          <w:rFonts w:hint="default" w:ascii="Times New Roman" w:hAnsi="Times New Roman" w:eastAsia="方正仿宋_GBK"/>
          <w:sz w:val="32"/>
          <w:szCs w:val="32"/>
          <w:shd w:val="clear" w:color="auto" w:fill="FFFFFF"/>
        </w:rPr>
        <w:t>万元，较上年决算数增加3.46万元，增100.00%，主要原因是2022年度本单位与部门合并报表决算，按照市财政局要求，2023年度独立编报决算，故与上年对比增长100.00%。公用经费用途主要包括</w:t>
      </w:r>
      <w:r>
        <w:rPr>
          <w:rFonts w:hint="default" w:ascii="Times New Roman" w:hAnsi="Times New Roman" w:eastAsia="方正仿宋_GBK"/>
          <w:color w:val="000000" w:themeColor="text1"/>
          <w:sz w:val="32"/>
          <w:szCs w:val="32"/>
          <w:shd w:val="clear" w:color="auto" w:fill="FFFFFF"/>
        </w:rPr>
        <w:t>办公费、印刷费、咨询费、差旅费、电费、水费、会议费、培训费等。</w:t>
      </w:r>
    </w:p>
    <w:p>
      <w:pPr>
        <w:pStyle w:val="11"/>
        <w:autoSpaceDE w:val="0"/>
        <w:spacing w:line="560" w:lineRule="exact"/>
        <w:ind w:firstLine="640"/>
        <w:rPr>
          <w:rFonts w:ascii="方正楷体_GBK" w:hAnsi="楷体" w:eastAsia="方正楷体_GBK" w:cs="楷体"/>
          <w:bCs/>
          <w:sz w:val="32"/>
          <w:szCs w:val="32"/>
          <w:shd w:val="clear" w:color="auto" w:fill="FFFFFF"/>
        </w:rPr>
      </w:pPr>
      <w:r>
        <w:rPr>
          <w:rFonts w:hint="eastAsia" w:ascii="方正楷体_GBK" w:hAnsi="楷体" w:eastAsia="方正楷体_GBK" w:cs="楷体"/>
          <w:bCs/>
          <w:sz w:val="32"/>
          <w:szCs w:val="32"/>
          <w:shd w:val="clear" w:color="auto" w:fill="FFFFFF"/>
        </w:rPr>
        <w:t>（五）政府性基金预算收支决算情况说明</w:t>
      </w:r>
    </w:p>
    <w:p>
      <w:pPr>
        <w:pStyle w:val="6"/>
        <w:snapToGrid w:val="0"/>
        <w:spacing w:before="0" w:beforeAutospacing="0" w:after="0" w:afterAutospacing="0" w:line="560" w:lineRule="exact"/>
        <w:ind w:firstLine="640" w:firstLineChars="200"/>
        <w:jc w:val="both"/>
        <w:rPr>
          <w:rFonts w:hint="default" w:ascii="方正仿宋_GBK" w:hAnsi="方正仿宋_GBK" w:eastAsia="方正仿宋_GBK" w:cs="方正仿宋_GBK"/>
          <w:color w:val="000000" w:themeColor="text1"/>
          <w:sz w:val="32"/>
          <w:szCs w:val="32"/>
          <w:shd w:val="clear" w:color="auto" w:fill="FFFFFF"/>
        </w:rPr>
      </w:pPr>
      <w:r>
        <w:rPr>
          <w:rFonts w:hint="default" w:ascii="Times New Roman" w:hAnsi="Times New Roman" w:eastAsia="方正仿宋_GBK"/>
          <w:color w:val="000000" w:themeColor="text1"/>
          <w:sz w:val="32"/>
          <w:szCs w:val="32"/>
          <w:shd w:val="clear" w:color="auto" w:fill="FFFFFF"/>
        </w:rPr>
        <w:t>本单位2023年度无政府性基金预算财政拨款收支</w:t>
      </w:r>
      <w:r>
        <w:rPr>
          <w:rFonts w:ascii="方正仿宋_GBK" w:hAnsi="方正仿宋_GBK" w:eastAsia="方正仿宋_GBK" w:cs="方正仿宋_GBK"/>
          <w:color w:val="000000" w:themeColor="text1"/>
          <w:sz w:val="32"/>
          <w:szCs w:val="32"/>
          <w:shd w:val="clear" w:color="auto" w:fill="FFFFFF"/>
        </w:rPr>
        <w:t>。</w:t>
      </w:r>
    </w:p>
    <w:p>
      <w:pPr>
        <w:pStyle w:val="11"/>
        <w:autoSpaceDE w:val="0"/>
        <w:spacing w:line="560" w:lineRule="exact"/>
        <w:ind w:firstLine="640"/>
        <w:rPr>
          <w:rFonts w:ascii="方正楷体_GBK" w:hAnsi="楷体" w:eastAsia="方正楷体_GBK" w:cs="楷体"/>
          <w:bCs/>
          <w:sz w:val="32"/>
          <w:szCs w:val="32"/>
          <w:shd w:val="clear" w:color="auto" w:fill="FFFFFF"/>
        </w:rPr>
      </w:pPr>
      <w:r>
        <w:rPr>
          <w:rFonts w:hint="eastAsia" w:ascii="方正楷体_GBK" w:hAnsi="楷体" w:eastAsia="方正楷体_GBK" w:cs="楷体"/>
          <w:bCs/>
          <w:sz w:val="32"/>
          <w:szCs w:val="32"/>
          <w:shd w:val="clear" w:color="auto" w:fill="FFFFFF"/>
        </w:rPr>
        <w:t>（六）国有资本经营预算财政拨款支出决算情况说明</w:t>
      </w:r>
    </w:p>
    <w:p>
      <w:pPr>
        <w:pStyle w:val="6"/>
        <w:snapToGrid w:val="0"/>
        <w:spacing w:before="0" w:beforeAutospacing="0" w:after="0" w:afterAutospacing="0" w:line="560" w:lineRule="exact"/>
        <w:ind w:firstLine="640" w:firstLineChars="200"/>
        <w:jc w:val="both"/>
        <w:rPr>
          <w:rFonts w:hint="default" w:ascii="Times New Roman" w:hAnsi="Times New Roman" w:eastAsia="方正仿宋_GBK"/>
          <w:color w:val="000000" w:themeColor="text1"/>
          <w:sz w:val="32"/>
          <w:szCs w:val="32"/>
          <w:shd w:val="clear" w:color="auto" w:fill="FFFFFF"/>
        </w:rPr>
      </w:pPr>
      <w:r>
        <w:rPr>
          <w:rFonts w:hint="default" w:ascii="Times New Roman" w:hAnsi="Times New Roman" w:eastAsia="方正仿宋_GBK"/>
          <w:color w:val="000000" w:themeColor="text1"/>
          <w:sz w:val="32"/>
          <w:szCs w:val="32"/>
          <w:shd w:val="clear" w:color="auto" w:fill="FFFFFF"/>
        </w:rPr>
        <w:t>本单位2023年度无国有资本经营预算财政拨款支出。</w:t>
      </w:r>
    </w:p>
    <w:p>
      <w:pPr>
        <w:pStyle w:val="6"/>
        <w:shd w:val="clear" w:color="auto" w:fill="FFFFFF"/>
        <w:spacing w:before="0" w:beforeAutospacing="0" w:after="0" w:afterAutospacing="0" w:line="560" w:lineRule="exact"/>
        <w:ind w:firstLine="640" w:firstLineChars="200"/>
        <w:rPr>
          <w:rStyle w:val="8"/>
          <w:rFonts w:hint="default" w:ascii="方正黑体_GBK" w:eastAsia="方正黑体_GBK"/>
          <w:b w:val="0"/>
        </w:rPr>
      </w:pPr>
      <w:r>
        <w:rPr>
          <w:rStyle w:val="8"/>
          <w:rFonts w:ascii="方正黑体_GBK" w:hAnsi="黑体" w:eastAsia="方正黑体_GBK" w:cs="黑体"/>
          <w:b w:val="0"/>
          <w:sz w:val="32"/>
          <w:szCs w:val="32"/>
          <w:shd w:val="clear" w:color="auto" w:fill="FFFFFF"/>
        </w:rPr>
        <w:t>三、“三公”经费情况说明</w:t>
      </w:r>
    </w:p>
    <w:p>
      <w:pPr>
        <w:pStyle w:val="11"/>
        <w:autoSpaceDE w:val="0"/>
        <w:spacing w:line="560" w:lineRule="exact"/>
        <w:ind w:firstLine="640"/>
        <w:rPr>
          <w:rFonts w:ascii="方正楷体_GBK" w:hAnsi="楷体" w:eastAsia="方正楷体_GBK" w:cs="楷体"/>
          <w:bCs/>
          <w:sz w:val="32"/>
          <w:szCs w:val="32"/>
          <w:shd w:val="clear" w:color="auto" w:fill="FFFFFF"/>
        </w:rPr>
      </w:pPr>
      <w:r>
        <w:rPr>
          <w:rFonts w:hint="eastAsia" w:ascii="方正楷体_GBK" w:hAnsi="楷体" w:eastAsia="方正楷体_GBK" w:cs="楷体"/>
          <w:bCs/>
          <w:sz w:val="32"/>
          <w:szCs w:val="32"/>
          <w:shd w:val="clear" w:color="auto" w:fill="FFFFFF"/>
        </w:rPr>
        <w:t>（一）“三公”经费支出总体情况说明</w:t>
      </w:r>
    </w:p>
    <w:p>
      <w:pPr>
        <w:pStyle w:val="6"/>
        <w:snapToGrid w:val="0"/>
        <w:spacing w:before="0" w:beforeAutospacing="0" w:after="0" w:afterAutospacing="0" w:line="560" w:lineRule="exact"/>
        <w:ind w:firstLine="640" w:firstLineChars="200"/>
        <w:jc w:val="both"/>
        <w:rPr>
          <w:rFonts w:hint="default" w:ascii="方正仿宋_GBK" w:hAnsi="方正仿宋_GBK" w:eastAsia="方正仿宋_GBK" w:cs="方正仿宋_GBK"/>
          <w:sz w:val="32"/>
          <w:szCs w:val="32"/>
        </w:rPr>
      </w:pPr>
      <w:r>
        <w:rPr>
          <w:rFonts w:ascii="方正仿宋_GBK" w:hAnsi="Times New Roman" w:eastAsia="方正仿宋_GBK"/>
          <w:sz w:val="32"/>
          <w:szCs w:val="32"/>
          <w:shd w:val="clear" w:color="auto" w:fill="FFFFFF"/>
        </w:rPr>
        <w:t>本单位为兰桥镇人民政府下属二级单位，未单列“三公”经费支出。较上年支出数无增减，主要原因是本单位为兰桥镇人民政府下属二级单位，未单列“三公”经费支出。</w:t>
      </w:r>
    </w:p>
    <w:p>
      <w:pPr>
        <w:pStyle w:val="11"/>
        <w:autoSpaceDE w:val="0"/>
        <w:spacing w:line="560" w:lineRule="exact"/>
        <w:ind w:firstLine="640"/>
        <w:rPr>
          <w:rStyle w:val="8"/>
          <w:rFonts w:ascii="方正楷体_GBK" w:eastAsia="方正楷体_GBK"/>
          <w:b w:val="0"/>
        </w:rPr>
      </w:pPr>
      <w:r>
        <w:rPr>
          <w:rStyle w:val="8"/>
          <w:rFonts w:hint="eastAsia" w:ascii="方正楷体_GBK" w:eastAsia="方正楷体_GBK"/>
          <w:b w:val="0"/>
          <w:sz w:val="32"/>
          <w:szCs w:val="32"/>
        </w:rPr>
        <w:t>（二）“三公”经费分项支出情况</w:t>
      </w:r>
    </w:p>
    <w:p>
      <w:pPr>
        <w:pStyle w:val="17"/>
        <w:keepNext w:val="0"/>
        <w:keepLines w:val="0"/>
        <w:pageBreakBefore w:val="0"/>
        <w:kinsoku/>
        <w:overflowPunct/>
        <w:topLinePunct w:val="0"/>
        <w:autoSpaceDN/>
        <w:bidi w:val="0"/>
        <w:adjustRightInd/>
        <w:snapToGrid w:val="0"/>
        <w:spacing w:before="0" w:beforeLines="0" w:beforeAutospacing="0" w:after="0" w:afterLines="0" w:afterAutospacing="0" w:line="560" w:lineRule="exact"/>
        <w:ind w:firstLine="640" w:firstLineChars="200"/>
        <w:jc w:val="both"/>
        <w:outlineLvl w:val="9"/>
        <w:rPr>
          <w:rFonts w:hint="eastAsia" w:ascii="Times New Roman" w:hAnsi="Times New Roman" w:eastAsia="方正仿宋_GBK" w:cs="Times New Roman"/>
          <w:b w:val="0"/>
          <w:bCs w:val="0"/>
          <w:sz w:val="32"/>
          <w:szCs w:val="32"/>
          <w:shd w:val="clear" w:color="auto" w:fill="FFFFFF"/>
          <w:lang w:eastAsia="zh-CN"/>
        </w:rPr>
      </w:pPr>
      <w:r>
        <w:rPr>
          <w:rFonts w:hint="default" w:ascii="Times New Roman" w:hAnsi="Times New Roman" w:eastAsia="方正仿宋_GBK" w:cs="Times New Roman"/>
          <w:b w:val="0"/>
          <w:bCs w:val="0"/>
          <w:sz w:val="32"/>
          <w:szCs w:val="32"/>
          <w:shd w:val="clear" w:color="auto" w:fill="FFFFFF"/>
        </w:rPr>
        <w:t>2023年度本单位因公出国（境）费用0.00万元，较年初预算数</w:t>
      </w:r>
      <w:r>
        <w:rPr>
          <w:rFonts w:hint="eastAsia" w:ascii="Times New Roman" w:hAnsi="Times New Roman" w:eastAsia="方正仿宋_GBK" w:cs="Times New Roman"/>
          <w:b w:val="0"/>
          <w:bCs w:val="0"/>
          <w:sz w:val="32"/>
          <w:szCs w:val="32"/>
          <w:shd w:val="clear" w:color="auto" w:fill="FFFFFF"/>
          <w:lang w:eastAsia="zh-CN"/>
        </w:rPr>
        <w:t>、</w:t>
      </w:r>
      <w:r>
        <w:rPr>
          <w:rFonts w:hint="default" w:ascii="Times New Roman" w:hAnsi="Times New Roman" w:eastAsia="方正仿宋_GBK" w:cs="Times New Roman"/>
          <w:b w:val="0"/>
          <w:bCs w:val="0"/>
          <w:sz w:val="32"/>
          <w:szCs w:val="32"/>
          <w:shd w:val="clear" w:color="auto" w:fill="FFFFFF"/>
        </w:rPr>
        <w:t>上年支出数无增减</w:t>
      </w:r>
      <w:r>
        <w:rPr>
          <w:rFonts w:hint="eastAsia" w:ascii="Times New Roman" w:hAnsi="Times New Roman" w:eastAsia="方正仿宋_GBK" w:cs="Times New Roman"/>
          <w:b w:val="0"/>
          <w:bCs w:val="0"/>
          <w:sz w:val="32"/>
          <w:szCs w:val="32"/>
          <w:shd w:val="clear" w:color="auto" w:fill="FFFFFF"/>
          <w:lang w:eastAsia="zh-CN"/>
        </w:rPr>
        <w:t>。</w:t>
      </w:r>
    </w:p>
    <w:p>
      <w:pPr>
        <w:pStyle w:val="17"/>
        <w:keepNext w:val="0"/>
        <w:keepLines w:val="0"/>
        <w:pageBreakBefore w:val="0"/>
        <w:kinsoku/>
        <w:overflowPunct/>
        <w:topLinePunct w:val="0"/>
        <w:autoSpaceDN/>
        <w:bidi w:val="0"/>
        <w:adjustRightInd/>
        <w:snapToGrid w:val="0"/>
        <w:spacing w:before="0" w:beforeLines="0" w:beforeAutospacing="0" w:after="0" w:afterLines="0" w:afterAutospacing="0" w:line="560" w:lineRule="exact"/>
        <w:ind w:firstLine="640" w:firstLineChars="200"/>
        <w:jc w:val="both"/>
        <w:outlineLvl w:val="9"/>
        <w:rPr>
          <w:rFonts w:hint="eastAsia" w:ascii="Times New Roman" w:hAnsi="Times New Roman" w:eastAsia="方正仿宋_GBK" w:cs="Times New Roman"/>
          <w:b w:val="0"/>
          <w:bCs w:val="0"/>
          <w:sz w:val="32"/>
          <w:szCs w:val="32"/>
          <w:shd w:val="clear" w:color="auto" w:fill="FFFFFF"/>
          <w:lang w:eastAsia="zh-CN"/>
        </w:rPr>
      </w:pPr>
      <w:r>
        <w:rPr>
          <w:rFonts w:hint="default" w:ascii="Times New Roman" w:hAnsi="Times New Roman" w:eastAsia="方正仿宋_GBK" w:cs="Times New Roman"/>
          <w:b w:val="0"/>
          <w:bCs w:val="0"/>
          <w:sz w:val="32"/>
          <w:szCs w:val="32"/>
          <w:shd w:val="clear" w:color="auto" w:fill="FFFFFF"/>
        </w:rPr>
        <w:t> 公务车购置费0.00万元，较年初预算数</w:t>
      </w:r>
      <w:r>
        <w:rPr>
          <w:rFonts w:hint="eastAsia" w:ascii="Times New Roman" w:hAnsi="Times New Roman" w:eastAsia="方正仿宋_GBK" w:cs="Times New Roman"/>
          <w:b w:val="0"/>
          <w:bCs w:val="0"/>
          <w:sz w:val="32"/>
          <w:szCs w:val="32"/>
          <w:shd w:val="clear" w:color="auto" w:fill="FFFFFF"/>
          <w:lang w:eastAsia="zh-CN"/>
        </w:rPr>
        <w:t>、</w:t>
      </w:r>
      <w:r>
        <w:rPr>
          <w:rFonts w:hint="default" w:ascii="Times New Roman" w:hAnsi="Times New Roman" w:eastAsia="方正仿宋_GBK" w:cs="Times New Roman"/>
          <w:b w:val="0"/>
          <w:bCs w:val="0"/>
          <w:sz w:val="32"/>
          <w:szCs w:val="32"/>
          <w:shd w:val="clear" w:color="auto" w:fill="FFFFFF"/>
        </w:rPr>
        <w:t>上年支出数无增减</w:t>
      </w:r>
      <w:r>
        <w:rPr>
          <w:rFonts w:hint="eastAsia" w:ascii="Times New Roman" w:hAnsi="Times New Roman" w:eastAsia="方正仿宋_GBK" w:cs="Times New Roman"/>
          <w:b w:val="0"/>
          <w:bCs w:val="0"/>
          <w:sz w:val="32"/>
          <w:szCs w:val="32"/>
          <w:shd w:val="clear" w:color="auto" w:fill="FFFFFF"/>
          <w:lang w:eastAsia="zh-CN"/>
        </w:rPr>
        <w:t>。</w:t>
      </w:r>
    </w:p>
    <w:p>
      <w:pPr>
        <w:pStyle w:val="17"/>
        <w:keepNext w:val="0"/>
        <w:keepLines w:val="0"/>
        <w:pageBreakBefore w:val="0"/>
        <w:kinsoku/>
        <w:overflowPunct/>
        <w:topLinePunct w:val="0"/>
        <w:autoSpaceDN/>
        <w:bidi w:val="0"/>
        <w:adjustRightInd/>
        <w:snapToGrid w:val="0"/>
        <w:spacing w:before="0" w:beforeLines="0" w:beforeAutospacing="0" w:after="0" w:afterLines="0" w:afterAutospacing="0" w:line="560" w:lineRule="exact"/>
        <w:ind w:firstLine="640" w:firstLineChars="200"/>
        <w:jc w:val="both"/>
        <w:outlineLvl w:val="9"/>
        <w:rPr>
          <w:rFonts w:hint="eastAsia" w:ascii="Times New Roman" w:hAnsi="Times New Roman" w:eastAsia="方正仿宋_GBK" w:cs="Times New Roman"/>
          <w:b w:val="0"/>
          <w:bCs w:val="0"/>
          <w:sz w:val="32"/>
          <w:szCs w:val="32"/>
          <w:shd w:val="clear" w:color="auto" w:fill="FFFFFF"/>
          <w:lang w:eastAsia="zh-CN"/>
        </w:rPr>
      </w:pPr>
      <w:r>
        <w:rPr>
          <w:rFonts w:hint="default" w:ascii="Times New Roman" w:hAnsi="Times New Roman" w:eastAsia="方正仿宋_GBK" w:cs="Times New Roman"/>
          <w:b w:val="0"/>
          <w:bCs w:val="0"/>
          <w:sz w:val="32"/>
          <w:szCs w:val="32"/>
          <w:shd w:val="clear" w:color="auto" w:fill="FFFFFF"/>
        </w:rPr>
        <w:t> 公务车运行维护费0.00万元</w:t>
      </w:r>
      <w:r>
        <w:rPr>
          <w:rFonts w:hint="default" w:ascii="Times New Roman" w:hAnsi="Times New Roman" w:eastAsia="方正仿宋_GBK" w:cs="Times New Roman"/>
          <w:b w:val="0"/>
          <w:bCs w:val="0"/>
          <w:sz w:val="32"/>
          <w:szCs w:val="32"/>
          <w:shd w:val="clear" w:color="auto" w:fill="FFFFFF"/>
          <w:lang w:val="en-US" w:eastAsia="zh-CN"/>
        </w:rPr>
        <w:t>。</w:t>
      </w:r>
      <w:r>
        <w:rPr>
          <w:rFonts w:hint="default" w:ascii="Times New Roman" w:hAnsi="Times New Roman" w:eastAsia="方正仿宋_GBK" w:cs="Times New Roman"/>
          <w:b w:val="0"/>
          <w:bCs w:val="0"/>
          <w:sz w:val="32"/>
          <w:szCs w:val="32"/>
          <w:shd w:val="clear" w:color="auto" w:fill="FFFFFF"/>
        </w:rPr>
        <w:t>较年初预算数</w:t>
      </w:r>
      <w:r>
        <w:rPr>
          <w:rFonts w:hint="eastAsia" w:ascii="Times New Roman" w:hAnsi="Times New Roman" w:eastAsia="方正仿宋_GBK" w:cs="Times New Roman"/>
          <w:b w:val="0"/>
          <w:bCs w:val="0"/>
          <w:sz w:val="32"/>
          <w:szCs w:val="32"/>
          <w:shd w:val="clear" w:color="auto" w:fill="FFFFFF"/>
          <w:lang w:eastAsia="zh-CN"/>
        </w:rPr>
        <w:t>、</w:t>
      </w:r>
      <w:r>
        <w:rPr>
          <w:rFonts w:hint="default" w:ascii="Times New Roman" w:hAnsi="Times New Roman" w:eastAsia="方正仿宋_GBK" w:cs="Times New Roman"/>
          <w:b w:val="0"/>
          <w:bCs w:val="0"/>
          <w:sz w:val="32"/>
          <w:szCs w:val="32"/>
          <w:shd w:val="clear" w:color="auto" w:fill="FFFFFF"/>
        </w:rPr>
        <w:t>上年支出数无增减</w:t>
      </w:r>
      <w:r>
        <w:rPr>
          <w:rFonts w:hint="eastAsia" w:ascii="Times New Roman" w:hAnsi="Times New Roman" w:eastAsia="方正仿宋_GBK" w:cs="Times New Roman"/>
          <w:b w:val="0"/>
          <w:bCs w:val="0"/>
          <w:sz w:val="32"/>
          <w:szCs w:val="32"/>
          <w:shd w:val="clear" w:color="auto" w:fill="FFFFFF"/>
          <w:lang w:eastAsia="zh-CN"/>
        </w:rPr>
        <w:t>。</w:t>
      </w:r>
    </w:p>
    <w:p>
      <w:pPr>
        <w:pStyle w:val="17"/>
        <w:keepNext w:val="0"/>
        <w:keepLines w:val="0"/>
        <w:pageBreakBefore w:val="0"/>
        <w:kinsoku/>
        <w:overflowPunct/>
        <w:topLinePunct w:val="0"/>
        <w:autoSpaceDN/>
        <w:bidi w:val="0"/>
        <w:adjustRightInd/>
        <w:snapToGrid w:val="0"/>
        <w:spacing w:before="0" w:beforeLines="0" w:beforeAutospacing="0" w:after="0" w:afterLines="0" w:afterAutospacing="0" w:line="560" w:lineRule="exact"/>
        <w:ind w:firstLine="640" w:firstLineChars="200"/>
        <w:jc w:val="both"/>
        <w:outlineLvl w:val="9"/>
        <w:rPr>
          <w:rFonts w:hint="default" w:ascii="Times New Roman" w:hAnsi="Times New Roman" w:eastAsia="方正仿宋_GBK" w:cs="Times New Roman"/>
          <w:b w:val="0"/>
          <w:bCs w:val="0"/>
          <w:sz w:val="32"/>
          <w:szCs w:val="32"/>
          <w:shd w:val="clear" w:color="auto" w:fill="FFFFFF"/>
        </w:rPr>
      </w:pPr>
      <w:r>
        <w:rPr>
          <w:rFonts w:hint="default" w:ascii="Times New Roman" w:hAnsi="Times New Roman" w:eastAsia="方正仿宋_GBK" w:cs="Times New Roman"/>
          <w:b w:val="0"/>
          <w:bCs w:val="0"/>
          <w:sz w:val="32"/>
          <w:szCs w:val="32"/>
          <w:shd w:val="clear" w:color="auto" w:fill="FFFFFF"/>
        </w:rPr>
        <w:t> 公务接待费0.00万元，较年初预算数</w:t>
      </w:r>
      <w:r>
        <w:rPr>
          <w:rFonts w:hint="eastAsia" w:ascii="Times New Roman" w:hAnsi="Times New Roman" w:eastAsia="方正仿宋_GBK" w:cs="Times New Roman"/>
          <w:b w:val="0"/>
          <w:bCs w:val="0"/>
          <w:sz w:val="32"/>
          <w:szCs w:val="32"/>
          <w:shd w:val="clear" w:color="auto" w:fill="FFFFFF"/>
          <w:lang w:eastAsia="zh-CN"/>
        </w:rPr>
        <w:t>、</w:t>
      </w:r>
      <w:r>
        <w:rPr>
          <w:rFonts w:hint="default" w:ascii="Times New Roman" w:hAnsi="Times New Roman" w:eastAsia="方正仿宋_GBK" w:cs="Times New Roman"/>
          <w:b w:val="0"/>
          <w:bCs w:val="0"/>
          <w:sz w:val="32"/>
          <w:szCs w:val="32"/>
          <w:shd w:val="clear" w:color="auto" w:fill="FFFFFF"/>
        </w:rPr>
        <w:t>上年支出数无增减</w:t>
      </w:r>
      <w:r>
        <w:rPr>
          <w:rFonts w:hint="eastAsia" w:ascii="Times New Roman" w:hAnsi="Times New Roman" w:eastAsia="方正仿宋_GBK" w:cs="Times New Roman"/>
          <w:b w:val="0"/>
          <w:bCs w:val="0"/>
          <w:sz w:val="32"/>
          <w:szCs w:val="32"/>
          <w:shd w:val="clear" w:color="auto" w:fill="FFFFFF"/>
          <w:lang w:eastAsia="zh-CN"/>
        </w:rPr>
        <w:t>。</w:t>
      </w:r>
    </w:p>
    <w:p>
      <w:pPr>
        <w:pStyle w:val="11"/>
        <w:autoSpaceDE w:val="0"/>
        <w:spacing w:line="560" w:lineRule="exact"/>
        <w:ind w:firstLine="640"/>
        <w:rPr>
          <w:rFonts w:ascii="楷体" w:hAnsi="楷体" w:eastAsia="楷体" w:cs="楷体"/>
          <w:bCs/>
          <w:sz w:val="32"/>
          <w:szCs w:val="32"/>
          <w:shd w:val="clear" w:color="auto" w:fill="FFFFFF"/>
        </w:rPr>
      </w:pPr>
      <w:r>
        <w:rPr>
          <w:rStyle w:val="8"/>
          <w:rFonts w:hint="eastAsia" w:ascii="方正楷体_GBK" w:eastAsia="方正楷体_GBK"/>
          <w:b w:val="0"/>
          <w:sz w:val="32"/>
          <w:szCs w:val="32"/>
        </w:rPr>
        <w:t>（三）“三公”经费实物量情况</w:t>
      </w:r>
    </w:p>
    <w:p>
      <w:pPr>
        <w:pStyle w:val="6"/>
        <w:snapToGrid w:val="0"/>
        <w:spacing w:before="0" w:beforeAutospacing="0" w:after="0" w:afterAutospacing="0" w:line="560" w:lineRule="exact"/>
        <w:ind w:firstLine="640" w:firstLineChars="200"/>
        <w:jc w:val="both"/>
        <w:rPr>
          <w:rFonts w:hint="default" w:ascii="方正仿宋_GBK" w:hAnsi="方正仿宋_GBK" w:eastAsia="方正仿宋_GBK" w:cs="方正仿宋_GBK"/>
          <w:sz w:val="32"/>
          <w:szCs w:val="32"/>
        </w:rPr>
      </w:pPr>
      <w:r>
        <w:rPr>
          <w:rFonts w:hint="default" w:ascii="Times New Roman" w:hAnsi="Times New Roman" w:eastAsia="方正仿宋_GBK"/>
          <w:sz w:val="32"/>
          <w:szCs w:val="32"/>
          <w:shd w:val="clear" w:color="auto" w:fill="FFFFFF"/>
        </w:rPr>
        <w:t>2023年度本单位因公出国（境）共计</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个团组，</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人；公务用车购置</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辆，公务车保有量为</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辆；国内公务接待</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批次</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人，其中：国内外事接待</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批次，</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人；国（境）外公务接待</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批次，</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人。2023年本单位人均接待费</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元，车均购置费</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万元，车均维护费</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万元</w:t>
      </w:r>
      <w:r>
        <w:rPr>
          <w:rFonts w:ascii="方正仿宋_GBK" w:hAnsi="方正仿宋_GBK" w:eastAsia="方正仿宋_GBK" w:cs="方正仿宋_GBK"/>
          <w:sz w:val="32"/>
          <w:szCs w:val="32"/>
          <w:shd w:val="clear" w:color="auto" w:fill="FFFFFF"/>
        </w:rPr>
        <w:t>。</w:t>
      </w:r>
    </w:p>
    <w:p>
      <w:pPr>
        <w:pStyle w:val="6"/>
        <w:shd w:val="clear" w:color="auto" w:fill="FFFFFF"/>
        <w:spacing w:before="0" w:beforeAutospacing="0" w:after="0" w:afterAutospacing="0" w:line="560" w:lineRule="exact"/>
        <w:ind w:firstLine="640" w:firstLineChars="200"/>
        <w:rPr>
          <w:rStyle w:val="8"/>
          <w:rFonts w:hint="default" w:ascii="方正黑体_GBK" w:hAnsi="黑体" w:eastAsia="方正黑体_GBK" w:cs="黑体"/>
          <w:b w:val="0"/>
          <w:sz w:val="32"/>
          <w:szCs w:val="32"/>
          <w:shd w:val="clear" w:color="auto" w:fill="FFFFFF"/>
        </w:rPr>
      </w:pPr>
      <w:r>
        <w:rPr>
          <w:rStyle w:val="8"/>
          <w:rFonts w:ascii="方正黑体_GBK" w:hAnsi="黑体" w:eastAsia="方正黑体_GBK" w:cs="黑体"/>
          <w:b w:val="0"/>
          <w:sz w:val="32"/>
          <w:szCs w:val="32"/>
          <w:shd w:val="clear" w:color="auto" w:fill="FFFFFF"/>
        </w:rPr>
        <w:t>四、其他需要说明的事项</w:t>
      </w:r>
    </w:p>
    <w:p>
      <w:pPr>
        <w:pStyle w:val="11"/>
        <w:autoSpaceDE w:val="0"/>
        <w:spacing w:line="560" w:lineRule="exact"/>
        <w:ind w:firstLine="640"/>
        <w:rPr>
          <w:rFonts w:ascii="Times New Roman" w:hAnsi="Times New Roman" w:eastAsia="楷体"/>
          <w:bCs/>
          <w:sz w:val="32"/>
          <w:szCs w:val="32"/>
          <w:shd w:val="clear" w:color="auto" w:fill="FFFFFF"/>
        </w:rPr>
      </w:pPr>
      <w:r>
        <w:rPr>
          <w:rStyle w:val="8"/>
          <w:rFonts w:ascii="Times New Roman" w:hAnsi="Times New Roman" w:eastAsia="方正楷体_GBK"/>
          <w:b w:val="0"/>
          <w:sz w:val="32"/>
          <w:szCs w:val="32"/>
        </w:rPr>
        <w:t>（一）财政拨款会议费和培训费情况说明</w:t>
      </w:r>
    </w:p>
    <w:p>
      <w:pPr>
        <w:pStyle w:val="6"/>
        <w:snapToGrid w:val="0"/>
        <w:spacing w:before="0" w:beforeAutospacing="0" w:after="0" w:afterAutospacing="0" w:line="560"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sz w:val="32"/>
          <w:szCs w:val="32"/>
          <w:shd w:val="clear" w:color="auto" w:fill="FFFFFF"/>
        </w:rPr>
        <w:t>本年度会议费支出</w:t>
      </w:r>
      <w:r>
        <w:rPr>
          <w:rFonts w:hint="default" w:ascii="Times New Roman" w:hAnsi="Times New Roman" w:eastAsia="方正仿宋_GBK"/>
          <w:sz w:val="32"/>
          <w:szCs w:val="32"/>
        </w:rPr>
        <w:t>0.00</w:t>
      </w:r>
      <w:r>
        <w:rPr>
          <w:rFonts w:hint="default" w:ascii="Times New Roman" w:hAnsi="Times New Roman" w:eastAsia="方正仿宋_GBK"/>
          <w:sz w:val="32"/>
          <w:szCs w:val="32"/>
          <w:shd w:val="clear" w:color="auto" w:fill="FFFFFF"/>
        </w:rPr>
        <w:t>万元，较上年决算数无增减，主要原因是2022年度本单位与部门合并编报决算，按照市财政局要求2023年度独立编报决算，故与上年对比无增减。本年度培训费支出</w:t>
      </w:r>
      <w:r>
        <w:rPr>
          <w:rFonts w:hint="default" w:ascii="Times New Roman" w:hAnsi="Times New Roman" w:eastAsia="方正仿宋_GBK"/>
          <w:sz w:val="32"/>
          <w:szCs w:val="32"/>
        </w:rPr>
        <w:t>0.00</w:t>
      </w:r>
      <w:r>
        <w:rPr>
          <w:rFonts w:hint="default" w:ascii="Times New Roman" w:hAnsi="Times New Roman" w:eastAsia="方正仿宋_GBK"/>
          <w:sz w:val="32"/>
          <w:szCs w:val="32"/>
          <w:shd w:val="clear" w:color="auto" w:fill="FFFFFF"/>
        </w:rPr>
        <w:t>万元，较上年决算数无变化，主要原因是本单位培训支出与兰桥镇人民政府整体存在交叉关系，具体数据见汇总报告。</w:t>
      </w:r>
    </w:p>
    <w:p>
      <w:pPr>
        <w:pStyle w:val="11"/>
        <w:autoSpaceDE w:val="0"/>
        <w:spacing w:line="560" w:lineRule="exact"/>
        <w:ind w:firstLine="640"/>
        <w:rPr>
          <w:rStyle w:val="8"/>
          <w:rFonts w:ascii="方正楷体_GBK" w:eastAsia="方正楷体_GBK"/>
          <w:b w:val="0"/>
          <w:sz w:val="32"/>
          <w:szCs w:val="32"/>
        </w:rPr>
      </w:pPr>
      <w:r>
        <w:rPr>
          <w:rStyle w:val="8"/>
          <w:rFonts w:hint="eastAsia" w:ascii="方正楷体_GBK" w:eastAsia="方正楷体_GBK"/>
          <w:b w:val="0"/>
          <w:sz w:val="32"/>
          <w:szCs w:val="32"/>
        </w:rPr>
        <w:t>（二）机关运行经费情况说明</w:t>
      </w:r>
    </w:p>
    <w:p>
      <w:pPr>
        <w:pStyle w:val="11"/>
        <w:keepNext w:val="0"/>
        <w:keepLines w:val="0"/>
        <w:pageBreakBefore w:val="0"/>
        <w:widowControl w:val="0"/>
        <w:kinsoku/>
        <w:wordWrap/>
        <w:overflowPunct/>
        <w:topLinePunct w:val="0"/>
        <w:autoSpaceDE w:val="0"/>
        <w:autoSpaceDN/>
        <w:bidi w:val="0"/>
        <w:adjustRightInd/>
        <w:spacing w:line="560" w:lineRule="exact"/>
        <w:ind w:left="0" w:leftChars="0" w:firstLine="640" w:firstLineChars="200"/>
        <w:textAlignment w:val="auto"/>
        <w:rPr>
          <w:rFonts w:hint="default" w:ascii="Times New Roman" w:hAnsi="Times New Roman" w:eastAsia="方正仿宋_GBK" w:cs="Times New Roman"/>
          <w:sz w:val="32"/>
          <w:szCs w:val="32"/>
          <w:shd w:val="clear" w:color="auto" w:fill="FFFFFF"/>
          <w:lang w:eastAsia="zh-CN"/>
        </w:rPr>
      </w:pPr>
      <w:r>
        <w:rPr>
          <w:rFonts w:hint="default" w:ascii="Times New Roman" w:hAnsi="Times New Roman" w:eastAsia="方正仿宋_GBK" w:cs="Times New Roman"/>
          <w:sz w:val="32"/>
          <w:szCs w:val="32"/>
          <w:shd w:val="clear" w:color="auto" w:fill="FFFFFF"/>
        </w:rPr>
        <w:t>按照部门决算列报口径，我单位不在机关运行经费统计范围之内</w:t>
      </w:r>
      <w:r>
        <w:rPr>
          <w:rFonts w:hint="default" w:ascii="Times New Roman" w:hAnsi="Times New Roman" w:eastAsia="方正仿宋_GBK" w:cs="Times New Roman"/>
          <w:sz w:val="32"/>
          <w:szCs w:val="32"/>
          <w:shd w:val="clear" w:color="auto" w:fill="FFFFFF"/>
          <w:lang w:eastAsia="zh-CN"/>
        </w:rPr>
        <w:t>。</w:t>
      </w:r>
    </w:p>
    <w:p>
      <w:pPr>
        <w:pStyle w:val="11"/>
        <w:autoSpaceDE w:val="0"/>
        <w:spacing w:line="560" w:lineRule="exact"/>
        <w:ind w:firstLine="640"/>
        <w:rPr>
          <w:rFonts w:ascii="楷体" w:hAnsi="楷体" w:eastAsia="楷体" w:cs="楷体"/>
          <w:bCs/>
          <w:sz w:val="32"/>
          <w:szCs w:val="32"/>
          <w:shd w:val="clear" w:color="auto" w:fill="FFFFFF"/>
        </w:rPr>
      </w:pPr>
      <w:r>
        <w:rPr>
          <w:rStyle w:val="8"/>
          <w:rFonts w:hint="eastAsia" w:ascii="方正楷体_GBK" w:eastAsia="方正楷体_GBK"/>
          <w:b w:val="0"/>
          <w:sz w:val="32"/>
          <w:szCs w:val="32"/>
        </w:rPr>
        <w:t>（三）国有资产占用情况说明</w:t>
      </w:r>
    </w:p>
    <w:p>
      <w:pPr>
        <w:pStyle w:val="6"/>
        <w:snapToGrid w:val="0"/>
        <w:spacing w:before="0" w:beforeAutospacing="0" w:after="0" w:afterAutospacing="0" w:line="560" w:lineRule="exact"/>
        <w:ind w:firstLine="640" w:firstLineChars="200"/>
        <w:jc w:val="both"/>
        <w:rPr>
          <w:rFonts w:hint="default" w:ascii="方正仿宋_GBK" w:hAnsi="方正仿宋_GBK" w:eastAsia="方正仿宋_GBK" w:cs="方正仿宋_GBK"/>
          <w:sz w:val="32"/>
          <w:szCs w:val="32"/>
        </w:rPr>
      </w:pPr>
      <w:r>
        <w:rPr>
          <w:rFonts w:hint="default" w:ascii="Times New Roman" w:hAnsi="Times New Roman" w:eastAsia="方正仿宋_GBK"/>
          <w:sz w:val="32"/>
          <w:szCs w:val="32"/>
          <w:shd w:val="clear" w:color="auto" w:fill="FFFFFF"/>
        </w:rPr>
        <w:t>截至2023年12月31日，本单位共有车辆</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辆，其中，副部（省）级及以上领导用车</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辆、主要负责人用车</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辆、机要通信用车</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辆、应急保障用车</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辆、执法执勤用车</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辆，特种专业技术用车</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辆，离退休干部用车</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辆。单价100万元（含）以上专用设备</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台（套）</w:t>
      </w:r>
      <w:r>
        <w:rPr>
          <w:rFonts w:ascii="方正仿宋_GBK" w:hAnsi="方正仿宋_GBK" w:eastAsia="方正仿宋_GBK" w:cs="方正仿宋_GBK"/>
          <w:sz w:val="32"/>
          <w:szCs w:val="32"/>
          <w:shd w:val="clear" w:color="auto" w:fill="FFFFFF"/>
        </w:rPr>
        <w:t>。</w:t>
      </w:r>
    </w:p>
    <w:p>
      <w:pPr>
        <w:pStyle w:val="11"/>
        <w:autoSpaceDE w:val="0"/>
        <w:spacing w:line="560" w:lineRule="exact"/>
        <w:ind w:firstLine="640"/>
        <w:rPr>
          <w:rStyle w:val="8"/>
          <w:rFonts w:ascii="方正楷体_GBK" w:eastAsia="方正楷体_GBK"/>
          <w:b w:val="0"/>
          <w:sz w:val="32"/>
          <w:szCs w:val="32"/>
        </w:rPr>
      </w:pPr>
      <w:r>
        <w:rPr>
          <w:rStyle w:val="8"/>
          <w:rFonts w:hint="eastAsia" w:ascii="方正楷体_GBK" w:eastAsia="方正楷体_GBK"/>
          <w:b w:val="0"/>
          <w:sz w:val="32"/>
          <w:szCs w:val="32"/>
        </w:rPr>
        <w:t>（四）政府采购支出情况说明</w:t>
      </w:r>
    </w:p>
    <w:p>
      <w:pPr>
        <w:pStyle w:val="6"/>
        <w:snapToGrid w:val="0"/>
        <w:spacing w:before="0" w:beforeAutospacing="0" w:after="0" w:afterAutospacing="0" w:line="560" w:lineRule="exact"/>
        <w:ind w:firstLine="640" w:firstLineChars="200"/>
        <w:jc w:val="both"/>
        <w:rPr>
          <w:rFonts w:hint="default" w:ascii="Times New Roman" w:hAnsi="Times New Roman" w:eastAsia="方正仿宋_GBK"/>
          <w:color w:val="FF0000"/>
          <w:sz w:val="32"/>
          <w:szCs w:val="32"/>
          <w:shd w:val="clear" w:color="auto" w:fill="FFFFFF"/>
        </w:rPr>
      </w:pPr>
      <w:r>
        <w:rPr>
          <w:rFonts w:hint="default" w:ascii="Times New Roman" w:hAnsi="Times New Roman" w:eastAsia="方正仿宋_GBK"/>
          <w:sz w:val="32"/>
          <w:szCs w:val="32"/>
          <w:shd w:val="clear" w:color="auto" w:fill="FFFFFF"/>
        </w:rPr>
        <w:t>2023年度本单位政府采购支出总额</w:t>
      </w:r>
      <w:r>
        <w:rPr>
          <w:rFonts w:hint="default" w:ascii="Times New Roman" w:hAnsi="Times New Roman" w:eastAsia="方正仿宋_GBK"/>
          <w:sz w:val="32"/>
          <w:szCs w:val="32"/>
        </w:rPr>
        <w:t>0.00</w:t>
      </w:r>
      <w:r>
        <w:rPr>
          <w:rFonts w:hint="default" w:ascii="Times New Roman" w:hAnsi="Times New Roman" w:eastAsia="方正仿宋_GBK"/>
          <w:sz w:val="32"/>
          <w:szCs w:val="32"/>
          <w:shd w:val="clear" w:color="auto" w:fill="FFFFFF"/>
        </w:rPr>
        <w:t>万元，其中：政府采购货物支出</w:t>
      </w:r>
      <w:r>
        <w:rPr>
          <w:rFonts w:hint="default" w:ascii="Times New Roman" w:hAnsi="Times New Roman" w:eastAsia="方正仿宋_GBK"/>
          <w:sz w:val="32"/>
          <w:szCs w:val="32"/>
        </w:rPr>
        <w:t>0.00</w:t>
      </w:r>
      <w:r>
        <w:rPr>
          <w:rFonts w:hint="default" w:ascii="Times New Roman" w:hAnsi="Times New Roman" w:eastAsia="方正仿宋_GBK"/>
          <w:sz w:val="32"/>
          <w:szCs w:val="32"/>
          <w:shd w:val="clear" w:color="auto" w:fill="FFFFFF"/>
        </w:rPr>
        <w:t>万元、政府采购工程支出</w:t>
      </w:r>
      <w:r>
        <w:rPr>
          <w:rFonts w:hint="default" w:ascii="Times New Roman" w:hAnsi="Times New Roman" w:eastAsia="方正仿宋_GBK"/>
          <w:sz w:val="32"/>
          <w:szCs w:val="32"/>
        </w:rPr>
        <w:t>0.00</w:t>
      </w:r>
      <w:r>
        <w:rPr>
          <w:rFonts w:hint="default" w:ascii="Times New Roman" w:hAnsi="Times New Roman" w:eastAsia="方正仿宋_GBK"/>
          <w:sz w:val="32"/>
          <w:szCs w:val="32"/>
          <w:shd w:val="clear" w:color="auto" w:fill="FFFFFF"/>
        </w:rPr>
        <w:t>万元、政府采购服务支出</w:t>
      </w:r>
      <w:r>
        <w:rPr>
          <w:rFonts w:hint="default" w:ascii="Times New Roman" w:hAnsi="Times New Roman" w:eastAsia="方正仿宋_GBK"/>
          <w:sz w:val="32"/>
          <w:szCs w:val="32"/>
        </w:rPr>
        <w:t>0.00</w:t>
      </w:r>
      <w:r>
        <w:rPr>
          <w:rFonts w:hint="default" w:ascii="Times New Roman" w:hAnsi="Times New Roman" w:eastAsia="方正仿宋_GBK"/>
          <w:sz w:val="32"/>
          <w:szCs w:val="32"/>
          <w:shd w:val="clear" w:color="auto" w:fill="FFFFFF"/>
        </w:rPr>
        <w:t>万元。授予中小企业合同金额</w:t>
      </w:r>
      <w:r>
        <w:rPr>
          <w:rFonts w:hint="default" w:ascii="Times New Roman" w:hAnsi="Times New Roman" w:eastAsia="方正仿宋_GBK"/>
          <w:sz w:val="32"/>
          <w:szCs w:val="32"/>
        </w:rPr>
        <w:t>0.00万</w:t>
      </w:r>
      <w:r>
        <w:rPr>
          <w:rFonts w:hint="default" w:ascii="Times New Roman" w:hAnsi="Times New Roman" w:eastAsia="方正仿宋_GBK"/>
          <w:sz w:val="32"/>
          <w:szCs w:val="32"/>
          <w:shd w:val="clear" w:color="auto" w:fill="FFFFFF"/>
        </w:rPr>
        <w:t>元，占政府采购支出总额的</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%，其中：授予小微企业合同金额</w:t>
      </w:r>
      <w:r>
        <w:rPr>
          <w:rFonts w:hint="default" w:ascii="Times New Roman" w:hAnsi="Times New Roman" w:eastAsia="方正仿宋_GBK"/>
          <w:sz w:val="32"/>
          <w:szCs w:val="32"/>
        </w:rPr>
        <w:t>0.00</w:t>
      </w:r>
      <w:r>
        <w:rPr>
          <w:rFonts w:hint="default" w:ascii="Times New Roman" w:hAnsi="Times New Roman" w:eastAsia="方正仿宋_GBK"/>
          <w:sz w:val="32"/>
          <w:szCs w:val="32"/>
          <w:shd w:val="clear" w:color="auto" w:fill="FFFFFF"/>
        </w:rPr>
        <w:t>万元，占政府采购支出总额的</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 xml:space="preserve"> %。</w:t>
      </w:r>
    </w:p>
    <w:p>
      <w:pPr>
        <w:pStyle w:val="6"/>
        <w:shd w:val="clear" w:color="auto" w:fill="FFFFFF"/>
        <w:spacing w:before="0" w:beforeAutospacing="0" w:after="0" w:afterAutospacing="0" w:line="560" w:lineRule="exact"/>
        <w:ind w:firstLine="640" w:firstLineChars="200"/>
        <w:rPr>
          <w:rStyle w:val="8"/>
          <w:rFonts w:hint="default" w:ascii="方正黑体_GBK" w:hAnsi="黑体" w:eastAsia="方正黑体_GBK" w:cs="黑体"/>
          <w:b w:val="0"/>
          <w:sz w:val="32"/>
          <w:szCs w:val="32"/>
          <w:shd w:val="clear" w:color="auto" w:fill="FFFFFF"/>
        </w:rPr>
      </w:pPr>
      <w:r>
        <w:rPr>
          <w:rStyle w:val="8"/>
          <w:rFonts w:ascii="方正黑体_GBK" w:hAnsi="黑体" w:eastAsia="方正黑体_GBK" w:cs="黑体"/>
          <w:b w:val="0"/>
          <w:sz w:val="32"/>
          <w:szCs w:val="32"/>
          <w:shd w:val="clear" w:color="auto" w:fill="FFFFFF"/>
        </w:rPr>
        <w:t>五、预算绩效管理情况说明</w:t>
      </w:r>
    </w:p>
    <w:p>
      <w:pPr>
        <w:pStyle w:val="11"/>
        <w:autoSpaceDE w:val="0"/>
        <w:spacing w:line="560" w:lineRule="exact"/>
        <w:ind w:firstLine="640"/>
        <w:rPr>
          <w:rFonts w:ascii="楷体" w:hAnsi="楷体" w:eastAsia="楷体" w:cs="楷体"/>
          <w:bCs/>
          <w:sz w:val="32"/>
          <w:szCs w:val="32"/>
          <w:shd w:val="clear" w:color="auto" w:fill="FFFFFF"/>
        </w:rPr>
      </w:pPr>
      <w:r>
        <w:rPr>
          <w:rStyle w:val="8"/>
          <w:rFonts w:hint="eastAsia" w:ascii="方正楷体_GBK" w:hAnsi="楷体" w:eastAsia="方正楷体_GBK" w:cs="楷体"/>
          <w:b w:val="0"/>
          <w:sz w:val="32"/>
          <w:szCs w:val="32"/>
          <w:shd w:val="clear" w:color="auto" w:fill="FFFFFF"/>
        </w:rPr>
        <w:t>（一）单位自评情况</w:t>
      </w:r>
    </w:p>
    <w:p>
      <w:pPr>
        <w:pStyle w:val="12"/>
        <w:autoSpaceDE w:val="0"/>
        <w:spacing w:before="0" w:beforeAutospacing="0" w:after="0" w:afterAutospacing="0" w:line="560" w:lineRule="exact"/>
        <w:ind w:firstLine="640" w:firstLineChars="200"/>
        <w:rPr>
          <w:rFonts w:ascii="Times New Roman" w:hAnsi="Times New Roman" w:eastAsia="方正仿宋_GBK"/>
          <w:sz w:val="32"/>
          <w:szCs w:val="32"/>
          <w:shd w:val="clear" w:color="auto" w:fill="FFFFFF"/>
        </w:rPr>
      </w:pPr>
      <w:r>
        <w:rPr>
          <w:rFonts w:ascii="Times New Roman" w:hAnsi="Times New Roman" w:eastAsia="方正仿宋_GBK"/>
          <w:sz w:val="32"/>
          <w:szCs w:val="32"/>
          <w:shd w:val="clear" w:color="auto" w:fill="FFFFFF"/>
        </w:rPr>
        <w:t>根据预算绩效管理要求，我单位对9个二级项目开展了绩效自评，涉及财政拨款项目支出资金31.25万元</w:t>
      </w:r>
      <w:r>
        <w:rPr>
          <w:rFonts w:hint="eastAsia" w:ascii="方正仿宋_GBK" w:hAnsi="方正仿宋_GBK" w:eastAsia="方正仿宋_GBK" w:cs="方正仿宋_GBK"/>
          <w:sz w:val="32"/>
          <w:szCs w:val="32"/>
          <w:shd w:val="clear" w:color="auto" w:fill="FFFFFF"/>
        </w:rPr>
        <w:t>。</w:t>
      </w:r>
      <w:r>
        <w:rPr>
          <w:rFonts w:ascii="Times New Roman" w:hAnsi="Times New Roman" w:eastAsia="方正仿宋_GBK"/>
          <w:sz w:val="32"/>
          <w:szCs w:val="32"/>
          <w:shd w:val="clear" w:color="auto" w:fill="FFFFFF"/>
        </w:rPr>
        <w:t>其中，以自评表形式开展自评1项，涉及财政拨款项目支出资金</w:t>
      </w:r>
      <w:r>
        <w:rPr>
          <w:rFonts w:hint="eastAsia" w:ascii="Times New Roman" w:hAnsi="Times New Roman" w:eastAsia="方正仿宋_GBK"/>
          <w:sz w:val="32"/>
          <w:szCs w:val="32"/>
          <w:shd w:val="clear" w:color="auto" w:fill="FFFFFF"/>
        </w:rPr>
        <w:t>2</w:t>
      </w:r>
      <w:r>
        <w:rPr>
          <w:rFonts w:ascii="Times New Roman" w:hAnsi="Times New Roman" w:eastAsia="方正仿宋_GBK"/>
          <w:sz w:val="32"/>
          <w:szCs w:val="32"/>
          <w:shd w:val="clear" w:color="auto" w:fill="FFFFFF"/>
        </w:rPr>
        <w:t>万元。</w:t>
      </w:r>
    </w:p>
    <w:p>
      <w:pPr>
        <w:pStyle w:val="12"/>
        <w:autoSpaceDE w:val="0"/>
        <w:spacing w:before="0" w:beforeAutospacing="0" w:after="0" w:afterAutospacing="0" w:line="560" w:lineRule="exact"/>
        <w:ind w:firstLine="640" w:firstLineChars="200"/>
        <w:rPr>
          <w:rFonts w:ascii="方正仿宋_GBK" w:hAnsi="方正仿宋_GBK" w:eastAsia="方正仿宋_GBK" w:cs="方正仿宋_GBK"/>
          <w:sz w:val="32"/>
          <w:szCs w:val="32"/>
          <w:highlight w:val="yellow"/>
          <w:shd w:val="clear" w:color="auto" w:fill="FFFFFF"/>
        </w:rPr>
      </w:pPr>
      <w:r>
        <w:rPr>
          <w:rFonts w:hint="eastAsia" w:ascii="方正仿宋_GBK" w:hAnsi="方正仿宋_GBK" w:eastAsia="方正仿宋_GBK" w:cs="方正仿宋_GBK"/>
          <w:sz w:val="32"/>
          <w:szCs w:val="32"/>
          <w:shd w:val="clear" w:color="auto" w:fill="FFFFFF"/>
        </w:rPr>
        <w:t>自评表见附件：</w:t>
      </w:r>
    </w:p>
    <w:p>
      <w:pPr>
        <w:pStyle w:val="11"/>
        <w:autoSpaceDE w:val="0"/>
        <w:spacing w:line="560" w:lineRule="exact"/>
        <w:ind w:firstLine="640"/>
        <w:rPr>
          <w:rStyle w:val="8"/>
          <w:rFonts w:ascii="方正楷体_GBK" w:hAnsi="楷体" w:eastAsia="方正楷体_GBK" w:cs="楷体"/>
          <w:b w:val="0"/>
          <w:sz w:val="32"/>
          <w:szCs w:val="32"/>
          <w:shd w:val="clear" w:color="auto" w:fill="FFFFFF"/>
        </w:rPr>
      </w:pPr>
      <w:r>
        <w:rPr>
          <w:rStyle w:val="8"/>
          <w:rFonts w:hint="eastAsia" w:ascii="方正楷体_GBK" w:hAnsi="楷体" w:eastAsia="方正楷体_GBK" w:cs="楷体"/>
          <w:b w:val="0"/>
          <w:sz w:val="32"/>
          <w:szCs w:val="32"/>
          <w:shd w:val="clear" w:color="auto" w:fill="FFFFFF"/>
        </w:rPr>
        <w:t>（二）单位绩效评价情况</w:t>
      </w:r>
    </w:p>
    <w:p>
      <w:pPr>
        <w:pStyle w:val="11"/>
        <w:autoSpaceDE w:val="0"/>
        <w:spacing w:line="560" w:lineRule="exact"/>
        <w:ind w:firstLine="640"/>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我单位对</w:t>
      </w:r>
      <w:r>
        <w:rPr>
          <w:rFonts w:ascii="方正仿宋_GBK" w:hAnsi="方正仿宋_GBK" w:eastAsia="方正仿宋_GBK" w:cs="方正仿宋_GBK"/>
          <w:sz w:val="32"/>
          <w:szCs w:val="32"/>
          <w:shd w:val="clear" w:color="auto" w:fill="FFFFFF"/>
        </w:rPr>
        <w:t>残疾人自主创业大户扶持补助资金</w:t>
      </w:r>
      <w:r>
        <w:rPr>
          <w:rFonts w:hint="eastAsia" w:ascii="方正仿宋_GBK" w:hAnsi="方正仿宋_GBK" w:eastAsia="方正仿宋_GBK" w:cs="方正仿宋_GBK"/>
          <w:sz w:val="32"/>
          <w:szCs w:val="32"/>
          <w:shd w:val="clear" w:color="auto" w:fill="FFFFFF"/>
        </w:rPr>
        <w:t>开展了绩效评价，涉及财政拨款项目资金2万元，评价得分100分，评价等次为优，绩效评价发现了我单位无明显问题，我单位将继续努力为保障残疾人产业发展做出最大努力。</w:t>
      </w:r>
    </w:p>
    <w:p>
      <w:pPr>
        <w:pStyle w:val="11"/>
        <w:autoSpaceDE w:val="0"/>
        <w:spacing w:line="560" w:lineRule="exact"/>
        <w:ind w:firstLine="640"/>
        <w:rPr>
          <w:rStyle w:val="8"/>
          <w:rFonts w:ascii="方正楷体_GBK" w:hAnsi="楷体" w:eastAsia="方正楷体_GBK" w:cs="楷体"/>
          <w:b w:val="0"/>
          <w:sz w:val="32"/>
          <w:szCs w:val="32"/>
          <w:shd w:val="clear" w:color="auto" w:fill="FFFFFF"/>
        </w:rPr>
      </w:pPr>
      <w:r>
        <w:rPr>
          <w:rStyle w:val="8"/>
          <w:rFonts w:hint="eastAsia" w:ascii="方正楷体_GBK" w:hAnsi="楷体" w:eastAsia="方正楷体_GBK" w:cs="楷体"/>
          <w:b w:val="0"/>
          <w:sz w:val="32"/>
          <w:szCs w:val="32"/>
          <w:shd w:val="clear" w:color="auto" w:fill="FFFFFF"/>
        </w:rPr>
        <w:t>（三）财政绩效评价情况</w:t>
      </w:r>
    </w:p>
    <w:p>
      <w:pPr>
        <w:pStyle w:val="11"/>
        <w:autoSpaceDE w:val="0"/>
        <w:spacing w:line="560" w:lineRule="exact"/>
        <w:ind w:firstLine="640"/>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lang w:eastAsia="zh-CN"/>
        </w:rPr>
        <w:t>县</w:t>
      </w:r>
      <w:bookmarkStart w:id="0" w:name="_GoBack"/>
      <w:bookmarkEnd w:id="0"/>
      <w:r>
        <w:rPr>
          <w:rFonts w:hint="eastAsia" w:ascii="方正仿宋_GBK" w:hAnsi="方正仿宋_GBK" w:eastAsia="方正仿宋_GBK" w:cs="方正仿宋_GBK"/>
          <w:sz w:val="32"/>
          <w:szCs w:val="32"/>
          <w:shd w:val="clear" w:color="auto" w:fill="FFFFFF"/>
        </w:rPr>
        <w:t>财政局未委托第三方对我单位开展绩效评价。</w:t>
      </w:r>
    </w:p>
    <w:p>
      <w:pPr>
        <w:pStyle w:val="11"/>
        <w:autoSpaceDE w:val="0"/>
        <w:spacing w:line="560" w:lineRule="exact"/>
        <w:ind w:firstLine="640"/>
        <w:rPr>
          <w:rStyle w:val="8"/>
          <w:rFonts w:ascii="方正仿宋_GBK" w:hAnsi="方正仿宋_GBK" w:eastAsia="方正仿宋_GBK" w:cs="方正仿宋_GBK"/>
          <w:b w:val="0"/>
          <w:sz w:val="32"/>
          <w:szCs w:val="32"/>
          <w:shd w:val="clear" w:color="auto" w:fill="FFFFFF"/>
        </w:rPr>
      </w:pPr>
      <w:r>
        <w:rPr>
          <w:rStyle w:val="8"/>
          <w:rFonts w:ascii="方正黑体_GBK" w:hAnsi="黑体" w:eastAsia="方正黑体_GBK" w:cs="黑体"/>
          <w:b w:val="0"/>
          <w:sz w:val="32"/>
          <w:szCs w:val="32"/>
          <w:shd w:val="clear" w:color="auto" w:fill="FFFFFF"/>
        </w:rPr>
        <w:t>六、专业名词解释</w:t>
      </w:r>
    </w:p>
    <w:p>
      <w:pPr>
        <w:pStyle w:val="6"/>
        <w:snapToGrid w:val="0"/>
        <w:spacing w:before="0" w:beforeAutospacing="0" w:after="0" w:afterAutospacing="0" w:line="560" w:lineRule="exact"/>
        <w:ind w:firstLine="640" w:firstLineChars="200"/>
        <w:jc w:val="both"/>
        <w:rPr>
          <w:rFonts w:hint="default" w:ascii="方正仿宋_GBK" w:hAnsi="方正仿宋_GBK" w:eastAsia="方正仿宋_GBK" w:cs="方正仿宋_GBK"/>
          <w:sz w:val="32"/>
          <w:szCs w:val="32"/>
        </w:rPr>
      </w:pPr>
      <w:r>
        <w:rPr>
          <w:rStyle w:val="8"/>
          <w:rFonts w:ascii="方正楷体_GBK" w:hAnsi="楷体" w:eastAsia="方正楷体_GBK" w:cs="楷体"/>
          <w:b w:val="0"/>
          <w:sz w:val="32"/>
          <w:szCs w:val="32"/>
          <w:shd w:val="clear" w:color="auto" w:fill="FFFFFF"/>
        </w:rPr>
        <w:t>（一）财政拨款收入：</w:t>
      </w:r>
      <w:r>
        <w:rPr>
          <w:rFonts w:ascii="方正仿宋_GBK" w:hAnsi="方正仿宋_GBK" w:eastAsia="方正仿宋_GBK" w:cs="方正仿宋_GBK"/>
          <w:sz w:val="32"/>
          <w:szCs w:val="32"/>
          <w:shd w:val="clear" w:color="auto" w:fill="FFFFFF"/>
        </w:rPr>
        <w:t>指本年度从本级财政部门取得的财政拨款，包括一般公共预算财政拨款和政府性基金预算财政拨款。</w:t>
      </w:r>
    </w:p>
    <w:p>
      <w:pPr>
        <w:pStyle w:val="6"/>
        <w:snapToGrid w:val="0"/>
        <w:spacing w:before="0" w:beforeAutospacing="0" w:after="0" w:afterAutospacing="0" w:line="560" w:lineRule="exact"/>
        <w:ind w:firstLine="640" w:firstLineChars="200"/>
        <w:jc w:val="both"/>
        <w:rPr>
          <w:rFonts w:hint="default" w:ascii="方正仿宋_GBK" w:hAnsi="方正仿宋_GBK" w:eastAsia="方正仿宋_GBK" w:cs="方正仿宋_GBK"/>
          <w:sz w:val="32"/>
          <w:szCs w:val="32"/>
        </w:rPr>
      </w:pPr>
      <w:r>
        <w:rPr>
          <w:rStyle w:val="8"/>
          <w:rFonts w:ascii="方正楷体_GBK" w:hAnsi="楷体" w:eastAsia="方正楷体_GBK" w:cs="楷体"/>
          <w:b w:val="0"/>
          <w:sz w:val="32"/>
          <w:szCs w:val="32"/>
          <w:shd w:val="clear" w:color="auto" w:fill="FFFFFF"/>
        </w:rPr>
        <w:t>（二）事业收入</w:t>
      </w:r>
      <w:r>
        <w:rPr>
          <w:rStyle w:val="8"/>
          <w:rFonts w:ascii="方正楷体_GBK" w:eastAsia="方正楷体_GBK"/>
          <w:b w:val="0"/>
        </w:rPr>
        <w:t>：</w:t>
      </w:r>
      <w:r>
        <w:rPr>
          <w:rFonts w:ascii="方正仿宋_GBK" w:hAnsi="方正仿宋_GBK" w:eastAsia="方正仿宋_GBK" w:cs="方正仿宋_GBK"/>
          <w:sz w:val="32"/>
          <w:szCs w:val="32"/>
          <w:shd w:val="clear" w:color="auto" w:fill="FFFFFF"/>
        </w:rPr>
        <w:t>指事业单位开展专业业务活动及其辅助活动取得的现金流入；事业单位收到的财政专户实际核拨的教育收费等资金在此反映。</w:t>
      </w:r>
    </w:p>
    <w:p>
      <w:pPr>
        <w:pStyle w:val="6"/>
        <w:snapToGrid w:val="0"/>
        <w:spacing w:before="0" w:beforeAutospacing="0" w:after="0" w:afterAutospacing="0" w:line="560" w:lineRule="exact"/>
        <w:ind w:firstLine="640" w:firstLineChars="200"/>
        <w:jc w:val="both"/>
        <w:rPr>
          <w:rFonts w:hint="default" w:ascii="方正仿宋_GBK" w:hAnsi="方正仿宋_GBK" w:eastAsia="方正仿宋_GBK" w:cs="方正仿宋_GBK"/>
          <w:sz w:val="32"/>
          <w:szCs w:val="32"/>
        </w:rPr>
      </w:pPr>
      <w:r>
        <w:rPr>
          <w:rStyle w:val="8"/>
          <w:rFonts w:ascii="方正楷体_GBK" w:hAnsi="楷体" w:eastAsia="方正楷体_GBK" w:cs="楷体"/>
          <w:b w:val="0"/>
          <w:sz w:val="32"/>
          <w:szCs w:val="32"/>
          <w:shd w:val="clear" w:color="auto" w:fill="FFFFFF"/>
        </w:rPr>
        <w:t>（三）经营收入</w:t>
      </w:r>
      <w:r>
        <w:rPr>
          <w:rStyle w:val="8"/>
          <w:rFonts w:ascii="方正楷体_GBK" w:eastAsia="方正楷体_GBK"/>
          <w:b w:val="0"/>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指事业单位在专业业务活动及其辅助活动之外开展非独立核算经营活动取得的现金流入。</w:t>
      </w:r>
    </w:p>
    <w:p>
      <w:pPr>
        <w:pStyle w:val="6"/>
        <w:snapToGrid w:val="0"/>
        <w:spacing w:before="0" w:beforeAutospacing="0" w:after="0" w:afterAutospacing="0" w:line="560" w:lineRule="exact"/>
        <w:ind w:firstLine="640" w:firstLineChars="200"/>
        <w:jc w:val="both"/>
        <w:rPr>
          <w:rFonts w:hint="default" w:ascii="方正仿宋_GBK" w:hAnsi="方正仿宋_GBK" w:eastAsia="方正仿宋_GBK" w:cs="方正仿宋_GBK"/>
          <w:sz w:val="32"/>
          <w:szCs w:val="32"/>
        </w:rPr>
      </w:pPr>
      <w:r>
        <w:rPr>
          <w:rStyle w:val="8"/>
          <w:rFonts w:ascii="方正楷体_GBK" w:hAnsi="楷体" w:eastAsia="方正楷体_GBK" w:cs="楷体"/>
          <w:b w:val="0"/>
          <w:sz w:val="32"/>
          <w:szCs w:val="32"/>
          <w:shd w:val="clear" w:color="auto" w:fill="FFFFFF"/>
        </w:rPr>
        <w:t>（四）其他收入</w:t>
      </w:r>
      <w:r>
        <w:rPr>
          <w:rStyle w:val="8"/>
          <w:rFonts w:ascii="方正楷体_GBK" w:eastAsia="方正楷体_GBK"/>
          <w:b w:val="0"/>
        </w:rPr>
        <w:t>：</w:t>
      </w:r>
      <w:r>
        <w:rPr>
          <w:rFonts w:ascii="方正仿宋_GBK" w:hAnsi="方正仿宋_GBK" w:eastAsia="方正仿宋_GBK" w:cs="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6"/>
        <w:snapToGrid w:val="0"/>
        <w:spacing w:before="0" w:beforeAutospacing="0" w:after="0" w:afterAutospacing="0" w:line="560" w:lineRule="exact"/>
        <w:ind w:firstLine="640" w:firstLineChars="200"/>
        <w:jc w:val="both"/>
        <w:rPr>
          <w:rFonts w:hint="default" w:ascii="方正仿宋_GBK" w:hAnsi="方正仿宋_GBK" w:eastAsia="方正仿宋_GBK" w:cs="方正仿宋_GBK"/>
          <w:sz w:val="32"/>
          <w:szCs w:val="32"/>
        </w:rPr>
      </w:pPr>
      <w:r>
        <w:rPr>
          <w:rStyle w:val="8"/>
          <w:rFonts w:ascii="方正楷体_GBK" w:hAnsi="楷体" w:eastAsia="方正楷体_GBK" w:cs="楷体"/>
          <w:b w:val="0"/>
          <w:sz w:val="32"/>
          <w:szCs w:val="32"/>
          <w:shd w:val="clear" w:color="auto" w:fill="FFFFFF"/>
        </w:rPr>
        <w:t>（五）使用非财政拨款结余</w:t>
      </w:r>
      <w:r>
        <w:rPr>
          <w:rStyle w:val="8"/>
          <w:rFonts w:ascii="方正楷体_GBK" w:eastAsia="方正楷体_GBK"/>
          <w:b w:val="0"/>
        </w:rPr>
        <w:t>：</w:t>
      </w:r>
      <w:r>
        <w:rPr>
          <w:rFonts w:ascii="方正仿宋_GBK" w:hAnsi="方正仿宋_GBK" w:eastAsia="方正仿宋_GBK" w:cs="方正仿宋_GBK"/>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pPr>
        <w:pStyle w:val="6"/>
        <w:snapToGrid w:val="0"/>
        <w:spacing w:before="0" w:beforeAutospacing="0" w:after="0" w:afterAutospacing="0" w:line="560" w:lineRule="exact"/>
        <w:ind w:firstLine="640" w:firstLineChars="200"/>
        <w:jc w:val="both"/>
        <w:rPr>
          <w:rFonts w:hint="default" w:ascii="方正仿宋_GBK" w:hAnsi="方正仿宋_GBK" w:eastAsia="方正仿宋_GBK" w:cs="方正仿宋_GBK"/>
          <w:sz w:val="32"/>
          <w:szCs w:val="32"/>
        </w:rPr>
      </w:pPr>
      <w:r>
        <w:rPr>
          <w:rStyle w:val="8"/>
          <w:rFonts w:ascii="方正楷体_GBK" w:hAnsi="楷体" w:eastAsia="方正楷体_GBK" w:cs="楷体"/>
          <w:b w:val="0"/>
          <w:sz w:val="32"/>
          <w:szCs w:val="32"/>
          <w:shd w:val="clear" w:color="auto" w:fill="FFFFFF"/>
        </w:rPr>
        <w:t>（六）年初结转和结余</w:t>
      </w:r>
      <w:r>
        <w:rPr>
          <w:rStyle w:val="8"/>
          <w:rFonts w:ascii="方正楷体_GBK" w:eastAsia="方正楷体_GBK"/>
          <w:b w:val="0"/>
        </w:rPr>
        <w:t>：</w:t>
      </w:r>
      <w:r>
        <w:rPr>
          <w:rFonts w:ascii="方正仿宋_GBK" w:hAnsi="方正仿宋_GBK" w:eastAsia="方正仿宋_GBK" w:cs="方正仿宋_GBK"/>
          <w:sz w:val="32"/>
          <w:szCs w:val="32"/>
          <w:shd w:val="clear" w:color="auto" w:fill="FFFFFF"/>
        </w:rPr>
        <w:t>指单位上年结转本年使用的基本支出结转、项目支出结转和结余、经营结余。</w:t>
      </w:r>
    </w:p>
    <w:p>
      <w:pPr>
        <w:pStyle w:val="6"/>
        <w:snapToGrid w:val="0"/>
        <w:spacing w:before="0" w:beforeAutospacing="0" w:after="0" w:afterAutospacing="0" w:line="560" w:lineRule="exact"/>
        <w:ind w:firstLine="640" w:firstLineChars="200"/>
        <w:jc w:val="both"/>
        <w:rPr>
          <w:rFonts w:hint="default" w:ascii="方正仿宋_GBK" w:hAnsi="方正仿宋_GBK" w:eastAsia="方正仿宋_GBK" w:cs="方正仿宋_GBK"/>
          <w:sz w:val="32"/>
          <w:szCs w:val="32"/>
        </w:rPr>
      </w:pPr>
      <w:r>
        <w:rPr>
          <w:rStyle w:val="8"/>
          <w:rFonts w:ascii="方正楷体_GBK" w:hAnsi="楷体" w:eastAsia="方正楷体_GBK" w:cs="楷体"/>
          <w:b w:val="0"/>
          <w:sz w:val="32"/>
          <w:szCs w:val="32"/>
          <w:shd w:val="clear" w:color="auto" w:fill="FFFFFF"/>
        </w:rPr>
        <w:t>（七）结余分配</w:t>
      </w:r>
      <w:r>
        <w:rPr>
          <w:rStyle w:val="8"/>
          <w:rFonts w:ascii="方正楷体_GBK" w:eastAsia="方正楷体_GBK"/>
          <w:b w:val="0"/>
        </w:rPr>
        <w:t>：</w:t>
      </w:r>
      <w:r>
        <w:rPr>
          <w:rFonts w:ascii="方正仿宋_GBK" w:hAnsi="方正仿宋_GBK" w:eastAsia="方正仿宋_GBK" w:cs="方正仿宋_GBK"/>
          <w:sz w:val="32"/>
          <w:szCs w:val="32"/>
          <w:shd w:val="clear" w:color="auto" w:fill="FFFFFF"/>
        </w:rPr>
        <w:t>指单位按照国家有关规定，缴纳所得税、提取专用基金、转入非财政拨款结余等当年结余的分配情况。</w:t>
      </w:r>
    </w:p>
    <w:p>
      <w:pPr>
        <w:pStyle w:val="6"/>
        <w:snapToGrid w:val="0"/>
        <w:spacing w:before="0" w:beforeAutospacing="0" w:after="0" w:afterAutospacing="0" w:line="560" w:lineRule="exact"/>
        <w:ind w:firstLine="640" w:firstLineChars="200"/>
        <w:jc w:val="both"/>
        <w:rPr>
          <w:rFonts w:hint="default" w:ascii="方正仿宋_GBK" w:hAnsi="方正仿宋_GBK" w:eastAsia="方正仿宋_GBK" w:cs="方正仿宋_GBK"/>
          <w:sz w:val="32"/>
          <w:szCs w:val="32"/>
        </w:rPr>
      </w:pPr>
      <w:r>
        <w:rPr>
          <w:rStyle w:val="8"/>
          <w:rFonts w:ascii="方正楷体_GBK" w:hAnsi="楷体" w:eastAsia="方正楷体_GBK" w:cs="楷体"/>
          <w:b w:val="0"/>
          <w:sz w:val="32"/>
          <w:szCs w:val="32"/>
          <w:shd w:val="clear" w:color="auto" w:fill="FFFFFF"/>
        </w:rPr>
        <w:t>（八）年末结转和结余</w:t>
      </w:r>
      <w:r>
        <w:rPr>
          <w:rStyle w:val="8"/>
          <w:rFonts w:ascii="方正楷体_GBK" w:eastAsia="方正楷体_GBK"/>
          <w:b w:val="0"/>
        </w:rPr>
        <w:t>：</w:t>
      </w:r>
      <w:r>
        <w:rPr>
          <w:rFonts w:ascii="方正仿宋_GBK" w:hAnsi="方正仿宋_GBK" w:eastAsia="方正仿宋_GBK" w:cs="方正仿宋_GBK"/>
          <w:sz w:val="32"/>
          <w:szCs w:val="32"/>
          <w:shd w:val="clear" w:color="auto" w:fill="FFFFFF"/>
        </w:rPr>
        <w:t>指单位结转下年的基本支出结转、项目支出结转和结余、经营结余。</w:t>
      </w:r>
    </w:p>
    <w:p>
      <w:pPr>
        <w:pStyle w:val="6"/>
        <w:snapToGrid w:val="0"/>
        <w:spacing w:before="0" w:beforeAutospacing="0" w:after="0" w:afterAutospacing="0" w:line="560" w:lineRule="exact"/>
        <w:ind w:firstLine="640" w:firstLineChars="200"/>
        <w:jc w:val="both"/>
        <w:rPr>
          <w:rFonts w:hint="default" w:ascii="方正仿宋_GBK" w:hAnsi="方正仿宋_GBK" w:eastAsia="方正仿宋_GBK" w:cs="方正仿宋_GBK"/>
          <w:sz w:val="32"/>
          <w:szCs w:val="32"/>
        </w:rPr>
      </w:pPr>
      <w:r>
        <w:rPr>
          <w:rStyle w:val="8"/>
          <w:rFonts w:ascii="方正楷体_GBK" w:hAnsi="楷体" w:eastAsia="方正楷体_GBK" w:cs="楷体"/>
          <w:b w:val="0"/>
          <w:sz w:val="32"/>
          <w:szCs w:val="32"/>
          <w:shd w:val="clear" w:color="auto" w:fill="FFFFFF"/>
        </w:rPr>
        <w:t>（九）基本支出</w:t>
      </w:r>
      <w:r>
        <w:rPr>
          <w:rStyle w:val="8"/>
          <w:rFonts w:ascii="方正楷体_GBK" w:eastAsia="方正楷体_GBK"/>
          <w:b w:val="0"/>
        </w:rPr>
        <w:t>：</w:t>
      </w:r>
      <w:r>
        <w:rPr>
          <w:rFonts w:ascii="方正仿宋_GBK" w:hAnsi="方正仿宋_GBK" w:eastAsia="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6"/>
        <w:snapToGrid w:val="0"/>
        <w:spacing w:before="0" w:beforeAutospacing="0" w:after="0" w:afterAutospacing="0" w:line="560" w:lineRule="exact"/>
        <w:ind w:firstLine="640" w:firstLineChars="200"/>
        <w:jc w:val="both"/>
        <w:rPr>
          <w:rFonts w:hint="default" w:ascii="方正仿宋_GBK" w:hAnsi="方正仿宋_GBK" w:eastAsia="方正仿宋_GBK" w:cs="方正仿宋_GBK"/>
          <w:sz w:val="32"/>
          <w:szCs w:val="32"/>
        </w:rPr>
      </w:pPr>
      <w:r>
        <w:rPr>
          <w:rStyle w:val="8"/>
          <w:rFonts w:ascii="方正楷体_GBK" w:hAnsi="楷体" w:eastAsia="方正楷体_GBK" w:cs="楷体"/>
          <w:b w:val="0"/>
          <w:sz w:val="32"/>
          <w:szCs w:val="32"/>
          <w:shd w:val="clear" w:color="auto" w:fill="FFFFFF"/>
        </w:rPr>
        <w:t>（十）项目支出</w:t>
      </w:r>
      <w:r>
        <w:rPr>
          <w:rStyle w:val="8"/>
          <w:rFonts w:ascii="方正楷体_GBK" w:eastAsia="方正楷体_GBK"/>
          <w:b w:val="0"/>
        </w:rPr>
        <w:t>：</w:t>
      </w:r>
      <w:r>
        <w:rPr>
          <w:rFonts w:ascii="方正仿宋_GBK" w:hAnsi="方正仿宋_GBK" w:eastAsia="方正仿宋_GBK" w:cs="方正仿宋_GBK"/>
          <w:sz w:val="32"/>
          <w:szCs w:val="32"/>
          <w:shd w:val="clear" w:color="auto" w:fill="FFFFFF"/>
        </w:rPr>
        <w:t>指在基本支出之外为完成特定行政任务和事业发展目标所发生的支出。</w:t>
      </w:r>
    </w:p>
    <w:p>
      <w:pPr>
        <w:pStyle w:val="6"/>
        <w:snapToGrid w:val="0"/>
        <w:spacing w:before="0" w:beforeAutospacing="0" w:after="0" w:afterAutospacing="0" w:line="560" w:lineRule="exact"/>
        <w:ind w:firstLine="640" w:firstLineChars="200"/>
        <w:jc w:val="both"/>
        <w:rPr>
          <w:rFonts w:hint="default" w:ascii="方正仿宋_GBK" w:hAnsi="方正仿宋_GBK" w:eastAsia="方正仿宋_GBK" w:cs="方正仿宋_GBK"/>
          <w:sz w:val="32"/>
          <w:szCs w:val="32"/>
        </w:rPr>
      </w:pPr>
      <w:r>
        <w:rPr>
          <w:rStyle w:val="8"/>
          <w:rFonts w:ascii="方正楷体_GBK" w:hAnsi="楷体" w:eastAsia="方正楷体_GBK" w:cs="楷体"/>
          <w:b w:val="0"/>
          <w:sz w:val="32"/>
          <w:szCs w:val="32"/>
          <w:shd w:val="clear" w:color="auto" w:fill="FFFFFF"/>
        </w:rPr>
        <w:t>（十一）经营支出</w:t>
      </w:r>
      <w:r>
        <w:rPr>
          <w:rStyle w:val="8"/>
          <w:rFonts w:ascii="方正楷体_GBK" w:eastAsia="方正楷体_GBK"/>
          <w:b w:val="0"/>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指事业单位在专业业务活动及其辅助活动之外开展非独立核算经营活动发生的支出。</w:t>
      </w:r>
    </w:p>
    <w:p>
      <w:pPr>
        <w:pStyle w:val="6"/>
        <w:snapToGrid w:val="0"/>
        <w:spacing w:before="0" w:beforeAutospacing="0" w:after="0" w:afterAutospacing="0" w:line="560" w:lineRule="exact"/>
        <w:ind w:firstLine="640" w:firstLineChars="200"/>
        <w:jc w:val="both"/>
        <w:rPr>
          <w:rFonts w:hint="default" w:ascii="方正仿宋_GBK" w:hAnsi="方正仿宋_GBK" w:eastAsia="方正仿宋_GBK" w:cs="方正仿宋_GBK"/>
          <w:sz w:val="32"/>
          <w:szCs w:val="32"/>
        </w:rPr>
      </w:pPr>
      <w:r>
        <w:rPr>
          <w:rStyle w:val="8"/>
          <w:rFonts w:ascii="方正楷体_GBK" w:hAnsi="楷体" w:eastAsia="方正楷体_GBK" w:cs="楷体"/>
          <w:b w:val="0"/>
          <w:sz w:val="32"/>
          <w:szCs w:val="32"/>
          <w:shd w:val="clear" w:color="auto" w:fill="FFFFFF"/>
        </w:rPr>
        <w:t>（十二）“三公”经费</w:t>
      </w:r>
      <w:r>
        <w:rPr>
          <w:rStyle w:val="8"/>
          <w:rFonts w:ascii="方正楷体_GBK" w:eastAsia="方正楷体_GBK"/>
          <w:b w:val="0"/>
        </w:rPr>
        <w:t>：</w:t>
      </w:r>
      <w:r>
        <w:rPr>
          <w:rFonts w:ascii="方正仿宋_GBK" w:hAnsi="方正仿宋_GBK" w:eastAsia="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6"/>
        <w:snapToGrid w:val="0"/>
        <w:spacing w:before="0" w:beforeAutospacing="0" w:after="0" w:afterAutospacing="0" w:line="560" w:lineRule="exact"/>
        <w:ind w:firstLine="640" w:firstLineChars="200"/>
        <w:jc w:val="both"/>
        <w:rPr>
          <w:rFonts w:hint="default" w:ascii="方正仿宋_GBK" w:hAnsi="方正仿宋_GBK" w:eastAsia="方正仿宋_GBK" w:cs="方正仿宋_GBK"/>
          <w:sz w:val="32"/>
          <w:szCs w:val="32"/>
        </w:rPr>
      </w:pPr>
      <w:r>
        <w:rPr>
          <w:rStyle w:val="8"/>
          <w:rFonts w:ascii="方正楷体_GBK" w:hAnsi="楷体" w:eastAsia="方正楷体_GBK" w:cs="楷体"/>
          <w:b w:val="0"/>
          <w:sz w:val="32"/>
          <w:szCs w:val="32"/>
          <w:shd w:val="clear" w:color="auto" w:fill="FFFFFF"/>
        </w:rPr>
        <w:t>（十三）机关运行经费</w:t>
      </w:r>
      <w:r>
        <w:rPr>
          <w:rStyle w:val="8"/>
          <w:rFonts w:ascii="方正楷体_GBK" w:eastAsia="方正楷体_GBK"/>
          <w:b w:val="0"/>
        </w:rPr>
        <w:t>：</w:t>
      </w:r>
      <w:r>
        <w:rPr>
          <w:rFonts w:ascii="方正仿宋_GBK" w:hAnsi="方正仿宋_GBK" w:eastAsia="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6"/>
        <w:snapToGrid w:val="0"/>
        <w:spacing w:before="0" w:beforeAutospacing="0" w:after="0" w:afterAutospacing="0" w:line="560" w:lineRule="exact"/>
        <w:ind w:firstLine="640" w:firstLineChars="200"/>
        <w:jc w:val="both"/>
        <w:rPr>
          <w:rFonts w:hint="default" w:ascii="方正仿宋_GBK" w:hAnsi="方正仿宋_GBK" w:eastAsia="方正仿宋_GBK" w:cs="方正仿宋_GBK"/>
          <w:sz w:val="32"/>
          <w:szCs w:val="32"/>
        </w:rPr>
      </w:pPr>
      <w:r>
        <w:rPr>
          <w:rStyle w:val="8"/>
          <w:rFonts w:ascii="方正楷体_GBK" w:hAnsi="楷体" w:eastAsia="方正楷体_GBK" w:cs="楷体"/>
          <w:b w:val="0"/>
          <w:sz w:val="32"/>
          <w:szCs w:val="32"/>
          <w:shd w:val="clear" w:color="auto" w:fill="FFFFFF"/>
        </w:rPr>
        <w:t>（十四）工资福利支出（支出经济分类科目类级）</w:t>
      </w:r>
      <w:r>
        <w:rPr>
          <w:rStyle w:val="8"/>
          <w:rFonts w:ascii="方正楷体_GBK" w:eastAsia="方正楷体_GBK"/>
          <w:b w:val="0"/>
        </w:rPr>
        <w:t>：</w:t>
      </w:r>
      <w:r>
        <w:rPr>
          <w:rFonts w:ascii="方正仿宋_GBK" w:hAnsi="方正仿宋_GBK" w:eastAsia="方正仿宋_GBK" w:cs="方正仿宋_GBK"/>
          <w:sz w:val="32"/>
          <w:szCs w:val="32"/>
          <w:shd w:val="clear" w:color="auto" w:fill="FFFFFF"/>
        </w:rPr>
        <w:t>反映单位开支的在职职工和编制外长期聘用人员的各类劳动报酬，以及为上述人员缴纳的各项社会保险费等。</w:t>
      </w:r>
    </w:p>
    <w:p>
      <w:pPr>
        <w:pStyle w:val="6"/>
        <w:snapToGrid w:val="0"/>
        <w:spacing w:before="0" w:beforeAutospacing="0" w:after="0" w:afterAutospacing="0" w:line="560" w:lineRule="exact"/>
        <w:ind w:firstLine="640" w:firstLineChars="200"/>
        <w:jc w:val="both"/>
        <w:rPr>
          <w:rFonts w:hint="default" w:ascii="方正仿宋_GBK" w:hAnsi="方正仿宋_GBK" w:eastAsia="方正仿宋_GBK" w:cs="方正仿宋_GBK"/>
          <w:sz w:val="32"/>
          <w:szCs w:val="32"/>
        </w:rPr>
      </w:pPr>
      <w:r>
        <w:rPr>
          <w:rStyle w:val="8"/>
          <w:rFonts w:ascii="方正楷体_GBK" w:hAnsi="楷体" w:eastAsia="方正楷体_GBK" w:cs="楷体"/>
          <w:b w:val="0"/>
          <w:sz w:val="32"/>
          <w:szCs w:val="32"/>
          <w:shd w:val="clear" w:color="auto" w:fill="FFFFFF"/>
        </w:rPr>
        <w:t>（十五）商品和服务支出（支出经济分类科目类级）</w:t>
      </w:r>
      <w:r>
        <w:rPr>
          <w:rStyle w:val="8"/>
          <w:rFonts w:ascii="方正楷体_GBK" w:eastAsia="方正楷体_GBK"/>
          <w:b w:val="0"/>
        </w:rPr>
        <w:t>：</w:t>
      </w:r>
      <w:r>
        <w:rPr>
          <w:rFonts w:ascii="方正仿宋_GBK" w:hAnsi="方正仿宋_GBK" w:eastAsia="方正仿宋_GBK" w:cs="方正仿宋_GBK"/>
          <w:sz w:val="32"/>
          <w:szCs w:val="32"/>
          <w:shd w:val="clear" w:color="auto" w:fill="FFFFFF"/>
        </w:rPr>
        <w:t>反映单位购买商品和服务的支出（不包括用于购置固定资产的支出、战略性和应急储备支出）。</w:t>
      </w:r>
    </w:p>
    <w:p>
      <w:pPr>
        <w:pStyle w:val="6"/>
        <w:snapToGrid w:val="0"/>
        <w:spacing w:before="0" w:beforeAutospacing="0" w:after="0" w:afterAutospacing="0" w:line="560" w:lineRule="exact"/>
        <w:ind w:firstLine="640" w:firstLineChars="200"/>
        <w:jc w:val="both"/>
        <w:rPr>
          <w:rFonts w:hint="default" w:ascii="方正仿宋_GBK" w:hAnsi="方正仿宋_GBK" w:eastAsia="方正仿宋_GBK" w:cs="方正仿宋_GBK"/>
          <w:sz w:val="32"/>
          <w:szCs w:val="32"/>
        </w:rPr>
      </w:pPr>
      <w:r>
        <w:rPr>
          <w:rStyle w:val="8"/>
          <w:rFonts w:ascii="方正楷体_GBK" w:hAnsi="楷体" w:eastAsia="方正楷体_GBK" w:cs="楷体"/>
          <w:b w:val="0"/>
          <w:sz w:val="32"/>
          <w:szCs w:val="32"/>
          <w:shd w:val="clear" w:color="auto" w:fill="FFFFFF"/>
        </w:rPr>
        <w:t>（十六）对个人和家庭的补助（支出经济分类科目类级）</w:t>
      </w:r>
      <w:r>
        <w:rPr>
          <w:rStyle w:val="8"/>
          <w:rFonts w:ascii="方正楷体_GBK" w:eastAsia="方正楷体_GBK"/>
          <w:b w:val="0"/>
        </w:rPr>
        <w:t>：</w:t>
      </w:r>
      <w:r>
        <w:rPr>
          <w:rFonts w:ascii="方正仿宋_GBK" w:hAnsi="方正仿宋_GBK" w:eastAsia="方正仿宋_GBK" w:cs="方正仿宋_GBK"/>
          <w:sz w:val="32"/>
          <w:szCs w:val="32"/>
          <w:shd w:val="clear" w:color="auto" w:fill="FFFFFF"/>
        </w:rPr>
        <w:t>反映用于对个人和家庭的补助支出。</w:t>
      </w:r>
    </w:p>
    <w:p>
      <w:pPr>
        <w:pStyle w:val="6"/>
        <w:snapToGrid w:val="0"/>
        <w:spacing w:before="0" w:beforeAutospacing="0" w:after="0" w:afterAutospacing="0" w:line="560" w:lineRule="exact"/>
        <w:ind w:firstLine="640" w:firstLineChars="200"/>
        <w:jc w:val="both"/>
        <w:rPr>
          <w:rFonts w:hint="default" w:ascii="方正仿宋_GBK" w:hAnsi="方正仿宋_GBK" w:eastAsia="方正仿宋_GBK" w:cs="方正仿宋_GBK"/>
          <w:sz w:val="32"/>
          <w:szCs w:val="32"/>
        </w:rPr>
      </w:pPr>
      <w:r>
        <w:rPr>
          <w:rStyle w:val="8"/>
          <w:rFonts w:ascii="方正楷体_GBK" w:hAnsi="楷体" w:eastAsia="方正楷体_GBK" w:cs="楷体"/>
          <w:b w:val="0"/>
          <w:sz w:val="32"/>
          <w:szCs w:val="32"/>
          <w:shd w:val="clear" w:color="auto" w:fill="FFFFFF"/>
        </w:rPr>
        <w:t>（十七）其他资本性支出（支出经济分类科目类级）</w:t>
      </w:r>
      <w:r>
        <w:rPr>
          <w:rFonts w:ascii="方正楷体_GBK" w:hAnsi="楷体" w:eastAsia="方正楷体_GBK" w:cs="楷体"/>
          <w:sz w:val="32"/>
          <w:szCs w:val="32"/>
          <w:shd w:val="clear" w:color="auto" w:fill="FFFFFF"/>
        </w:rPr>
        <w:t>：</w:t>
      </w:r>
      <w:r>
        <w:rPr>
          <w:rFonts w:ascii="方正仿宋_GBK" w:hAnsi="方正仿宋_GBK" w:eastAsia="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pPr>
        <w:pStyle w:val="6"/>
        <w:shd w:val="clear" w:color="auto" w:fill="FFFFFF"/>
        <w:spacing w:before="0" w:beforeAutospacing="0" w:after="0" w:afterAutospacing="0" w:line="560" w:lineRule="exact"/>
        <w:ind w:firstLine="640" w:firstLineChars="200"/>
        <w:rPr>
          <w:rStyle w:val="8"/>
          <w:rFonts w:hint="default" w:ascii="方正仿宋_GBK" w:hAnsi="方正仿宋_GBK" w:eastAsia="方正仿宋_GBK" w:cs="方正仿宋_GBK"/>
          <w:b w:val="0"/>
          <w:sz w:val="32"/>
          <w:szCs w:val="32"/>
          <w:shd w:val="clear" w:color="auto" w:fill="FFFFFF"/>
        </w:rPr>
      </w:pPr>
      <w:r>
        <w:rPr>
          <w:rStyle w:val="8"/>
          <w:rFonts w:ascii="方正黑体_GBK" w:hAnsi="黑体" w:eastAsia="方正黑体_GBK" w:cs="黑体"/>
          <w:b w:val="0"/>
          <w:sz w:val="32"/>
          <w:szCs w:val="32"/>
          <w:shd w:val="clear" w:color="auto" w:fill="FFFFFF"/>
        </w:rPr>
        <w:t>七、决算公开联系方式及信息反馈渠道</w:t>
      </w:r>
    </w:p>
    <w:p>
      <w:pPr>
        <w:pStyle w:val="11"/>
        <w:autoSpaceDE w:val="0"/>
        <w:spacing w:line="560" w:lineRule="exact"/>
        <w:ind w:left="240" w:leftChars="100" w:firstLine="640"/>
        <w:rPr>
          <w:rStyle w:val="8"/>
          <w:rFonts w:ascii="Times New Roman" w:hAnsi="Times New Roman" w:eastAsia="方正仿宋_GBK"/>
          <w:sz w:val="32"/>
          <w:szCs w:val="32"/>
          <w:shd w:val="clear" w:color="auto" w:fill="FFFF00"/>
        </w:rPr>
        <w:sectPr>
          <w:footerReference r:id="rId3" w:type="default"/>
          <w:pgSz w:w="11915" w:h="16840"/>
          <w:pgMar w:top="1440" w:right="1800" w:bottom="1440" w:left="1800" w:header="851" w:footer="992" w:gutter="0"/>
          <w:pgNumType w:fmt="numberInDash"/>
          <w:cols w:space="720" w:num="1"/>
          <w:docGrid w:type="lines" w:linePitch="312" w:charSpace="0"/>
        </w:sectPr>
      </w:pPr>
      <w:r>
        <w:rPr>
          <w:rFonts w:ascii="Times New Roman" w:hAnsi="Times New Roman" w:eastAsia="方正仿宋_GBK"/>
          <w:sz w:val="32"/>
          <w:szCs w:val="32"/>
          <w:shd w:val="clear" w:color="auto" w:fill="FFFFFF"/>
        </w:rPr>
        <w:t>本单位决算公开信息反馈和联系方式：陈俊023-76628418</w:t>
      </w:r>
    </w:p>
    <w:p>
      <w:pPr>
        <w:rPr>
          <w:rFonts w:hint="default" w:cs="宋体"/>
          <w:sz w:val="21"/>
          <w:szCs w:val="21"/>
        </w:rPr>
      </w:pPr>
    </w:p>
    <w:tbl>
      <w:tblPr>
        <w:tblStyle w:val="9"/>
        <w:tblW w:w="15393" w:type="dxa"/>
        <w:tblInd w:w="0" w:type="dxa"/>
        <w:tblLayout w:type="fixed"/>
        <w:tblCellMar>
          <w:top w:w="0" w:type="dxa"/>
          <w:left w:w="0" w:type="dxa"/>
          <w:bottom w:w="0" w:type="dxa"/>
          <w:right w:w="0" w:type="dxa"/>
        </w:tblCellMar>
      </w:tblPr>
      <w:tblGrid>
        <w:gridCol w:w="5122"/>
        <w:gridCol w:w="2020"/>
        <w:gridCol w:w="4809"/>
        <w:gridCol w:w="3442"/>
      </w:tblGrid>
      <w:tr>
        <w:tblPrEx>
          <w:tblLayout w:type="fixed"/>
          <w:tblCellMar>
            <w:top w:w="0" w:type="dxa"/>
            <w:left w:w="0" w:type="dxa"/>
            <w:bottom w:w="0" w:type="dxa"/>
            <w:right w:w="0" w:type="dxa"/>
          </w:tblCellMar>
        </w:tblPrEx>
        <w:trPr>
          <w:trHeight w:val="232" w:hRule="atLeast"/>
        </w:trPr>
        <w:tc>
          <w:tcPr>
            <w:tcW w:w="15393" w:type="dxa"/>
            <w:gridSpan w:val="4"/>
            <w:tcBorders>
              <w:top w:val="nil"/>
              <w:left w:val="nil"/>
              <w:bottom w:val="nil"/>
              <w:right w:val="nil"/>
            </w:tcBorders>
            <w:shd w:val="clear" w:color="auto" w:fill="auto"/>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tblPrEx>
          <w:tblLayout w:type="fixed"/>
          <w:tblCellMar>
            <w:top w:w="0" w:type="dxa"/>
            <w:left w:w="0" w:type="dxa"/>
            <w:bottom w:w="0" w:type="dxa"/>
            <w:right w:w="0" w:type="dxa"/>
          </w:tblCellMar>
        </w:tblPrEx>
        <w:trPr>
          <w:trHeight w:val="232" w:hRule="atLeast"/>
        </w:trPr>
        <w:tc>
          <w:tcPr>
            <w:tcW w:w="5122"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Arial" w:hAnsi="Arial" w:cs="Arial"/>
                <w:color w:val="000000"/>
                <w:sz w:val="20"/>
                <w:szCs w:val="20"/>
              </w:rPr>
            </w:pPr>
          </w:p>
        </w:tc>
        <w:tc>
          <w:tcPr>
            <w:tcW w:w="2020" w:type="dxa"/>
            <w:tcBorders>
              <w:top w:val="nil"/>
              <w:left w:val="nil"/>
              <w:bottom w:val="nil"/>
              <w:right w:val="nil"/>
            </w:tcBorders>
            <w:shd w:val="clear" w:color="auto" w:fill="auto"/>
            <w:tcMar>
              <w:top w:w="15" w:type="dxa"/>
              <w:left w:w="15" w:type="dxa"/>
              <w:right w:w="15" w:type="dxa"/>
            </w:tcMar>
            <w:vAlign w:val="bottom"/>
          </w:tcPr>
          <w:p>
            <w:pPr>
              <w:spacing w:line="200" w:lineRule="exact"/>
              <w:jc w:val="right"/>
              <w:rPr>
                <w:rFonts w:hint="default" w:ascii="Arial" w:hAnsi="Arial" w:cs="Arial"/>
                <w:color w:val="000000"/>
                <w:sz w:val="20"/>
                <w:szCs w:val="20"/>
              </w:rPr>
            </w:pPr>
          </w:p>
        </w:tc>
        <w:tc>
          <w:tcPr>
            <w:tcW w:w="4809"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Arial" w:hAnsi="Arial" w:cs="Arial"/>
                <w:color w:val="000000"/>
                <w:sz w:val="20"/>
                <w:szCs w:val="20"/>
              </w:rPr>
            </w:pPr>
          </w:p>
        </w:tc>
        <w:tc>
          <w:tcPr>
            <w:tcW w:w="3442"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公开01表</w:t>
            </w:r>
          </w:p>
        </w:tc>
      </w:tr>
      <w:tr>
        <w:tblPrEx>
          <w:tblLayout w:type="fixed"/>
          <w:tblCellMar>
            <w:top w:w="0" w:type="dxa"/>
            <w:left w:w="0" w:type="dxa"/>
            <w:bottom w:w="0" w:type="dxa"/>
            <w:right w:w="0" w:type="dxa"/>
          </w:tblCellMar>
        </w:tblPrEx>
        <w:trPr>
          <w:trHeight w:val="232" w:hRule="atLeast"/>
        </w:trPr>
        <w:tc>
          <w:tcPr>
            <w:tcW w:w="7142" w:type="dxa"/>
            <w:gridSpan w:val="2"/>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Arial" w:hAnsi="Arial" w:cs="Arial"/>
                <w:color w:val="000000"/>
                <w:sz w:val="22"/>
                <w:szCs w:val="22"/>
              </w:rPr>
            </w:pPr>
            <w:r>
              <w:rPr>
                <w:rFonts w:cs="宋体"/>
                <w:sz w:val="20"/>
                <w:szCs w:val="20"/>
              </w:rPr>
              <w:t>公开单位：</w:t>
            </w:r>
            <w:r>
              <w:rPr>
                <w:sz w:val="20"/>
              </w:rPr>
              <w:t>重庆市秀山土家族苗族自治县兰桥镇劳动就业和社会保障服务所</w:t>
            </w:r>
          </w:p>
        </w:tc>
        <w:tc>
          <w:tcPr>
            <w:tcW w:w="4809"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Arial" w:hAnsi="Arial" w:cs="Arial"/>
                <w:color w:val="000000"/>
                <w:sz w:val="22"/>
                <w:szCs w:val="22"/>
              </w:rPr>
            </w:pPr>
          </w:p>
        </w:tc>
        <w:tc>
          <w:tcPr>
            <w:tcW w:w="3442"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243" w:hRule="atLeast"/>
        </w:trPr>
        <w:tc>
          <w:tcPr>
            <w:tcW w:w="7142"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8251" w:type="dxa"/>
            <w:gridSpan w:val="2"/>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支出</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202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3442"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一、一般公共预算财政拨款收入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78.85</w:t>
            </w:r>
            <w:r>
              <w:rPr>
                <w:color w:val="000000"/>
                <w:sz w:val="20"/>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一、一般公共服务支出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二、政府性基金预算财政拨款收入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二、外交支出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三、国有资本经营预算财政拨款收入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三、国防支出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四、上级补助收入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四、公共安全支出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五、事业收入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五、教育支出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六、经营收入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六、科学技术支出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七、附属单位上缴收入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七、文化旅游体育与传媒支出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八、其他收入</w:t>
            </w:r>
          </w:p>
        </w:tc>
        <w:tc>
          <w:tcPr>
            <w:tcW w:w="2020" w:type="dxa"/>
            <w:tcBorders>
              <w:top w:val="nil"/>
              <w:left w:val="nil"/>
              <w:bottom w:val="nil"/>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八、社会保障和就业支出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65.54</w:t>
            </w:r>
            <w:r>
              <w:rPr>
                <w:color w:val="000000"/>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九、卫生健康支出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10.39</w:t>
            </w:r>
            <w:r>
              <w:rPr>
                <w:color w:val="000000"/>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十、节能环保支出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十一、城乡社区支出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十二、农林水支出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十三、交通运输支出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十四、资源勘探工业信息等支出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十五、商业服务业等支出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十六、金融支出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十七、援助其他地区支出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十八、自然资源海洋气象等支出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十九、住房保障支出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2.92</w:t>
            </w:r>
            <w:r>
              <w:rPr>
                <w:color w:val="000000"/>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二十、粮油物资储备支出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二十一、国有资本经营预算支出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二十二、灾害防治及应急管理支出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二十三、其他支出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rPr>
                <w:rFonts w:hint="default" w:cs="宋体"/>
                <w:b/>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二十四、债务还本支出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二十五、债务付息支出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二十六、抗疫特别国债安排的支出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本年收入合计</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78.85</w:t>
            </w:r>
            <w:r>
              <w:rPr>
                <w:color w:val="000000"/>
                <w:sz w:val="20"/>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本年支出合计</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78.85</w:t>
            </w:r>
            <w:r>
              <w:rPr>
                <w:color w:val="000000"/>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使用非财政拨款结余和专用结余</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结余分配</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年初结转和结余</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年末结转和结余</w:t>
            </w:r>
          </w:p>
        </w:tc>
        <w:tc>
          <w:tcPr>
            <w:tcW w:w="3442"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25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78.85</w:t>
            </w:r>
            <w:r>
              <w:rPr>
                <w:color w:val="000000"/>
                <w:sz w:val="20"/>
              </w:rPr>
              <w:t xml:space="preserve"> </w:t>
            </w:r>
          </w:p>
        </w:tc>
        <w:tc>
          <w:tcPr>
            <w:tcW w:w="4809" w:type="dxa"/>
            <w:tcBorders>
              <w:top w:val="nil"/>
              <w:left w:val="nil"/>
              <w:bottom w:val="single" w:color="000000" w:sz="4" w:space="0"/>
              <w:right w:val="single" w:color="auto"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344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78.85</w:t>
            </w:r>
            <w:r>
              <w:rPr>
                <w:color w:val="000000"/>
                <w:sz w:val="20"/>
              </w:rPr>
              <w:t xml:space="preserve"> </w:t>
            </w:r>
          </w:p>
        </w:tc>
      </w:tr>
    </w:tbl>
    <w:p>
      <w:pPr>
        <w:spacing w:line="240" w:lineRule="exact"/>
        <w:rPr>
          <w:rFonts w:hint="default"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9"/>
        <w:tblW w:w="15378" w:type="dxa"/>
        <w:tblInd w:w="0" w:type="dxa"/>
        <w:tblLayout w:type="fixed"/>
        <w:tblCellMar>
          <w:top w:w="0" w:type="dxa"/>
          <w:left w:w="0" w:type="dxa"/>
          <w:bottom w:w="0" w:type="dxa"/>
          <w:right w:w="0" w:type="dxa"/>
        </w:tblCellMar>
      </w:tblPr>
      <w:tblGrid>
        <w:gridCol w:w="1702"/>
        <w:gridCol w:w="3171"/>
        <w:gridCol w:w="1233"/>
        <w:gridCol w:w="1233"/>
        <w:gridCol w:w="1233"/>
        <w:gridCol w:w="1233"/>
        <w:gridCol w:w="1366"/>
        <w:gridCol w:w="1307"/>
        <w:gridCol w:w="1439"/>
        <w:gridCol w:w="1461"/>
      </w:tblGrid>
      <w:tr>
        <w:tblPrEx>
          <w:tblLayout w:type="fixed"/>
          <w:tblCellMar>
            <w:top w:w="0" w:type="dxa"/>
            <w:left w:w="0" w:type="dxa"/>
            <w:bottom w:w="0" w:type="dxa"/>
            <w:right w:w="0" w:type="dxa"/>
          </w:tblCellMar>
        </w:tblPrEx>
        <w:trPr>
          <w:trHeight w:val="641" w:hRule="atLeast"/>
        </w:trPr>
        <w:tc>
          <w:tcPr>
            <w:tcW w:w="15378" w:type="dxa"/>
            <w:gridSpan w:val="10"/>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收入决算表</w:t>
            </w:r>
          </w:p>
        </w:tc>
      </w:tr>
      <w:tr>
        <w:tblPrEx>
          <w:tblLayout w:type="fixed"/>
          <w:tblCellMar>
            <w:top w:w="0" w:type="dxa"/>
            <w:left w:w="0" w:type="dxa"/>
            <w:bottom w:w="0" w:type="dxa"/>
            <w:right w:w="0" w:type="dxa"/>
          </w:tblCellMar>
        </w:tblPrEx>
        <w:trPr>
          <w:trHeight w:val="328" w:hRule="atLeast"/>
        </w:trPr>
        <w:tc>
          <w:tcPr>
            <w:tcW w:w="6106" w:type="dxa"/>
            <w:gridSpan w:val="3"/>
            <w:vMerge w:val="restart"/>
            <w:tcBorders>
              <w:top w:val="nil"/>
              <w:left w:val="nil"/>
              <w:right w:val="nil"/>
            </w:tcBorders>
            <w:shd w:val="clear" w:color="auto" w:fill="auto"/>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sz w:val="20"/>
              </w:rPr>
              <w:t>重庆市秀山土家族苗族自治县兰桥镇劳动就业和社会保障服务所</w:t>
            </w:r>
          </w:p>
        </w:tc>
        <w:tc>
          <w:tcPr>
            <w:tcW w:w="1233"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33"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33"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366"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30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439"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461"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公开02表</w:t>
            </w:r>
          </w:p>
        </w:tc>
      </w:tr>
      <w:tr>
        <w:tblPrEx>
          <w:tblLayout w:type="fixed"/>
          <w:tblCellMar>
            <w:top w:w="0" w:type="dxa"/>
            <w:left w:w="0" w:type="dxa"/>
            <w:bottom w:w="0" w:type="dxa"/>
            <w:right w:w="0" w:type="dxa"/>
          </w:tblCellMar>
        </w:tblPrEx>
        <w:trPr>
          <w:trHeight w:val="328" w:hRule="atLeast"/>
        </w:trPr>
        <w:tc>
          <w:tcPr>
            <w:tcW w:w="6106"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33"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33"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33"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366"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30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439"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461"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431" w:hRule="atLeast"/>
        </w:trPr>
        <w:tc>
          <w:tcPr>
            <w:tcW w:w="4873" w:type="dxa"/>
            <w:gridSpan w:val="2"/>
            <w:tcBorders>
              <w:top w:val="single" w:color="000000" w:sz="4" w:space="0"/>
              <w:left w:val="single" w:color="000000" w:sz="4" w:space="0"/>
              <w:bottom w:val="single" w:color="000000" w:sz="4" w:space="0"/>
              <w:right w:val="nil"/>
            </w:tcBorders>
            <w:shd w:val="clear" w:color="auto" w:fill="D0CECE"/>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本年收入合计</w:t>
            </w: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财政拨款收入</w:t>
            </w: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上级补助收入</w:t>
            </w:r>
          </w:p>
        </w:tc>
        <w:tc>
          <w:tcPr>
            <w:tcW w:w="2599"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事业收入</w:t>
            </w:r>
          </w:p>
        </w:tc>
        <w:tc>
          <w:tcPr>
            <w:tcW w:w="130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经营收入</w:t>
            </w:r>
          </w:p>
        </w:tc>
        <w:tc>
          <w:tcPr>
            <w:tcW w:w="143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附属单位上缴收入</w:t>
            </w:r>
          </w:p>
        </w:tc>
        <w:tc>
          <w:tcPr>
            <w:tcW w:w="146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其他收入</w:t>
            </w:r>
          </w:p>
        </w:tc>
      </w:tr>
      <w:tr>
        <w:tblPrEx>
          <w:tblLayout w:type="fixed"/>
          <w:tblCellMar>
            <w:top w:w="0" w:type="dxa"/>
            <w:left w:w="0" w:type="dxa"/>
            <w:bottom w:w="0" w:type="dxa"/>
            <w:right w:w="0" w:type="dxa"/>
          </w:tblCellMar>
        </w:tblPrEx>
        <w:trPr>
          <w:trHeight w:val="334" w:hRule="atLeast"/>
        </w:trPr>
        <w:tc>
          <w:tcPr>
            <w:tcW w:w="1702"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171" w:type="dxa"/>
            <w:vMerge w:val="restart"/>
            <w:tcBorders>
              <w:top w:val="nil"/>
              <w:left w:val="nil"/>
              <w:bottom w:val="single" w:color="000000" w:sz="4" w:space="0"/>
              <w:right w:val="nil"/>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小计</w:t>
            </w:r>
          </w:p>
        </w:tc>
        <w:tc>
          <w:tcPr>
            <w:tcW w:w="136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其中：教育收费</w:t>
            </w: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4" w:hRule="atLeast"/>
        </w:trPr>
        <w:tc>
          <w:tcPr>
            <w:tcW w:w="170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171"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6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4" w:hRule="atLeast"/>
        </w:trPr>
        <w:tc>
          <w:tcPr>
            <w:tcW w:w="170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171"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6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4" w:hRule="atLeast"/>
        </w:trPr>
        <w:tc>
          <w:tcPr>
            <w:tcW w:w="170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171"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6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4873"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2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78.85</w:t>
            </w:r>
            <w:r>
              <w:rPr>
                <w:b/>
                <w:color w:val="000000"/>
                <w:sz w:val="20"/>
              </w:rPr>
              <w:t xml:space="preserve"> </w:t>
            </w:r>
          </w:p>
        </w:tc>
        <w:tc>
          <w:tcPr>
            <w:tcW w:w="12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78.85</w:t>
            </w:r>
            <w:r>
              <w:rPr>
                <w:b/>
                <w:color w:val="000000"/>
                <w:sz w:val="20"/>
              </w:rPr>
              <w:t xml:space="preserve"> </w:t>
            </w:r>
          </w:p>
        </w:tc>
        <w:tc>
          <w:tcPr>
            <w:tcW w:w="12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12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136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13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14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14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65.54</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65.54</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人力资源和社会保障管理事务</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38.14</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38.14</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2080109</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社会保险经办机构</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38.14</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38.14</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5.04</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5.04</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3.36</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3.36</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1.68</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1.68</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20808</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抚恤</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4.02</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4.02</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2080805</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义务兵优待</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4.02</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4.02</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20811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残疾人事业</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5.46</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5.46</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2081199</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其他残疾人事业支出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5.46</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5.46</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20821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特困人员救助供养</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6.01</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6.01</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2082102</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农村特困人员救助供养支出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6.01</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6.01</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20899</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其他社会保障和就业支出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6.86</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6.86</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2089999</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其他社会保障和就业支出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6.86</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6.86</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10.39</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10.39</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21004</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公共卫生</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1.02</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1.02</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2100499</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其他公共卫生支出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1.02</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1.02</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1.48</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1.48</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1.48</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1.48</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21015</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医疗保障管理事务</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7.89</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7.89</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2101505</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医疗保障政策管理</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5.25</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5.25</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2101506</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医疗保障经办事务</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2.63</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2.63</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2.92</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2.92</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2.92</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2.92</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2.92</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2.92</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bl>
    <w:p>
      <w:pPr>
        <w:ind w:left="600" w:hanging="600" w:hangingChars="300"/>
        <w:rPr>
          <w:rFonts w:hint="default"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0"/>
          <w:szCs w:val="20"/>
        </w:rPr>
      </w:pPr>
      <w:r>
        <w:rPr>
          <w:rFonts w:cs="宋体"/>
          <w:sz w:val="20"/>
          <w:szCs w:val="20"/>
        </w:rPr>
        <w:br w:type="page"/>
      </w:r>
    </w:p>
    <w:tbl>
      <w:tblPr>
        <w:tblStyle w:val="9"/>
        <w:tblW w:w="15378" w:type="dxa"/>
        <w:tblInd w:w="0" w:type="dxa"/>
        <w:tblLayout w:type="fixed"/>
        <w:tblCellMar>
          <w:top w:w="0" w:type="dxa"/>
          <w:left w:w="0" w:type="dxa"/>
          <w:bottom w:w="0" w:type="dxa"/>
          <w:right w:w="0" w:type="dxa"/>
        </w:tblCellMar>
      </w:tblPr>
      <w:tblGrid>
        <w:gridCol w:w="1803"/>
        <w:gridCol w:w="3355"/>
        <w:gridCol w:w="1701"/>
        <w:gridCol w:w="1701"/>
        <w:gridCol w:w="1701"/>
        <w:gridCol w:w="1685"/>
        <w:gridCol w:w="1685"/>
        <w:gridCol w:w="1747"/>
      </w:tblGrid>
      <w:tr>
        <w:tblPrEx>
          <w:tblLayout w:type="fixed"/>
          <w:tblCellMar>
            <w:top w:w="0" w:type="dxa"/>
            <w:left w:w="0" w:type="dxa"/>
            <w:bottom w:w="0" w:type="dxa"/>
            <w:right w:w="0" w:type="dxa"/>
          </w:tblCellMar>
        </w:tblPrEx>
        <w:trPr>
          <w:trHeight w:val="654" w:hRule="atLeast"/>
        </w:trPr>
        <w:tc>
          <w:tcPr>
            <w:tcW w:w="15378" w:type="dxa"/>
            <w:gridSpan w:val="8"/>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支出决算表</w:t>
            </w:r>
          </w:p>
        </w:tc>
      </w:tr>
      <w:tr>
        <w:tblPrEx>
          <w:tblLayout w:type="fixed"/>
          <w:tblCellMar>
            <w:top w:w="0" w:type="dxa"/>
            <w:left w:w="0" w:type="dxa"/>
            <w:bottom w:w="0" w:type="dxa"/>
            <w:right w:w="0" w:type="dxa"/>
          </w:tblCellMar>
        </w:tblPrEx>
        <w:trPr>
          <w:trHeight w:val="342" w:hRule="atLeast"/>
        </w:trPr>
        <w:tc>
          <w:tcPr>
            <w:tcW w:w="6859" w:type="dxa"/>
            <w:gridSpan w:val="3"/>
            <w:vMerge w:val="restart"/>
            <w:tcBorders>
              <w:top w:val="nil"/>
              <w:left w:val="nil"/>
              <w:right w:val="nil"/>
            </w:tcBorders>
            <w:shd w:val="clear" w:color="auto" w:fill="auto"/>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rPr>
              <w:t xml:space="preserve">重庆市秀山土家族苗族自治县兰桥镇劳动就业和社会保障服务所 </w:t>
            </w: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685"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685"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47"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公开03表</w:t>
            </w:r>
          </w:p>
        </w:tc>
      </w:tr>
      <w:tr>
        <w:tblPrEx>
          <w:tblLayout w:type="fixed"/>
          <w:tblCellMar>
            <w:top w:w="0" w:type="dxa"/>
            <w:left w:w="0" w:type="dxa"/>
            <w:bottom w:w="0" w:type="dxa"/>
            <w:right w:w="0" w:type="dxa"/>
          </w:tblCellMar>
        </w:tblPrEx>
        <w:trPr>
          <w:trHeight w:val="342" w:hRule="atLeast"/>
        </w:trPr>
        <w:tc>
          <w:tcPr>
            <w:tcW w:w="6859"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685"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685"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47"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362" w:hRule="atLeast"/>
        </w:trPr>
        <w:tc>
          <w:tcPr>
            <w:tcW w:w="5158"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本年支出合计</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168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上缴上级支出</w:t>
            </w:r>
          </w:p>
        </w:tc>
        <w:tc>
          <w:tcPr>
            <w:tcW w:w="168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经营支出</w:t>
            </w:r>
          </w:p>
        </w:tc>
        <w:tc>
          <w:tcPr>
            <w:tcW w:w="174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对附属单位补助支出</w:t>
            </w:r>
          </w:p>
        </w:tc>
      </w:tr>
      <w:tr>
        <w:tblPrEx>
          <w:tblLayout w:type="fixed"/>
          <w:tblCellMar>
            <w:top w:w="0" w:type="dxa"/>
            <w:left w:w="0" w:type="dxa"/>
            <w:bottom w:w="0" w:type="dxa"/>
            <w:right w:w="0" w:type="dxa"/>
          </w:tblCellMar>
        </w:tblPrEx>
        <w:trPr>
          <w:trHeight w:val="338" w:hRule="atLeast"/>
        </w:trPr>
        <w:tc>
          <w:tcPr>
            <w:tcW w:w="1803"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355" w:type="dxa"/>
            <w:vMerge w:val="restart"/>
            <w:tcBorders>
              <w:top w:val="nil"/>
              <w:left w:val="nil"/>
              <w:bottom w:val="single" w:color="000000" w:sz="4" w:space="0"/>
              <w:right w:val="nil"/>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1803"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55"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1803"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55"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1803"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55"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62" w:hRule="atLeast"/>
        </w:trPr>
        <w:tc>
          <w:tcPr>
            <w:tcW w:w="5158"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78.85</w:t>
            </w:r>
            <w:r>
              <w:rPr>
                <w:b/>
                <w:color w:val="000000"/>
                <w:sz w:val="20"/>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47.59</w:t>
            </w:r>
            <w:r>
              <w:rPr>
                <w:b/>
                <w:color w:val="000000"/>
                <w:sz w:val="20"/>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31.26</w:t>
            </w:r>
            <w:r>
              <w:rPr>
                <w:b/>
                <w:color w:val="000000"/>
                <w:sz w:val="20"/>
              </w:rPr>
              <w:t xml:space="preserve"> </w:t>
            </w:r>
          </w:p>
        </w:tc>
        <w:tc>
          <w:tcPr>
            <w:tcW w:w="16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16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174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65.54</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43.18</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22.36</w:t>
            </w:r>
            <w:r>
              <w:rPr>
                <w:b/>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20801</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人力资源和社会保障管理事务</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38.14</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38.14</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2080109</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社会保险经办机构</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38.14</w:t>
            </w: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38.14</w:t>
            </w: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5.04</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5.04</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3.36</w:t>
            </w: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3.36</w:t>
            </w: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1.68</w:t>
            </w: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1.68</w:t>
            </w: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20808</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抚恤</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4.02</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4.02</w:t>
            </w:r>
            <w:r>
              <w:rPr>
                <w:b/>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2080805</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义务兵优待</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4.02</w:t>
            </w: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4.02</w:t>
            </w: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20811</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残疾人事业</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5.46</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5.46</w:t>
            </w:r>
            <w:r>
              <w:rPr>
                <w:b/>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2081199</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其他残疾人事业支出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5.46</w:t>
            </w: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5.46</w:t>
            </w: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20821</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特困人员救助供养</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6.01</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6.01</w:t>
            </w:r>
            <w:r>
              <w:rPr>
                <w:b/>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2082102</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农村特困人员救助供养支出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6.01</w:t>
            </w: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6.01</w:t>
            </w: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20899</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其他社会保障和就业支出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6.86</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6.86</w:t>
            </w:r>
            <w:r>
              <w:rPr>
                <w:b/>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2089999</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其他社会保障和就业支出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6.86</w:t>
            </w: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6.86</w:t>
            </w: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10.39</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1.48</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8.91</w:t>
            </w:r>
            <w:r>
              <w:rPr>
                <w:b/>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21004</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公共卫生</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1.02</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1.02</w:t>
            </w:r>
            <w:r>
              <w:rPr>
                <w:b/>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2100499</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其他公共卫生支出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1.02</w:t>
            </w: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1.02</w:t>
            </w: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1.48</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1.48</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1.48</w:t>
            </w: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1.48</w:t>
            </w: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21015</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医疗保障管理事务</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7.89</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7.89</w:t>
            </w:r>
            <w:r>
              <w:rPr>
                <w:b/>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2101505</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医疗保障政策管理</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5.25</w:t>
            </w: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5.25</w:t>
            </w: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2101506</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医疗保障经办事务</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2.63</w:t>
            </w: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2.63</w:t>
            </w: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2.92</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2.92</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2.92</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2.92</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2.92</w:t>
            </w: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2.92</w:t>
            </w: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bl>
    <w:p>
      <w:pPr>
        <w:rPr>
          <w:rFonts w:hint="default" w:cs="宋体"/>
          <w:sz w:val="20"/>
          <w:szCs w:val="20"/>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p>
      <w:pPr>
        <w:rPr>
          <w:rFonts w:hint="default" w:cs="宋体"/>
          <w:sz w:val="21"/>
          <w:szCs w:val="21"/>
        </w:rPr>
      </w:pPr>
    </w:p>
    <w:tbl>
      <w:tblPr>
        <w:tblStyle w:val="9"/>
        <w:tblW w:w="14732" w:type="dxa"/>
        <w:tblInd w:w="0" w:type="dxa"/>
        <w:tblLayout w:type="fixed"/>
        <w:tblCellMar>
          <w:top w:w="0" w:type="dxa"/>
          <w:left w:w="0" w:type="dxa"/>
          <w:bottom w:w="0" w:type="dxa"/>
          <w:right w:w="0" w:type="dxa"/>
        </w:tblCellMar>
      </w:tblPr>
      <w:tblGrid>
        <w:gridCol w:w="2979"/>
        <w:gridCol w:w="1526"/>
        <w:gridCol w:w="3191"/>
        <w:gridCol w:w="1700"/>
        <w:gridCol w:w="1700"/>
        <w:gridCol w:w="1700"/>
        <w:gridCol w:w="1936"/>
      </w:tblGrid>
      <w:tr>
        <w:tblPrEx>
          <w:tblLayout w:type="fixed"/>
          <w:tblCellMar>
            <w:top w:w="0" w:type="dxa"/>
            <w:left w:w="0" w:type="dxa"/>
            <w:bottom w:w="0" w:type="dxa"/>
            <w:right w:w="0" w:type="dxa"/>
          </w:tblCellMar>
        </w:tblPrEx>
        <w:trPr>
          <w:trHeight w:val="90" w:hRule="atLeast"/>
        </w:trPr>
        <w:tc>
          <w:tcPr>
            <w:tcW w:w="14732" w:type="dxa"/>
            <w:gridSpan w:val="7"/>
            <w:tcBorders>
              <w:top w:val="nil"/>
              <w:left w:val="nil"/>
              <w:bottom w:val="nil"/>
              <w:right w:val="nil"/>
            </w:tcBorders>
            <w:shd w:val="clear" w:color="auto" w:fill="auto"/>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tblPrEx>
          <w:tblLayout w:type="fixed"/>
          <w:tblCellMar>
            <w:top w:w="0" w:type="dxa"/>
            <w:left w:w="0" w:type="dxa"/>
            <w:bottom w:w="0" w:type="dxa"/>
            <w:right w:w="0" w:type="dxa"/>
          </w:tblCellMar>
        </w:tblPrEx>
        <w:trPr>
          <w:trHeight w:val="90" w:hRule="atLeast"/>
        </w:trPr>
        <w:tc>
          <w:tcPr>
            <w:tcW w:w="7696" w:type="dxa"/>
            <w:gridSpan w:val="3"/>
            <w:vMerge w:val="restart"/>
            <w:tcBorders>
              <w:top w:val="nil"/>
              <w:left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r>
              <w:rPr>
                <w:rFonts w:cs="宋体"/>
                <w:sz w:val="20"/>
                <w:szCs w:val="20"/>
              </w:rPr>
              <w:t>公开单位</w:t>
            </w:r>
            <w:r>
              <w:rPr>
                <w:rFonts w:cs="宋体"/>
                <w:color w:val="000000"/>
                <w:sz w:val="20"/>
                <w:szCs w:val="20"/>
              </w:rPr>
              <w:t xml:space="preserve">： </w:t>
            </w:r>
            <w:r>
              <w:rPr>
                <w:color w:val="000000"/>
                <w:sz w:val="20"/>
              </w:rPr>
              <w:t>重庆市秀山土家族苗族自治县兰桥镇劳动就业和社会保障服务所</w:t>
            </w:r>
          </w:p>
        </w:tc>
        <w:tc>
          <w:tcPr>
            <w:tcW w:w="1700"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936" w:type="dxa"/>
            <w:tcBorders>
              <w:top w:val="nil"/>
              <w:left w:val="nil"/>
              <w:bottom w:val="nil"/>
              <w:right w:val="nil"/>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公开04表</w:t>
            </w:r>
          </w:p>
        </w:tc>
      </w:tr>
      <w:tr>
        <w:tblPrEx>
          <w:tblLayout w:type="fixed"/>
          <w:tblCellMar>
            <w:top w:w="0" w:type="dxa"/>
            <w:left w:w="0" w:type="dxa"/>
            <w:bottom w:w="0" w:type="dxa"/>
            <w:right w:w="0" w:type="dxa"/>
          </w:tblCellMar>
        </w:tblPrEx>
        <w:trPr>
          <w:trHeight w:val="90" w:hRule="atLeast"/>
        </w:trPr>
        <w:tc>
          <w:tcPr>
            <w:tcW w:w="7696" w:type="dxa"/>
            <w:gridSpan w:val="3"/>
            <w:vMerge w:val="continue"/>
            <w:tcBorders>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936"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90" w:hRule="atLeast"/>
        </w:trPr>
        <w:tc>
          <w:tcPr>
            <w:tcW w:w="4505"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10227" w:type="dxa"/>
            <w:gridSpan w:val="5"/>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支     出</w:t>
            </w:r>
          </w:p>
        </w:tc>
      </w:tr>
      <w:tr>
        <w:tblPrEx>
          <w:tblLayout w:type="fixed"/>
          <w:tblCellMar>
            <w:top w:w="0" w:type="dxa"/>
            <w:left w:w="0" w:type="dxa"/>
            <w:bottom w:w="0" w:type="dxa"/>
            <w:right w:w="0" w:type="dxa"/>
          </w:tblCellMar>
        </w:tblPrEx>
        <w:trPr>
          <w:trHeight w:val="90" w:hRule="atLeast"/>
        </w:trPr>
        <w:tc>
          <w:tcPr>
            <w:tcW w:w="297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152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319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7036" w:type="dxa"/>
            <w:gridSpan w:val="4"/>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tblPrEx>
          <w:tblLayout w:type="fixed"/>
          <w:tblCellMar>
            <w:top w:w="0" w:type="dxa"/>
            <w:left w:w="0" w:type="dxa"/>
            <w:bottom w:w="0" w:type="dxa"/>
            <w:right w:w="0" w:type="dxa"/>
          </w:tblCellMar>
        </w:tblPrEx>
        <w:trPr>
          <w:trHeight w:val="90" w:hRule="atLeast"/>
        </w:trPr>
        <w:tc>
          <w:tcPr>
            <w:tcW w:w="297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52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319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170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170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19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一、一般公共预算财政拨款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78.85</w:t>
            </w:r>
            <w:r>
              <w:rPr>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一、一般公共服务支出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二、政府性基金预算财政拨款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二、外交支出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三、国有资本经营预算财政拨款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三、国防支出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四、公共安全支出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五、教育支出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六、科学技术支出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七、文化旅游体育与传媒支出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八、社会保障和就业支出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65.54</w:t>
            </w: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65.54</w:t>
            </w: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九、卫生健康支出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10.39</w:t>
            </w: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10.39</w:t>
            </w: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十、节能环保支出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十一、城乡社区支出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十二、农林水支出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十三、交通运输支出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十四、资源勘探工业信息等支出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十五、商业服务业等支出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十六、金融支出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十七、援助其他地区支出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十八、自然资源海洋气象等支出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十九、住房保障支出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2.92</w:t>
            </w: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2.92</w:t>
            </w: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二十、粮油物资储备支出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二十一、国有资本经营预算支出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二十二、灾害防治及应急管理支出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二十三、其他支出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二十四、债务还本支出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二十五、债务付息支出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二十六、抗疫特别国债安排的支出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本年收入合计</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78.85</w:t>
            </w:r>
            <w:r>
              <w:rPr>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本年支出合计</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78.85</w:t>
            </w: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78.85</w:t>
            </w: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年初财政拨款结转和结余</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年末财政拨款结转和结余</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一般公共预算财政拨款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政府性基金预算财政拨款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国有资本经营预算财政拨款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78.85</w:t>
            </w:r>
            <w:r>
              <w:rPr>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78.85</w:t>
            </w: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78.85</w:t>
            </w: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bl>
    <w:p>
      <w:pPr>
        <w:spacing w:line="240" w:lineRule="exact"/>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9"/>
        <w:tblW w:w="15378" w:type="dxa"/>
        <w:tblInd w:w="0" w:type="dxa"/>
        <w:tblLayout w:type="fixed"/>
        <w:tblCellMar>
          <w:top w:w="0" w:type="dxa"/>
          <w:left w:w="0" w:type="dxa"/>
          <w:bottom w:w="0" w:type="dxa"/>
          <w:right w:w="0" w:type="dxa"/>
        </w:tblCellMar>
      </w:tblPr>
      <w:tblGrid>
        <w:gridCol w:w="1857"/>
        <w:gridCol w:w="3549"/>
        <w:gridCol w:w="3319"/>
        <w:gridCol w:w="3319"/>
        <w:gridCol w:w="3334"/>
      </w:tblGrid>
      <w:tr>
        <w:tblPrEx>
          <w:tblLayout w:type="fixed"/>
          <w:tblCellMar>
            <w:top w:w="0" w:type="dxa"/>
            <w:left w:w="0" w:type="dxa"/>
            <w:bottom w:w="0" w:type="dxa"/>
            <w:right w:w="0" w:type="dxa"/>
          </w:tblCellMar>
        </w:tblPrEx>
        <w:trPr>
          <w:trHeight w:val="510" w:hRule="atLeast"/>
        </w:trPr>
        <w:tc>
          <w:tcPr>
            <w:tcW w:w="15378" w:type="dxa"/>
            <w:gridSpan w:val="5"/>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tblPrEx>
          <w:tblLayout w:type="fixed"/>
          <w:tblCellMar>
            <w:top w:w="0" w:type="dxa"/>
            <w:left w:w="0" w:type="dxa"/>
            <w:bottom w:w="0" w:type="dxa"/>
            <w:right w:w="0" w:type="dxa"/>
          </w:tblCellMar>
        </w:tblPrEx>
        <w:trPr>
          <w:trHeight w:val="255" w:hRule="atLeast"/>
        </w:trPr>
        <w:tc>
          <w:tcPr>
            <w:tcW w:w="8725" w:type="dxa"/>
            <w:gridSpan w:val="3"/>
            <w:vMerge w:val="restart"/>
            <w:tcBorders>
              <w:top w:val="nil"/>
              <w:left w:val="nil"/>
              <w:right w:val="nil"/>
            </w:tcBorders>
            <w:shd w:val="clear" w:color="auto" w:fill="auto"/>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rPr>
              <w:t>重庆市秀山土家族苗族自治县兰桥镇劳动就业和社会保障服务所</w:t>
            </w:r>
          </w:p>
        </w:tc>
        <w:tc>
          <w:tcPr>
            <w:tcW w:w="3319"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334"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公开05表</w:t>
            </w:r>
          </w:p>
        </w:tc>
      </w:tr>
      <w:tr>
        <w:tblPrEx>
          <w:tblLayout w:type="fixed"/>
          <w:tblCellMar>
            <w:top w:w="0" w:type="dxa"/>
            <w:left w:w="0" w:type="dxa"/>
            <w:bottom w:w="0" w:type="dxa"/>
            <w:right w:w="0" w:type="dxa"/>
          </w:tblCellMar>
        </w:tblPrEx>
        <w:trPr>
          <w:trHeight w:val="285" w:hRule="atLeast"/>
        </w:trPr>
        <w:tc>
          <w:tcPr>
            <w:tcW w:w="8725"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319"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334"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308" w:hRule="atLeast"/>
        </w:trPr>
        <w:tc>
          <w:tcPr>
            <w:tcW w:w="5406"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9972"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r>
      <w:tr>
        <w:tblPrEx>
          <w:tblLayout w:type="fixed"/>
          <w:tblCellMar>
            <w:top w:w="0" w:type="dxa"/>
            <w:left w:w="0" w:type="dxa"/>
            <w:bottom w:w="0" w:type="dxa"/>
            <w:right w:w="0" w:type="dxa"/>
          </w:tblCellMar>
        </w:tblPrEx>
        <w:trPr>
          <w:trHeight w:val="326" w:hRule="atLeast"/>
        </w:trPr>
        <w:tc>
          <w:tcPr>
            <w:tcW w:w="1857"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54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331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31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3334"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Layout w:type="fixed"/>
          <w:tblCellMar>
            <w:top w:w="0" w:type="dxa"/>
            <w:left w:w="0" w:type="dxa"/>
            <w:bottom w:w="0" w:type="dxa"/>
            <w:right w:w="0" w:type="dxa"/>
          </w:tblCellMar>
        </w:tblPrEx>
        <w:trPr>
          <w:trHeight w:val="326" w:hRule="atLeast"/>
        </w:trPr>
        <w:tc>
          <w:tcPr>
            <w:tcW w:w="1857"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54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3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615" w:hRule="atLeast"/>
        </w:trPr>
        <w:tc>
          <w:tcPr>
            <w:tcW w:w="1857"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54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3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08" w:hRule="atLeast"/>
        </w:trPr>
        <w:tc>
          <w:tcPr>
            <w:tcW w:w="5406"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78.85</w:t>
            </w:r>
            <w:r>
              <w:rPr>
                <w:b/>
                <w:color w:val="000000"/>
                <w:sz w:val="20"/>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47.59</w:t>
            </w:r>
            <w:r>
              <w:rPr>
                <w:b/>
                <w:color w:val="000000"/>
                <w:sz w:val="20"/>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31.26</w:t>
            </w:r>
            <w:r>
              <w:rPr>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65.54</w:t>
            </w:r>
            <w:r>
              <w:rPr>
                <w:b/>
                <w:color w:val="000000"/>
                <w:sz w:val="20"/>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43.18</w:t>
            </w:r>
            <w:r>
              <w:rPr>
                <w:b/>
                <w:color w:val="000000"/>
                <w:sz w:val="20"/>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22.36</w:t>
            </w:r>
            <w:r>
              <w:rPr>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20801</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人力资源和社会保障管理事务</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38.14</w:t>
            </w:r>
            <w:r>
              <w:rPr>
                <w:b/>
                <w:color w:val="000000"/>
                <w:sz w:val="20"/>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38.14</w:t>
            </w:r>
            <w:r>
              <w:rPr>
                <w:b/>
                <w:color w:val="000000"/>
                <w:sz w:val="20"/>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2080109</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社会保险经办机构</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38.14</w:t>
            </w:r>
            <w:r>
              <w:rPr>
                <w:color w:val="000000"/>
                <w:sz w:val="20"/>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38.14</w:t>
            </w:r>
            <w:r>
              <w:rPr>
                <w:color w:val="000000"/>
                <w:sz w:val="20"/>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5.04</w:t>
            </w:r>
            <w:r>
              <w:rPr>
                <w:b/>
                <w:color w:val="000000"/>
                <w:sz w:val="20"/>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5.04</w:t>
            </w:r>
            <w:r>
              <w:rPr>
                <w:b/>
                <w:color w:val="000000"/>
                <w:sz w:val="20"/>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3.36</w:t>
            </w:r>
            <w:r>
              <w:rPr>
                <w:color w:val="000000"/>
                <w:sz w:val="20"/>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3.36</w:t>
            </w:r>
            <w:r>
              <w:rPr>
                <w:color w:val="000000"/>
                <w:sz w:val="20"/>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1.68</w:t>
            </w:r>
            <w:r>
              <w:rPr>
                <w:color w:val="000000"/>
                <w:sz w:val="20"/>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1.68</w:t>
            </w:r>
            <w:r>
              <w:rPr>
                <w:color w:val="000000"/>
                <w:sz w:val="20"/>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20808</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抚恤</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4.02</w:t>
            </w:r>
            <w:r>
              <w:rPr>
                <w:b/>
                <w:color w:val="000000"/>
                <w:sz w:val="20"/>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4.02</w:t>
            </w:r>
            <w:r>
              <w:rPr>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2080805</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义务兵优待</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4.02</w:t>
            </w:r>
            <w:r>
              <w:rPr>
                <w:color w:val="000000"/>
                <w:sz w:val="20"/>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4.02</w:t>
            </w:r>
            <w:r>
              <w:rPr>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20811</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残疾人事业</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5.46</w:t>
            </w:r>
            <w:r>
              <w:rPr>
                <w:b/>
                <w:color w:val="000000"/>
                <w:sz w:val="20"/>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5.46</w:t>
            </w:r>
            <w:r>
              <w:rPr>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2081199</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其他残疾人事业支出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5.46</w:t>
            </w:r>
            <w:r>
              <w:rPr>
                <w:color w:val="000000"/>
                <w:sz w:val="20"/>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5.46</w:t>
            </w:r>
            <w:r>
              <w:rPr>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20821</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特困人员救助供养</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6.01</w:t>
            </w:r>
            <w:r>
              <w:rPr>
                <w:b/>
                <w:color w:val="000000"/>
                <w:sz w:val="20"/>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6.01</w:t>
            </w:r>
            <w:r>
              <w:rPr>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2082102</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农村特困人员救助供养支出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6.01</w:t>
            </w:r>
            <w:r>
              <w:rPr>
                <w:color w:val="000000"/>
                <w:sz w:val="20"/>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6.01</w:t>
            </w:r>
            <w:r>
              <w:rPr>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20899</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其他社会保障和就业支出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6.86</w:t>
            </w:r>
            <w:r>
              <w:rPr>
                <w:b/>
                <w:color w:val="000000"/>
                <w:sz w:val="20"/>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6.86</w:t>
            </w:r>
            <w:r>
              <w:rPr>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2089999</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其他社会保障和就业支出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6.86</w:t>
            </w:r>
            <w:r>
              <w:rPr>
                <w:color w:val="000000"/>
                <w:sz w:val="20"/>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6.86</w:t>
            </w:r>
            <w:r>
              <w:rPr>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10.39</w:t>
            </w:r>
            <w:r>
              <w:rPr>
                <w:b/>
                <w:color w:val="000000"/>
                <w:sz w:val="20"/>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1.48</w:t>
            </w:r>
            <w:r>
              <w:rPr>
                <w:b/>
                <w:color w:val="000000"/>
                <w:sz w:val="20"/>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8.91</w:t>
            </w:r>
            <w:r>
              <w:rPr>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21004</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公共卫生</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1.02</w:t>
            </w:r>
            <w:r>
              <w:rPr>
                <w:b/>
                <w:color w:val="000000"/>
                <w:sz w:val="20"/>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1.02</w:t>
            </w:r>
            <w:r>
              <w:rPr>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2100499</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其他公共卫生支出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1.02</w:t>
            </w:r>
            <w:r>
              <w:rPr>
                <w:color w:val="000000"/>
                <w:sz w:val="20"/>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1.02</w:t>
            </w:r>
            <w:r>
              <w:rPr>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1.48</w:t>
            </w:r>
            <w:r>
              <w:rPr>
                <w:b/>
                <w:color w:val="000000"/>
                <w:sz w:val="20"/>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1.48</w:t>
            </w:r>
            <w:r>
              <w:rPr>
                <w:b/>
                <w:color w:val="000000"/>
                <w:sz w:val="20"/>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1.48</w:t>
            </w:r>
            <w:r>
              <w:rPr>
                <w:color w:val="000000"/>
                <w:sz w:val="20"/>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1.48</w:t>
            </w:r>
            <w:r>
              <w:rPr>
                <w:color w:val="000000"/>
                <w:sz w:val="20"/>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21015</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医疗保障管理事务</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7.89</w:t>
            </w:r>
            <w:r>
              <w:rPr>
                <w:b/>
                <w:color w:val="000000"/>
                <w:sz w:val="20"/>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7.89</w:t>
            </w:r>
            <w:r>
              <w:rPr>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2101505</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医疗保障政策管理</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5.25</w:t>
            </w:r>
            <w:r>
              <w:rPr>
                <w:color w:val="000000"/>
                <w:sz w:val="20"/>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5.25</w:t>
            </w:r>
            <w:r>
              <w:rPr>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2101506</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医疗保障经办事务</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2.63</w:t>
            </w:r>
            <w:r>
              <w:rPr>
                <w:color w:val="000000"/>
                <w:sz w:val="20"/>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2.63</w:t>
            </w:r>
            <w:r>
              <w:rPr>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2.92</w:t>
            </w:r>
            <w:r>
              <w:rPr>
                <w:b/>
                <w:color w:val="000000"/>
                <w:sz w:val="20"/>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2.92</w:t>
            </w:r>
            <w:r>
              <w:rPr>
                <w:b/>
                <w:color w:val="000000"/>
                <w:sz w:val="20"/>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2.92</w:t>
            </w:r>
            <w:r>
              <w:rPr>
                <w:b/>
                <w:color w:val="000000"/>
                <w:sz w:val="20"/>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2.92</w:t>
            </w:r>
            <w:r>
              <w:rPr>
                <w:b/>
                <w:color w:val="000000"/>
                <w:sz w:val="20"/>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2.92</w:t>
            </w:r>
            <w:r>
              <w:rPr>
                <w:color w:val="000000"/>
                <w:sz w:val="20"/>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2.92</w:t>
            </w:r>
            <w:r>
              <w:rPr>
                <w:color w:val="000000"/>
                <w:sz w:val="20"/>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bl>
    <w:p>
      <w:pPr>
        <w:rPr>
          <w:rFonts w:hint="default" w:cs="宋体"/>
          <w:sz w:val="21"/>
          <w:szCs w:val="21"/>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ind w:firstLine="630" w:firstLineChars="300"/>
        <w:rPr>
          <w:rFonts w:hint="default" w:cs="宋体"/>
          <w:sz w:val="21"/>
          <w:szCs w:val="21"/>
        </w:rPr>
      </w:pPr>
      <w:r>
        <w:rPr>
          <w:rFonts w:cs="宋体"/>
          <w:sz w:val="21"/>
          <w:szCs w:val="21"/>
        </w:rPr>
        <w:br w:type="page"/>
      </w:r>
    </w:p>
    <w:tbl>
      <w:tblPr>
        <w:tblStyle w:val="9"/>
        <w:tblW w:w="15360" w:type="dxa"/>
        <w:tblInd w:w="0" w:type="dxa"/>
        <w:tblLayout w:type="fixed"/>
        <w:tblCellMar>
          <w:top w:w="0" w:type="dxa"/>
          <w:left w:w="0" w:type="dxa"/>
          <w:bottom w:w="0" w:type="dxa"/>
          <w:right w:w="0" w:type="dxa"/>
        </w:tblCellMar>
      </w:tblPr>
      <w:tblGrid>
        <w:gridCol w:w="605"/>
        <w:gridCol w:w="2740"/>
        <w:gridCol w:w="1376"/>
        <w:gridCol w:w="836"/>
        <w:gridCol w:w="1923"/>
        <w:gridCol w:w="1656"/>
        <w:gridCol w:w="808"/>
        <w:gridCol w:w="3527"/>
        <w:gridCol w:w="1889"/>
      </w:tblGrid>
      <w:tr>
        <w:tblPrEx>
          <w:tblLayout w:type="fixed"/>
          <w:tblCellMar>
            <w:top w:w="0" w:type="dxa"/>
            <w:left w:w="0" w:type="dxa"/>
            <w:bottom w:w="0" w:type="dxa"/>
            <w:right w:w="0" w:type="dxa"/>
          </w:tblCellMar>
        </w:tblPrEx>
        <w:trPr>
          <w:trHeight w:val="90" w:hRule="atLeast"/>
        </w:trPr>
        <w:tc>
          <w:tcPr>
            <w:tcW w:w="15360" w:type="dxa"/>
            <w:gridSpan w:val="9"/>
            <w:tcBorders>
              <w:top w:val="nil"/>
              <w:left w:val="nil"/>
              <w:bottom w:val="nil"/>
              <w:right w:val="nil"/>
            </w:tcBorders>
            <w:shd w:val="clear" w:color="auto" w:fill="auto"/>
            <w:tcMar>
              <w:top w:w="15" w:type="dxa"/>
              <w:left w:w="15" w:type="dxa"/>
              <w:right w:w="15" w:type="dxa"/>
            </w:tcMar>
            <w:vAlign w:val="bottom"/>
          </w:tcPr>
          <w:p>
            <w:pP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tblPrEx>
          <w:tblLayout w:type="fixed"/>
          <w:tblCellMar>
            <w:top w:w="0" w:type="dxa"/>
            <w:left w:w="0" w:type="dxa"/>
            <w:bottom w:w="0" w:type="dxa"/>
            <w:right w:w="0" w:type="dxa"/>
          </w:tblCellMar>
        </w:tblPrEx>
        <w:trPr>
          <w:trHeight w:val="90" w:hRule="atLeast"/>
        </w:trPr>
        <w:tc>
          <w:tcPr>
            <w:tcW w:w="5557" w:type="dxa"/>
            <w:gridSpan w:val="4"/>
            <w:vMerge w:val="restart"/>
            <w:tcBorders>
              <w:top w:val="nil"/>
              <w:left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r>
              <w:rPr>
                <w:rFonts w:cs="宋体"/>
                <w:sz w:val="20"/>
                <w:szCs w:val="20"/>
              </w:rPr>
              <w:t>公开单位</w:t>
            </w:r>
            <w:r>
              <w:rPr>
                <w:rFonts w:cs="宋体"/>
                <w:color w:val="000000"/>
                <w:sz w:val="20"/>
                <w:szCs w:val="20"/>
              </w:rPr>
              <w:t xml:space="preserve">： </w:t>
            </w:r>
            <w:r>
              <w:rPr>
                <w:color w:val="000000"/>
                <w:sz w:val="20"/>
              </w:rPr>
              <w:t>重庆市秀山土家族苗族自治县兰桥镇劳动就业和社会保障服务所</w:t>
            </w:r>
          </w:p>
        </w:tc>
        <w:tc>
          <w:tcPr>
            <w:tcW w:w="1923"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656"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08"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3527"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889"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公开06表</w:t>
            </w:r>
          </w:p>
        </w:tc>
      </w:tr>
      <w:tr>
        <w:tblPrEx>
          <w:tblLayout w:type="fixed"/>
          <w:tblCellMar>
            <w:top w:w="0" w:type="dxa"/>
            <w:left w:w="0" w:type="dxa"/>
            <w:bottom w:w="0" w:type="dxa"/>
            <w:right w:w="0" w:type="dxa"/>
          </w:tblCellMar>
        </w:tblPrEx>
        <w:trPr>
          <w:trHeight w:val="90" w:hRule="atLeast"/>
        </w:trPr>
        <w:tc>
          <w:tcPr>
            <w:tcW w:w="5557" w:type="dxa"/>
            <w:gridSpan w:val="4"/>
            <w:vMerge w:val="continue"/>
            <w:tcBorders>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923"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656"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08"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3527"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889"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90" w:hRule="atLeast"/>
        </w:trPr>
        <w:tc>
          <w:tcPr>
            <w:tcW w:w="4721" w:type="dxa"/>
            <w:gridSpan w:val="3"/>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w:t>
            </w:r>
          </w:p>
        </w:tc>
        <w:tc>
          <w:tcPr>
            <w:tcW w:w="10639" w:type="dxa"/>
            <w:gridSpan w:val="6"/>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w:t>
            </w:r>
          </w:p>
        </w:tc>
      </w:tr>
      <w:tr>
        <w:tblPrEx>
          <w:tblLayout w:type="fixed"/>
          <w:tblCellMar>
            <w:top w:w="0" w:type="dxa"/>
            <w:left w:w="0" w:type="dxa"/>
            <w:bottom w:w="0" w:type="dxa"/>
            <w:right w:w="0" w:type="dxa"/>
          </w:tblCellMar>
        </w:tblPrEx>
        <w:trPr>
          <w:trHeight w:val="312" w:hRule="atLeast"/>
        </w:trPr>
        <w:tc>
          <w:tcPr>
            <w:tcW w:w="605"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274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37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836"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92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65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808"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352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88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r>
      <w:tr>
        <w:tblPrEx>
          <w:tblLayout w:type="fixed"/>
          <w:tblCellMar>
            <w:top w:w="0" w:type="dxa"/>
            <w:left w:w="0" w:type="dxa"/>
            <w:bottom w:w="0" w:type="dxa"/>
            <w:right w:w="0" w:type="dxa"/>
          </w:tblCellMar>
        </w:tblPrEx>
        <w:trPr>
          <w:trHeight w:val="312" w:hRule="atLeast"/>
        </w:trPr>
        <w:tc>
          <w:tcPr>
            <w:tcW w:w="605"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274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37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836"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92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65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808"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352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88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工资福利支出</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44.13</w:t>
            </w: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商品和服务支出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3.46</w:t>
            </w: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资本性支出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基本工资</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11.12</w:t>
            </w: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2.18</w:t>
            </w: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房屋建筑物购建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30102</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津贴补贴</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3.35</w:t>
            </w: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印刷费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办公设备购置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30203</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咨询费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31003</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专用设备购置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30106</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伙食补助费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手续费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31005</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基础设施建设</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30107</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绩效工资</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19.69</w:t>
            </w: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30205</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水费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31006</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大型修缮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30108</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3.36</w:t>
            </w: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30206</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电费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0.01</w:t>
            </w: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31007</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职业年金缴费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1.68</w:t>
            </w: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邮电费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0.62</w:t>
            </w: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31008</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物资储备</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30110</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1.48</w:t>
            </w: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30208</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取暖费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土地补偿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物业管理费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31010</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安置补助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30112</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其他社会保障缴费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0.04</w:t>
            </w: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差旅费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0.11</w:t>
            </w: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住房公积金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2.92</w:t>
            </w: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因公出国（境）费用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拆迁补偿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30114</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0.48</w:t>
            </w: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30213</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维修（护）费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0.29</w:t>
            </w: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31013</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30199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其他工资福利支出</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租赁费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其他交通工具购置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对个人和家庭的补助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30215</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会议费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文物和陈列品购置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离休费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30216</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培训费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无形资产购置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30302</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退休费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公务接待费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其他资本性支出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退职（役）费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30218</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专用材料费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对企业补助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30304</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抚恤金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被装购置费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资本金注入</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30305</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生活补助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30225</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专用燃料费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31203</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30306</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救济费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30226</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劳务费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31204</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费用补贴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30307</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委托业务费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31205</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利息补贴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30308</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助学金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30228</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工会经费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0.08</w:t>
            </w: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其他对企业补助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奖励金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福利费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0.16</w:t>
            </w: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其他支出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30310</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个人农业生产补贴</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39907</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国家赔偿费用支出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代缴社会保险费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39908</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30399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30240</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税金及附加费用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经常性赠与</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30299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39910</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资本性赠与</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债务利息及费用支出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国内债务付息</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国外债务付息</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30703</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国内债务发行费用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国外债务发行费用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3345"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人员经费合计</w:t>
            </w:r>
          </w:p>
        </w:tc>
        <w:tc>
          <w:tcPr>
            <w:tcW w:w="137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spacing w:line="200" w:lineRule="exact"/>
              <w:jc w:val="right"/>
              <w:textAlignment w:val="bottom"/>
              <w:rPr>
                <w:rFonts w:hint="default" w:cs="宋体"/>
                <w:color w:val="000000"/>
                <w:sz w:val="18"/>
                <w:szCs w:val="18"/>
              </w:rPr>
            </w:pPr>
            <w:r>
              <w:rPr>
                <w:rFonts w:cs="宋体"/>
                <w:color w:val="000000"/>
                <w:sz w:val="18"/>
                <w:szCs w:val="18"/>
              </w:rPr>
              <w:t>44.13</w:t>
            </w:r>
            <w:r>
              <w:rPr>
                <w:color w:val="000000"/>
                <w:sz w:val="18"/>
              </w:rPr>
              <w:t xml:space="preserve"> </w:t>
            </w:r>
          </w:p>
        </w:tc>
        <w:tc>
          <w:tcPr>
            <w:tcW w:w="8750" w:type="dxa"/>
            <w:gridSpan w:val="5"/>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公用经费合计</w:t>
            </w:r>
          </w:p>
        </w:tc>
        <w:tc>
          <w:tcPr>
            <w:tcW w:w="18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3.46</w:t>
            </w:r>
            <w:r>
              <w:rPr>
                <w:color w:val="000000"/>
                <w:sz w:val="18"/>
              </w:rPr>
              <w:t xml:space="preserve"> </w:t>
            </w:r>
          </w:p>
        </w:tc>
      </w:tr>
    </w:tbl>
    <w:p>
      <w:pPr>
        <w:spacing w:line="280" w:lineRule="exact"/>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9"/>
        <w:tblW w:w="15378" w:type="dxa"/>
        <w:tblInd w:w="0" w:type="dxa"/>
        <w:tblLayout w:type="fixed"/>
        <w:tblCellMar>
          <w:top w:w="0" w:type="dxa"/>
          <w:left w:w="0" w:type="dxa"/>
          <w:bottom w:w="0" w:type="dxa"/>
          <w:right w:w="0" w:type="dxa"/>
        </w:tblCellMar>
      </w:tblPr>
      <w:tblGrid>
        <w:gridCol w:w="1878"/>
        <w:gridCol w:w="3125"/>
        <w:gridCol w:w="1727"/>
        <w:gridCol w:w="1690"/>
        <w:gridCol w:w="1691"/>
        <w:gridCol w:w="1691"/>
        <w:gridCol w:w="1756"/>
        <w:gridCol w:w="1820"/>
      </w:tblGrid>
      <w:tr>
        <w:tblPrEx>
          <w:tblLayout w:type="fixed"/>
          <w:tblCellMar>
            <w:top w:w="0" w:type="dxa"/>
            <w:left w:w="0" w:type="dxa"/>
            <w:bottom w:w="0" w:type="dxa"/>
            <w:right w:w="0" w:type="dxa"/>
          </w:tblCellMar>
        </w:tblPrEx>
        <w:trPr>
          <w:trHeight w:val="644" w:hRule="atLeast"/>
        </w:trPr>
        <w:tc>
          <w:tcPr>
            <w:tcW w:w="15378" w:type="dxa"/>
            <w:gridSpan w:val="8"/>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tblPrEx>
          <w:tblLayout w:type="fixed"/>
          <w:tblCellMar>
            <w:top w:w="0" w:type="dxa"/>
            <w:left w:w="0" w:type="dxa"/>
            <w:bottom w:w="0" w:type="dxa"/>
            <w:right w:w="0" w:type="dxa"/>
          </w:tblCellMar>
        </w:tblPrEx>
        <w:trPr>
          <w:trHeight w:val="329" w:hRule="atLeast"/>
        </w:trPr>
        <w:tc>
          <w:tcPr>
            <w:tcW w:w="6730" w:type="dxa"/>
            <w:gridSpan w:val="3"/>
            <w:vMerge w:val="restart"/>
            <w:tcBorders>
              <w:top w:val="nil"/>
              <w:left w:val="nil"/>
              <w:right w:val="nil"/>
            </w:tcBorders>
            <w:shd w:val="clear" w:color="auto" w:fill="auto"/>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rPr>
              <w:t>重庆市秀山土家族苗族自治县兰桥镇劳动就业和社会保障服务所</w:t>
            </w:r>
          </w:p>
        </w:tc>
        <w:tc>
          <w:tcPr>
            <w:tcW w:w="1690"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69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69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56"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820"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公开07表</w:t>
            </w:r>
          </w:p>
        </w:tc>
      </w:tr>
      <w:tr>
        <w:tblPrEx>
          <w:tblLayout w:type="fixed"/>
          <w:tblCellMar>
            <w:top w:w="0" w:type="dxa"/>
            <w:left w:w="0" w:type="dxa"/>
            <w:bottom w:w="0" w:type="dxa"/>
            <w:right w:w="0" w:type="dxa"/>
          </w:tblCellMar>
        </w:tblPrEx>
        <w:trPr>
          <w:trHeight w:val="329" w:hRule="atLeast"/>
        </w:trPr>
        <w:tc>
          <w:tcPr>
            <w:tcW w:w="6730"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690"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69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69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56"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820"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339" w:hRule="atLeast"/>
        </w:trPr>
        <w:tc>
          <w:tcPr>
            <w:tcW w:w="5003"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1727"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年初结转和结余</w:t>
            </w:r>
          </w:p>
        </w:tc>
        <w:tc>
          <w:tcPr>
            <w:tcW w:w="169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w:t>
            </w:r>
          </w:p>
        </w:tc>
        <w:tc>
          <w:tcPr>
            <w:tcW w:w="5138"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c>
          <w:tcPr>
            <w:tcW w:w="182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年末结转和结余</w:t>
            </w:r>
          </w:p>
        </w:tc>
      </w:tr>
      <w:tr>
        <w:tblPrEx>
          <w:tblLayout w:type="fixed"/>
          <w:tblCellMar>
            <w:top w:w="0" w:type="dxa"/>
            <w:left w:w="0" w:type="dxa"/>
            <w:bottom w:w="0" w:type="dxa"/>
            <w:right w:w="0" w:type="dxa"/>
          </w:tblCellMar>
        </w:tblPrEx>
        <w:trPr>
          <w:trHeight w:val="335" w:hRule="atLeast"/>
        </w:trPr>
        <w:tc>
          <w:tcPr>
            <w:tcW w:w="1878"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12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72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9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9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69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75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182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5" w:hRule="atLeast"/>
        </w:trPr>
        <w:tc>
          <w:tcPr>
            <w:tcW w:w="187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12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2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9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9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9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5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82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645" w:hRule="atLeast"/>
        </w:trPr>
        <w:tc>
          <w:tcPr>
            <w:tcW w:w="187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12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2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9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9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9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5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82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9" w:hRule="atLeast"/>
        </w:trPr>
        <w:tc>
          <w:tcPr>
            <w:tcW w:w="5003"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72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169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16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16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175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18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r>
    </w:tbl>
    <w:p>
      <w:pPr>
        <w:rPr>
          <w:rFonts w:hint="default" w:cs="宋体"/>
          <w:sz w:val="21"/>
          <w:szCs w:val="21"/>
        </w:rPr>
      </w:pPr>
      <w:r>
        <w:rPr>
          <w:rFonts w:cs="宋体"/>
          <w:sz w:val="20"/>
          <w:szCs w:val="20"/>
        </w:rPr>
        <w:t>备注：本表反映单位本年度政府性基金预算财政拨款收入支出及结转和结余情况。本单位无政府性基金收支，故本表无数据。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tbl>
      <w:tblPr>
        <w:tblStyle w:val="9"/>
        <w:tblW w:w="15378" w:type="dxa"/>
        <w:tblInd w:w="0" w:type="dxa"/>
        <w:tblLayout w:type="fixed"/>
        <w:tblCellMar>
          <w:top w:w="0" w:type="dxa"/>
          <w:left w:w="0" w:type="dxa"/>
          <w:bottom w:w="0" w:type="dxa"/>
          <w:right w:w="0" w:type="dxa"/>
        </w:tblCellMar>
      </w:tblPr>
      <w:tblGrid>
        <w:gridCol w:w="1882"/>
        <w:gridCol w:w="3060"/>
        <w:gridCol w:w="3276"/>
        <w:gridCol w:w="200"/>
        <w:gridCol w:w="3475"/>
        <w:gridCol w:w="77"/>
        <w:gridCol w:w="3408"/>
      </w:tblGrid>
      <w:tr>
        <w:tblPrEx>
          <w:tblLayout w:type="fixed"/>
          <w:tblCellMar>
            <w:top w:w="0" w:type="dxa"/>
            <w:left w:w="0" w:type="dxa"/>
            <w:bottom w:w="0" w:type="dxa"/>
            <w:right w:w="0" w:type="dxa"/>
          </w:tblCellMar>
        </w:tblPrEx>
        <w:trPr>
          <w:trHeight w:val="650" w:hRule="atLeast"/>
        </w:trPr>
        <w:tc>
          <w:tcPr>
            <w:tcW w:w="15378" w:type="dxa"/>
            <w:gridSpan w:val="7"/>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tblPrEx>
          <w:tblLayout w:type="fixed"/>
          <w:tblCellMar>
            <w:top w:w="0" w:type="dxa"/>
            <w:left w:w="0" w:type="dxa"/>
            <w:bottom w:w="0" w:type="dxa"/>
            <w:right w:w="0" w:type="dxa"/>
          </w:tblCellMar>
        </w:tblPrEx>
        <w:trPr>
          <w:trHeight w:val="332" w:hRule="atLeast"/>
        </w:trPr>
        <w:tc>
          <w:tcPr>
            <w:tcW w:w="8218" w:type="dxa"/>
            <w:gridSpan w:val="3"/>
            <w:vMerge w:val="restart"/>
            <w:tcBorders>
              <w:top w:val="nil"/>
              <w:left w:val="nil"/>
              <w:right w:val="nil"/>
            </w:tcBorders>
            <w:shd w:val="clear" w:color="auto" w:fill="auto"/>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rPr>
              <w:t>重庆市秀山土家族苗族自治县兰桥镇劳动就业和社会保障服务所</w:t>
            </w:r>
          </w:p>
        </w:tc>
        <w:tc>
          <w:tcPr>
            <w:tcW w:w="3752" w:type="dxa"/>
            <w:gridSpan w:val="3"/>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408"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公开08表</w:t>
            </w:r>
          </w:p>
        </w:tc>
      </w:tr>
      <w:tr>
        <w:tblPrEx>
          <w:tblLayout w:type="fixed"/>
          <w:tblCellMar>
            <w:top w:w="0" w:type="dxa"/>
            <w:left w:w="0" w:type="dxa"/>
            <w:bottom w:w="0" w:type="dxa"/>
            <w:right w:w="0" w:type="dxa"/>
          </w:tblCellMar>
        </w:tblPrEx>
        <w:trPr>
          <w:trHeight w:val="332" w:hRule="atLeast"/>
        </w:trPr>
        <w:tc>
          <w:tcPr>
            <w:tcW w:w="8218"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752" w:type="dxa"/>
            <w:gridSpan w:val="3"/>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408"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422" w:hRule="atLeast"/>
        </w:trPr>
        <w:tc>
          <w:tcPr>
            <w:tcW w:w="4942"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0436" w:type="dxa"/>
            <w:gridSpan w:val="5"/>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本年支出</w:t>
            </w:r>
          </w:p>
        </w:tc>
      </w:tr>
      <w:tr>
        <w:tblPrEx>
          <w:tblLayout w:type="fixed"/>
          <w:tblCellMar>
            <w:top w:w="0" w:type="dxa"/>
            <w:left w:w="0" w:type="dxa"/>
            <w:bottom w:w="0" w:type="dxa"/>
            <w:right w:w="0" w:type="dxa"/>
          </w:tblCellMar>
        </w:tblPrEx>
        <w:trPr>
          <w:trHeight w:val="339" w:hRule="atLeast"/>
        </w:trPr>
        <w:tc>
          <w:tcPr>
            <w:tcW w:w="1882"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06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科目名称</w:t>
            </w:r>
          </w:p>
        </w:tc>
        <w:tc>
          <w:tcPr>
            <w:tcW w:w="3476" w:type="dxa"/>
            <w:gridSpan w:val="2"/>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475"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3485" w:type="dxa"/>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Layout w:type="fixed"/>
          <w:tblCellMar>
            <w:top w:w="0" w:type="dxa"/>
            <w:left w:w="0" w:type="dxa"/>
            <w:bottom w:w="0" w:type="dxa"/>
            <w:right w:w="0" w:type="dxa"/>
          </w:tblCellMar>
        </w:tblPrEx>
        <w:trPr>
          <w:trHeight w:val="339" w:hRule="atLeast"/>
        </w:trPr>
        <w:tc>
          <w:tcPr>
            <w:tcW w:w="18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0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7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85"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9" w:hRule="atLeast"/>
        </w:trPr>
        <w:tc>
          <w:tcPr>
            <w:tcW w:w="18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0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7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85"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26" w:hRule="atLeast"/>
        </w:trPr>
        <w:tc>
          <w:tcPr>
            <w:tcW w:w="18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0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7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85"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611" w:hRule="atLeast"/>
        </w:trPr>
        <w:tc>
          <w:tcPr>
            <w:tcW w:w="4942"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476"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34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b/>
                <w:color w:val="000000"/>
                <w:sz w:val="20"/>
                <w:szCs w:val="20"/>
              </w:rPr>
            </w:pPr>
          </w:p>
        </w:tc>
        <w:tc>
          <w:tcPr>
            <w:tcW w:w="348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r>
    </w:tbl>
    <w:p>
      <w:pPr>
        <w:rPr>
          <w:rFonts w:hint="default"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r>
        <w:rPr>
          <w:rFonts w:hint="default" w:cs="宋体"/>
          <w:sz w:val="21"/>
          <w:szCs w:val="21"/>
        </w:rPr>
        <w:br w:type="page"/>
      </w:r>
    </w:p>
    <w:tbl>
      <w:tblPr>
        <w:tblStyle w:val="9"/>
        <w:tblW w:w="15000" w:type="dxa"/>
        <w:tblInd w:w="0" w:type="dxa"/>
        <w:tblLayout w:type="fixed"/>
        <w:tblCellMar>
          <w:top w:w="0" w:type="dxa"/>
          <w:left w:w="170" w:type="dxa"/>
          <w:bottom w:w="0" w:type="dxa"/>
          <w:right w:w="170" w:type="dxa"/>
        </w:tblCellMar>
      </w:tblPr>
      <w:tblGrid>
        <w:gridCol w:w="4041"/>
        <w:gridCol w:w="2166"/>
        <w:gridCol w:w="2115"/>
        <w:gridCol w:w="4524"/>
        <w:gridCol w:w="2154"/>
      </w:tblGrid>
      <w:tr>
        <w:tblPrEx>
          <w:tblLayout w:type="fixed"/>
          <w:tblCellMar>
            <w:top w:w="0" w:type="dxa"/>
            <w:left w:w="170" w:type="dxa"/>
            <w:bottom w:w="0" w:type="dxa"/>
            <w:right w:w="170" w:type="dxa"/>
          </w:tblCellMar>
        </w:tblPrEx>
        <w:trPr>
          <w:trHeight w:val="343" w:hRule="atLeast"/>
        </w:trPr>
        <w:tc>
          <w:tcPr>
            <w:tcW w:w="15000" w:type="dxa"/>
            <w:gridSpan w:val="5"/>
            <w:tcBorders>
              <w:top w:val="nil"/>
              <w:left w:val="nil"/>
              <w:bottom w:val="nil"/>
              <w:right w:val="nil"/>
            </w:tcBorders>
            <w:shd w:val="clear" w:color="auto" w:fill="auto"/>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机构运行信息表</w:t>
            </w:r>
          </w:p>
        </w:tc>
      </w:tr>
      <w:tr>
        <w:tblPrEx>
          <w:tblLayout w:type="fixed"/>
          <w:tblCellMar>
            <w:top w:w="0" w:type="dxa"/>
            <w:left w:w="170" w:type="dxa"/>
            <w:bottom w:w="0" w:type="dxa"/>
            <w:right w:w="170" w:type="dxa"/>
          </w:tblCellMar>
        </w:tblPrEx>
        <w:trPr>
          <w:trHeight w:val="244" w:hRule="atLeast"/>
        </w:trPr>
        <w:tc>
          <w:tcPr>
            <w:tcW w:w="4041" w:type="dxa"/>
            <w:tcBorders>
              <w:top w:val="nil"/>
              <w:left w:val="nil"/>
              <w:bottom w:val="nil"/>
              <w:right w:val="nil"/>
            </w:tcBorders>
            <w:shd w:val="clear" w:color="auto" w:fill="auto"/>
            <w:tcMar>
              <w:top w:w="15" w:type="dxa"/>
              <w:left w:w="15" w:type="dxa"/>
              <w:right w:w="15" w:type="dxa"/>
            </w:tcMar>
            <w:vAlign w:val="bottom"/>
          </w:tcPr>
          <w:p>
            <w:pPr>
              <w:spacing w:line="280" w:lineRule="exact"/>
              <w:rPr>
                <w:rFonts w:hint="default" w:cs="宋体"/>
                <w:color w:val="000000"/>
                <w:sz w:val="20"/>
                <w:szCs w:val="20"/>
              </w:rPr>
            </w:pPr>
          </w:p>
        </w:tc>
        <w:tc>
          <w:tcPr>
            <w:tcW w:w="2166" w:type="dxa"/>
            <w:tcBorders>
              <w:top w:val="nil"/>
              <w:left w:val="nil"/>
              <w:bottom w:val="nil"/>
              <w:right w:val="nil"/>
            </w:tcBorders>
            <w:shd w:val="clear" w:color="auto" w:fill="auto"/>
            <w:tcMar>
              <w:top w:w="15" w:type="dxa"/>
              <w:left w:w="15" w:type="dxa"/>
              <w:right w:w="15" w:type="dxa"/>
            </w:tcMar>
            <w:vAlign w:val="bottom"/>
          </w:tcPr>
          <w:p>
            <w:pPr>
              <w:spacing w:line="280" w:lineRule="exact"/>
              <w:jc w:val="center"/>
              <w:rPr>
                <w:rFonts w:hint="default" w:cs="宋体"/>
                <w:color w:val="000000"/>
                <w:sz w:val="20"/>
                <w:szCs w:val="20"/>
              </w:rPr>
            </w:pPr>
          </w:p>
        </w:tc>
        <w:tc>
          <w:tcPr>
            <w:tcW w:w="2115"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rPr>
                <w:rFonts w:hint="default" w:cs="宋体"/>
                <w:color w:val="000000"/>
                <w:sz w:val="20"/>
                <w:szCs w:val="20"/>
              </w:rPr>
            </w:pPr>
          </w:p>
        </w:tc>
        <w:tc>
          <w:tcPr>
            <w:tcW w:w="4524" w:type="dxa"/>
            <w:tcBorders>
              <w:top w:val="nil"/>
              <w:left w:val="nil"/>
              <w:bottom w:val="nil"/>
              <w:right w:val="nil"/>
            </w:tcBorders>
            <w:shd w:val="clear" w:color="auto" w:fill="auto"/>
            <w:tcMar>
              <w:top w:w="15" w:type="dxa"/>
              <w:left w:w="15" w:type="dxa"/>
              <w:right w:w="15" w:type="dxa"/>
            </w:tcMar>
            <w:vAlign w:val="bottom"/>
          </w:tcPr>
          <w:p>
            <w:pPr>
              <w:spacing w:line="280" w:lineRule="exact"/>
              <w:rPr>
                <w:rFonts w:hint="default" w:cs="宋体"/>
                <w:color w:val="000000"/>
                <w:sz w:val="20"/>
                <w:szCs w:val="20"/>
              </w:rPr>
            </w:pPr>
          </w:p>
        </w:tc>
        <w:tc>
          <w:tcPr>
            <w:tcW w:w="2154"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公开09表</w:t>
            </w:r>
          </w:p>
        </w:tc>
      </w:tr>
      <w:tr>
        <w:tblPrEx>
          <w:tblLayout w:type="fixed"/>
          <w:tblCellMar>
            <w:top w:w="0" w:type="dxa"/>
            <w:left w:w="170" w:type="dxa"/>
            <w:bottom w:w="0" w:type="dxa"/>
            <w:right w:w="170" w:type="dxa"/>
          </w:tblCellMar>
        </w:tblPrEx>
        <w:trPr>
          <w:trHeight w:val="244" w:hRule="atLeast"/>
        </w:trPr>
        <w:tc>
          <w:tcPr>
            <w:tcW w:w="6207" w:type="dxa"/>
            <w:gridSpan w:val="2"/>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rPr>
              <w:t>重庆市秀山土家族苗族自治县兰桥镇劳动就业和社会保障服务所</w:t>
            </w:r>
          </w:p>
        </w:tc>
        <w:tc>
          <w:tcPr>
            <w:tcW w:w="2115" w:type="dxa"/>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jc w:val="right"/>
              <w:rPr>
                <w:rFonts w:hint="default" w:cs="宋体"/>
                <w:color w:val="000000"/>
                <w:sz w:val="20"/>
                <w:szCs w:val="20"/>
              </w:rPr>
            </w:pPr>
          </w:p>
        </w:tc>
        <w:tc>
          <w:tcPr>
            <w:tcW w:w="4524" w:type="dxa"/>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rPr>
                <w:rFonts w:hint="default" w:cs="宋体"/>
                <w:color w:val="000000"/>
                <w:sz w:val="20"/>
                <w:szCs w:val="20"/>
              </w:rPr>
            </w:pPr>
          </w:p>
        </w:tc>
        <w:tc>
          <w:tcPr>
            <w:tcW w:w="2154" w:type="dxa"/>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170" w:type="dxa"/>
            <w:bottom w:w="0" w:type="dxa"/>
            <w:right w:w="170" w:type="dxa"/>
          </w:tblCellMar>
        </w:tblPrEx>
        <w:trPr>
          <w:trHeight w:val="28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项  目</w:t>
            </w:r>
          </w:p>
        </w:tc>
        <w:tc>
          <w:tcPr>
            <w:tcW w:w="2166"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预算数</w:t>
            </w:r>
          </w:p>
        </w:tc>
        <w:tc>
          <w:tcPr>
            <w:tcW w:w="2115"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决算数</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项  目</w:t>
            </w:r>
          </w:p>
        </w:tc>
        <w:tc>
          <w:tcPr>
            <w:tcW w:w="215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决算数</w:t>
            </w:r>
          </w:p>
        </w:tc>
      </w:tr>
      <w:tr>
        <w:tblPrEx>
          <w:tblLayout w:type="fixed"/>
          <w:tblCellMar>
            <w:top w:w="0" w:type="dxa"/>
            <w:left w:w="170" w:type="dxa"/>
            <w:bottom w:w="0" w:type="dxa"/>
            <w:right w:w="170" w:type="dxa"/>
          </w:tblCellMar>
        </w:tblPrEx>
        <w:trPr>
          <w:trHeight w:val="28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一、“三公”经费支出</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四、机关运行经费</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（一）支出合计</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（一）行政单位</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1．因公出国（境）费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（二）参照公务员法管理事业单位</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2．公务用车购置及运行维护费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五、资产信息</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（1）公务用车购置费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（一）车辆数合计（辆）</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（2）公务用车运行维护费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1．副部（省）级及以上领导用车</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3．公务接待费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2．主要领导干部用车</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（1）国内接待费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3．机要通信用车</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其中：外事接待费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4．应急保障用车</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（2）国（境）外接待费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5．执法执勤用车</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（二）相关统计数</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6．特种专业技术用车</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1．因公出国（境）团组数（个）</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7．离退休干部用车</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2．因公出国（境）人次数（人）</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8．其他用车</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3．公务用车购置数（辆）</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（二）单价100万元（含）以上设备（不含车辆）</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4．公务用车保有量（辆）</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六、政府采购支出信息</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5．国内公务接待批次（个）</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（一）政府采购支出合计</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其中：外事接待批次（个）</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1．政府采购货物支出</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6．国内公务接待人次（人）</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2．政府采购工程支出</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其中：外事接待人次（人）</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3．政府采购服务支出</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7．国（境）外公务接待批次（个）</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（二）政府采购授予中小企业合同金额</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8．国（境）外公务接待人次（人）</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其中：授予小微企业合同金额</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Layout w:type="fixed"/>
          <w:tblCellMar>
            <w:top w:w="0" w:type="dxa"/>
            <w:left w:w="170" w:type="dxa"/>
            <w:bottom w:w="0" w:type="dxa"/>
            <w:right w:w="170" w:type="dxa"/>
          </w:tblCellMar>
        </w:tblPrEx>
        <w:trPr>
          <w:trHeight w:val="286"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二、会议费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rPr>
                <w:rFonts w:hint="default" w:cs="宋体"/>
                <w:color w:val="000000"/>
                <w:sz w:val="16"/>
                <w:szCs w:val="16"/>
              </w:rPr>
            </w:pP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rPr>
                <w:rFonts w:hint="default" w:cs="宋体"/>
                <w:color w:val="000000"/>
                <w:sz w:val="16"/>
                <w:szCs w:val="16"/>
              </w:rPr>
            </w:pPr>
          </w:p>
        </w:tc>
      </w:tr>
      <w:tr>
        <w:tblPrEx>
          <w:tblLayout w:type="fixed"/>
          <w:tblCellMar>
            <w:top w:w="0" w:type="dxa"/>
            <w:left w:w="170" w:type="dxa"/>
            <w:bottom w:w="0" w:type="dxa"/>
            <w:right w:w="170" w:type="dxa"/>
          </w:tblCellMar>
        </w:tblPrEx>
        <w:trPr>
          <w:trHeight w:val="389"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三、培训费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rPr>
                <w:rFonts w:hint="default" w:cs="宋体"/>
                <w:color w:val="000000"/>
                <w:sz w:val="16"/>
                <w:szCs w:val="16"/>
              </w:rPr>
            </w:pP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rPr>
                <w:rFonts w:hint="default" w:cs="宋体"/>
                <w:color w:val="000000"/>
                <w:sz w:val="16"/>
                <w:szCs w:val="16"/>
              </w:rPr>
            </w:pPr>
          </w:p>
        </w:tc>
      </w:tr>
    </w:tbl>
    <w:p>
      <w:pPr>
        <w:rPr>
          <w:rFonts w:hint="default" w:cs="宋体"/>
          <w:sz w:val="21"/>
          <w:szCs w:val="21"/>
        </w:rPr>
      </w:pPr>
      <w:r>
        <w:rPr>
          <w:rFonts w:cs="宋体"/>
          <w:sz w:val="20"/>
          <w:szCs w:val="20"/>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sectPr>
      <w:headerReference r:id="rId4" w:type="default"/>
      <w:footerReference r:id="rId5" w:type="default"/>
      <w:pgSz w:w="16839" w:h="11907"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default"/>
      </w:rPr>
    </w:pPr>
    <w:r>
      <w:rPr>
        <w:rFonts w:hint="default"/>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3"/>
                            <w:rPr>
                              <w:rFonts w:hint="default"/>
                            </w:rPr>
                          </w:pPr>
                          <w:r>
                            <w:fldChar w:fldCharType="begin"/>
                          </w:r>
                          <w:r>
                            <w:instrText xml:space="preserve"> PAGE  \* MERGEFORMAT </w:instrText>
                          </w:r>
                          <w:r>
                            <w:fldChar w:fldCharType="separate"/>
                          </w:r>
                          <w:r>
                            <w:rPr>
                              <w:rFonts w:hint="default"/>
                            </w:rPr>
                            <w:t>- 1 -</w:t>
                          </w:r>
                          <w:r>
                            <w:fldChar w:fldCharType="end"/>
                          </w:r>
                        </w:p>
                      </w:txbxContent>
                    </wps:txbx>
                    <wps:bodyPr wrap="none" lIns="0" tIns="0" rIns="0" bIns="0" upright="1">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CzSVju&#10;0AAAAAUBAAAPAAAAAAAAAAEAIAAAACIAAABkcnMvZG93bnJldi54bWxQSwECFAAUAAAACACHTuJA&#10;Sh40NrcBAABUAwAADgAAAAAAAAABACAAAAAfAQAAZHJzL2Uyb0RvYy54bWxQSwUGAAAAAAYABgBZ&#10;AQAASAUAAAAA&#10;">
              <v:fill on="f" focussize="0,0"/>
              <v:stroke on="f" weight="0.5pt"/>
              <v:imagedata o:title=""/>
              <o:lock v:ext="edit" aspectratio="f"/>
              <v:textbox inset="0mm,0mm,0mm,0mm" style="mso-fit-shape-to-text:t;">
                <w:txbxContent>
                  <w:p>
                    <w:pPr>
                      <w:pStyle w:val="3"/>
                      <w:rPr>
                        <w:rFonts w:hint="default"/>
                      </w:rPr>
                    </w:pPr>
                    <w:r>
                      <w:fldChar w:fldCharType="begin"/>
                    </w:r>
                    <w:r>
                      <w:instrText xml:space="preserve"> PAGE  \* MERGEFORMAT </w:instrText>
                    </w:r>
                    <w:r>
                      <w:fldChar w:fldCharType="separate"/>
                    </w:r>
                    <w:r>
                      <w:rPr>
                        <w:rFonts w:hint="default"/>
                      </w:rPr>
                      <w:t>- 1 -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rPr>
        <w:rFonts w:hint="default"/>
      </w:rPr>
    </w:pPr>
    <w:r>
      <w:rPr>
        <w:rFonts w:hint="default"/>
      </w:rP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2"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10 -</w:t>
                          </w:r>
                          <w:r>
                            <w:fldChar w:fldCharType="end"/>
                          </w:r>
                          <w:r>
                            <w:t xml:space="preserve"> </w:t>
                          </w:r>
                        </w:p>
                      </w:txbxContent>
                    </wps:txbx>
                    <wps:bodyPr wrap="none" lIns="0" tIns="0" rIns="0" bIns="0" upright="1">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s0lY&#10;7tAAAAAFAQAADwAAAAAAAAABACAAAAAiAAAAZHJzL2Rvd25yZXYueG1sUEsBAhQAFAAAAAgAh07i&#10;QP8+P2m4AQAAVAMAAA4AAAAAAAAAAQAgAAAAHwEAAGRycy9lMm9Eb2MueG1sUEsFBgAAAAAGAAYA&#10;WQEAAEkFAAAAAA==&#10;">
              <v:fill on="f" focussize="0,0"/>
              <v:stroke on="f" weight="0.5pt"/>
              <v:imagedata o:title=""/>
              <o:lock v:ext="edit" aspectratio="f"/>
              <v:textbox inset="0mm,0mm,0mm,0mm" style="mso-fit-shape-to-text:t;">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10 -</w:t>
                    </w:r>
                    <w:r>
                      <w:fldChar w:fldCharType="end"/>
                    </w:r>
                    <w:r>
                      <w:t xml:space="preserve"> </w:t>
                    </w:r>
                  </w:p>
                </w:txbxContent>
              </v:textbox>
            </v:shape>
          </w:pict>
        </mc:Fallback>
      </mc:AlternateContent>
    </w:r>
    <w:r>
      <w:rPr>
        <w:rFonts w:hint="default"/>
      </w:rP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 name="文本框 3"/>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wps:spPr>
                    <wps:txbx>
                      <w:txbxContent>
                        <w:p>
                          <w:pPr>
                            <w:pStyle w:val="3"/>
                            <w:jc w:val="both"/>
                            <w:rPr>
                              <w:rFonts w:hint="default" w:cs="宋体"/>
                            </w:rPr>
                          </w:pPr>
                          <w:r>
                            <w:rPr>
                              <w:rFonts w:cs="宋体"/>
                            </w:rPr>
                            <w:t>— 27.1 —</w:t>
                          </w:r>
                        </w:p>
                      </w:txbxContent>
                    </wps:txbx>
                    <wps:bodyPr wrap="none" lIns="0" tIns="0" rIns="0" bIns="0" upright="1"/>
                  </wps:wsp>
                </a:graphicData>
              </a:graphic>
            </wp:anchor>
          </w:drawing>
        </mc:Choice>
        <mc:Fallback>
          <w:pict>
            <v:shape id="文本框 3"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B4DVRU&#10;2AAAAAoBAAAPAAAAAAAAAAEAIAAAACIAAABkcnMvZG93bnJldi54bWxQSwECFAAUAAAACACHTuJA&#10;piUkFa8BAAA5AwAADgAAAAAAAAABACAAAAAnAQAAZHJzL2Uyb0RvYy54bWxQSwUGAAAAAAYABgBZ&#10;AQAASAUAAAAA&#10;">
              <v:fill on="f" focussize="0,0"/>
              <v:stroke on="f" weight="0.5pt"/>
              <v:imagedata o:title=""/>
              <o:lock v:ext="edit" aspectratio="f"/>
              <v:textbox inset="0mm,0mm,0mm,0mm">
                <w:txbxContent>
                  <w:p>
                    <w:pPr>
                      <w:pStyle w:val="3"/>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6"/>
  <w:embedSystemFonts/>
  <w:bordersDoNotSurroundHeader w:val="1"/>
  <w:bordersDoNotSurroundFooter w:val="1"/>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wYWQ1YTE0ZDA0NjgxYzlhMjZlMDExNTFmMWI3MmEifQ=="/>
  </w:docVars>
  <w:rsids>
    <w:rsidRoot w:val="00B03CCD"/>
    <w:rsid w:val="0002146A"/>
    <w:rsid w:val="000D391E"/>
    <w:rsid w:val="001340BC"/>
    <w:rsid w:val="001407FF"/>
    <w:rsid w:val="00184DF8"/>
    <w:rsid w:val="001D3BB7"/>
    <w:rsid w:val="002B1E7D"/>
    <w:rsid w:val="002B254B"/>
    <w:rsid w:val="00466C9B"/>
    <w:rsid w:val="00550ABE"/>
    <w:rsid w:val="0056276E"/>
    <w:rsid w:val="00770383"/>
    <w:rsid w:val="007819D4"/>
    <w:rsid w:val="007B419D"/>
    <w:rsid w:val="007B7C4B"/>
    <w:rsid w:val="007D3D39"/>
    <w:rsid w:val="00994AF7"/>
    <w:rsid w:val="009B67B8"/>
    <w:rsid w:val="009D2B67"/>
    <w:rsid w:val="009E5927"/>
    <w:rsid w:val="00A566F9"/>
    <w:rsid w:val="00A648B9"/>
    <w:rsid w:val="00A658F0"/>
    <w:rsid w:val="00AF2751"/>
    <w:rsid w:val="00B03CCD"/>
    <w:rsid w:val="00B549C9"/>
    <w:rsid w:val="00BE2B89"/>
    <w:rsid w:val="00C10E9E"/>
    <w:rsid w:val="00C20C3E"/>
    <w:rsid w:val="00EF3D58"/>
    <w:rsid w:val="00F73F90"/>
    <w:rsid w:val="00FA3D8E"/>
    <w:rsid w:val="01474EBF"/>
    <w:rsid w:val="01F3521E"/>
    <w:rsid w:val="03B87EA0"/>
    <w:rsid w:val="03E3214F"/>
    <w:rsid w:val="044C50BA"/>
    <w:rsid w:val="05BC6D49"/>
    <w:rsid w:val="06194FF1"/>
    <w:rsid w:val="06A2550B"/>
    <w:rsid w:val="06F80EE2"/>
    <w:rsid w:val="07001CCA"/>
    <w:rsid w:val="075678DB"/>
    <w:rsid w:val="079D7CC7"/>
    <w:rsid w:val="08051BCA"/>
    <w:rsid w:val="086C12F4"/>
    <w:rsid w:val="08705944"/>
    <w:rsid w:val="08BA052C"/>
    <w:rsid w:val="08DB07BA"/>
    <w:rsid w:val="0969353F"/>
    <w:rsid w:val="098305D0"/>
    <w:rsid w:val="0A3317EA"/>
    <w:rsid w:val="0A5C4B69"/>
    <w:rsid w:val="0A86124A"/>
    <w:rsid w:val="0AB54CC0"/>
    <w:rsid w:val="0B9335CE"/>
    <w:rsid w:val="0BF2311A"/>
    <w:rsid w:val="0C7927C4"/>
    <w:rsid w:val="0C9B098C"/>
    <w:rsid w:val="0D673E11"/>
    <w:rsid w:val="0DDA54E4"/>
    <w:rsid w:val="0E3A5F83"/>
    <w:rsid w:val="0F7A7514"/>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63A6CEE"/>
    <w:rsid w:val="173708E3"/>
    <w:rsid w:val="17C374FC"/>
    <w:rsid w:val="182E4AB6"/>
    <w:rsid w:val="189079DC"/>
    <w:rsid w:val="189B0D0B"/>
    <w:rsid w:val="18B43F7C"/>
    <w:rsid w:val="194A1770"/>
    <w:rsid w:val="19B906A4"/>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4B92327"/>
    <w:rsid w:val="24C14514"/>
    <w:rsid w:val="2533755C"/>
    <w:rsid w:val="25791755"/>
    <w:rsid w:val="26396DF4"/>
    <w:rsid w:val="27167136"/>
    <w:rsid w:val="271B442C"/>
    <w:rsid w:val="27B23302"/>
    <w:rsid w:val="29310A5F"/>
    <w:rsid w:val="29C37A35"/>
    <w:rsid w:val="2A076083"/>
    <w:rsid w:val="2A73162E"/>
    <w:rsid w:val="2B167953"/>
    <w:rsid w:val="2B200583"/>
    <w:rsid w:val="2B8209DE"/>
    <w:rsid w:val="2C636760"/>
    <w:rsid w:val="2C6762A3"/>
    <w:rsid w:val="2FCA4B37"/>
    <w:rsid w:val="2FE029D7"/>
    <w:rsid w:val="2FF06E00"/>
    <w:rsid w:val="30586FEC"/>
    <w:rsid w:val="315F0B22"/>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ADD7F09"/>
    <w:rsid w:val="3B1705E5"/>
    <w:rsid w:val="3B18334B"/>
    <w:rsid w:val="3B36794F"/>
    <w:rsid w:val="3B6F6EE0"/>
    <w:rsid w:val="3C566AD6"/>
    <w:rsid w:val="3C594871"/>
    <w:rsid w:val="3C6A5B02"/>
    <w:rsid w:val="3D2757A1"/>
    <w:rsid w:val="3D3D4FC4"/>
    <w:rsid w:val="3DDF3AB1"/>
    <w:rsid w:val="3E1D0952"/>
    <w:rsid w:val="3E42660A"/>
    <w:rsid w:val="3E7555B1"/>
    <w:rsid w:val="3E787ED9"/>
    <w:rsid w:val="3F032E93"/>
    <w:rsid w:val="3F0527E5"/>
    <w:rsid w:val="3F694D83"/>
    <w:rsid w:val="3F885DCC"/>
    <w:rsid w:val="3FCD675E"/>
    <w:rsid w:val="4004000C"/>
    <w:rsid w:val="40BD5482"/>
    <w:rsid w:val="411B6CE5"/>
    <w:rsid w:val="412070D7"/>
    <w:rsid w:val="41314E40"/>
    <w:rsid w:val="41E0734B"/>
    <w:rsid w:val="426C1EA8"/>
    <w:rsid w:val="42736402"/>
    <w:rsid w:val="42E86A87"/>
    <w:rsid w:val="43307B09"/>
    <w:rsid w:val="439A3EB9"/>
    <w:rsid w:val="43BB152F"/>
    <w:rsid w:val="44C37687"/>
    <w:rsid w:val="45CB699A"/>
    <w:rsid w:val="465B470D"/>
    <w:rsid w:val="469D6AD4"/>
    <w:rsid w:val="471E6C84"/>
    <w:rsid w:val="4748792B"/>
    <w:rsid w:val="475D719D"/>
    <w:rsid w:val="47674801"/>
    <w:rsid w:val="48225EF7"/>
    <w:rsid w:val="488F422B"/>
    <w:rsid w:val="48E36915"/>
    <w:rsid w:val="48EB6572"/>
    <w:rsid w:val="495C4A24"/>
    <w:rsid w:val="497135DF"/>
    <w:rsid w:val="4A263DF2"/>
    <w:rsid w:val="4A6F6675"/>
    <w:rsid w:val="4B135857"/>
    <w:rsid w:val="4B7951CB"/>
    <w:rsid w:val="4B7C315C"/>
    <w:rsid w:val="4DAC4ACA"/>
    <w:rsid w:val="4DBE01D2"/>
    <w:rsid w:val="4F0C6BA3"/>
    <w:rsid w:val="4F186D58"/>
    <w:rsid w:val="50F06B6E"/>
    <w:rsid w:val="51D21804"/>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829E0"/>
    <w:rsid w:val="555A3CBC"/>
    <w:rsid w:val="5582012B"/>
    <w:rsid w:val="558E4E05"/>
    <w:rsid w:val="55BE2E85"/>
    <w:rsid w:val="56530F5D"/>
    <w:rsid w:val="567700D3"/>
    <w:rsid w:val="56FF7E9E"/>
    <w:rsid w:val="578867FC"/>
    <w:rsid w:val="5842572D"/>
    <w:rsid w:val="5A3B59D6"/>
    <w:rsid w:val="5AD134D8"/>
    <w:rsid w:val="5C263CE4"/>
    <w:rsid w:val="5C5D2777"/>
    <w:rsid w:val="5CF66BF3"/>
    <w:rsid w:val="5D290C69"/>
    <w:rsid w:val="5F2D4A41"/>
    <w:rsid w:val="60C74F6C"/>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EE5541"/>
    <w:rsid w:val="67924660"/>
    <w:rsid w:val="68407834"/>
    <w:rsid w:val="6883293E"/>
    <w:rsid w:val="688412AD"/>
    <w:rsid w:val="68EB1B71"/>
    <w:rsid w:val="6A6C7940"/>
    <w:rsid w:val="6AAD2300"/>
    <w:rsid w:val="6B474EF5"/>
    <w:rsid w:val="6C0A5AC5"/>
    <w:rsid w:val="6C560CAE"/>
    <w:rsid w:val="6C576495"/>
    <w:rsid w:val="6D903FF5"/>
    <w:rsid w:val="6DA955B8"/>
    <w:rsid w:val="6DE346AB"/>
    <w:rsid w:val="6DE5391A"/>
    <w:rsid w:val="6EFD1324"/>
    <w:rsid w:val="6F5A53AC"/>
    <w:rsid w:val="6FAC003D"/>
    <w:rsid w:val="6FE55E12"/>
    <w:rsid w:val="6FFB2E76"/>
    <w:rsid w:val="708F6F7F"/>
    <w:rsid w:val="70D94BD3"/>
    <w:rsid w:val="71C34D91"/>
    <w:rsid w:val="72DB435C"/>
    <w:rsid w:val="72E2613A"/>
    <w:rsid w:val="72F771F4"/>
    <w:rsid w:val="73934AD2"/>
    <w:rsid w:val="750837F0"/>
    <w:rsid w:val="754758CF"/>
    <w:rsid w:val="764F62AB"/>
    <w:rsid w:val="765C45EC"/>
    <w:rsid w:val="768A7619"/>
    <w:rsid w:val="772E1EBA"/>
    <w:rsid w:val="781926BC"/>
    <w:rsid w:val="796D60A4"/>
    <w:rsid w:val="79A031D5"/>
    <w:rsid w:val="7A1525F7"/>
    <w:rsid w:val="7B420052"/>
    <w:rsid w:val="7BD06A28"/>
    <w:rsid w:val="7C3A7C0B"/>
    <w:rsid w:val="7C5248E4"/>
    <w:rsid w:val="7C566698"/>
    <w:rsid w:val="7C5866A3"/>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7">
    <w:name w:val="Default Paragraph Font"/>
    <w:semiHidden/>
    <w:unhideWhenUsed/>
    <w:uiPriority w:val="1"/>
  </w:style>
  <w:style w:type="table" w:default="1" w:styleId="9">
    <w:name w:val="Normal Table"/>
    <w:semiHidden/>
    <w:unhideWhenUsed/>
    <w:uiPriority w:val="99"/>
    <w:tblPr>
      <w:tblLayout w:type="fixed"/>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character" w:styleId="8">
    <w:name w:val="Strong"/>
    <w:qFormat/>
    <w:uiPriority w:val="0"/>
    <w:rPr>
      <w:b/>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1">
    <w:name w:val="列出段落1"/>
    <w:basedOn w:val="1"/>
    <w:qFormat/>
    <w:uiPriority w:val="0"/>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Char"/>
    <w:basedOn w:val="7"/>
    <w:link w:val="2"/>
    <w:qFormat/>
    <w:uiPriority w:val="0"/>
    <w:rPr>
      <w:rFonts w:ascii="宋体" w:hAnsi="宋体"/>
      <w:sz w:val="18"/>
      <w:szCs w:val="18"/>
    </w:rPr>
  </w:style>
  <w:style w:type="paragraph" w:customStyle="1" w:styleId="16">
    <w:name w:val="普通(网站)1"/>
    <w:basedOn w:val="1"/>
    <w:uiPriority w:val="0"/>
    <w:pPr>
      <w:spacing w:before="100" w:beforeAutospacing="1" w:after="100" w:afterAutospacing="1"/>
    </w:pPr>
  </w:style>
  <w:style w:type="paragraph" w:customStyle="1" w:styleId="17">
    <w:name w:val="Normal (Web)"/>
    <w:basedOn w:val="1"/>
    <w:qFormat/>
    <w:uiPriority w:val="0"/>
    <w:pPr>
      <w:spacing w:before="100" w:beforeLines="0" w:beforeAutospacing="1" w:after="100" w:afterLines="0" w:afterAutospacing="1"/>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21</Pages>
  <Words>2028</Words>
  <Characters>11560</Characters>
  <Lines>96</Lines>
  <Paragraphs>27</Paragraphs>
  <TotalTime>0</TotalTime>
  <ScaleCrop>false</ScaleCrop>
  <LinksUpToDate>false</LinksUpToDate>
  <CharactersWithSpaces>13561</CharactersWithSpaces>
  <Application>WPS Office_10.8.2.6666_F1E327BC-269C-435d-A152-05C5408002CA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Administrator</cp:lastModifiedBy>
  <dcterms:modified xsi:type="dcterms:W3CDTF">2024-09-29T06:37:41Z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y fmtid="{D5CDD505-2E9C-101B-9397-08002B2CF9AE}" pid="3" name="ICV">
    <vt:lpwstr>BB46EABDBB2749749395447164B066B3_12</vt:lpwstr>
  </property>
</Properties>
</file>