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r>
        <w:rPr>
          <w:rFonts w:hint="eastAsia" w:ascii="Times New Roman" w:hAnsi="Times New Roman" w:eastAsia="方正小标宋_GBK" w:cs="Times New Roman"/>
          <w:w w:val="85"/>
          <w:sz w:val="44"/>
          <w:szCs w:val="44"/>
          <w:lang w:eastAsia="zh-CN"/>
        </w:rPr>
        <w:t>重庆市</w:t>
      </w:r>
      <w:r>
        <w:rPr>
          <w:rFonts w:hint="default" w:ascii="Times New Roman" w:hAnsi="Times New Roman" w:eastAsia="方正小标宋_GBK" w:cs="Times New Roman"/>
          <w:w w:val="85"/>
          <w:sz w:val="44"/>
          <w:szCs w:val="44"/>
          <w:lang w:eastAsia="zh-CN"/>
        </w:rPr>
        <w:t>秀山土家族苗族自治县</w:t>
      </w:r>
      <w:r>
        <w:rPr>
          <w:rFonts w:hint="eastAsia" w:ascii="Times New Roman" w:hAnsi="Times New Roman" w:eastAsia="方正小标宋_GBK" w:cs="Times New Roman"/>
          <w:w w:val="85"/>
          <w:sz w:val="44"/>
          <w:szCs w:val="44"/>
          <w:lang w:eastAsia="zh-CN"/>
        </w:rPr>
        <w:t>洪安镇</w:t>
      </w:r>
      <w:r>
        <w:rPr>
          <w:rFonts w:hint="default" w:ascii="Times New Roman" w:hAnsi="Times New Roman" w:eastAsia="方正小标宋_GBK" w:cs="Times New Roman"/>
          <w:w w:val="85"/>
          <w:sz w:val="44"/>
          <w:szCs w:val="44"/>
          <w:lang w:eastAsia="zh-CN"/>
        </w:rPr>
        <w:t>退役军人服务站2023年度决算公开说明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方正黑体_GBK" w:hAnsi="方正黑体_GBK" w:eastAsia="方正黑体_GBK" w:cs="方正黑体_GBK"/>
          <w:sz w:val="32"/>
          <w:szCs w:val="32"/>
        </w:rPr>
      </w:pPr>
      <w:r>
        <w:rPr>
          <w:rStyle w:val="8"/>
          <w:rFonts w:hint="eastAsia"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退役军人服务站。主要职责：负责做好面对面、个性化、一对一服务退役军人工作，做好关系转接、联络接待、困难帮扶、信息采集、情况反映、立功喜报、悬挂光荣牌和</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八一</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ascii="楷体" w:hAnsi="楷体" w:eastAsia="楷体" w:cs="楷体"/>
          <w:b/>
          <w:bCs/>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w:t>
      </w:r>
      <w:r>
        <w:rPr>
          <w:rFonts w:hint="default" w:ascii="方正仿宋_GBK" w:hAnsi="方正仿宋_GBK" w:eastAsia="方正仿宋_GBK" w:cs="方正仿宋_GBK"/>
          <w:b/>
          <w:bCs/>
          <w:sz w:val="32"/>
          <w:szCs w:val="32"/>
          <w:shd w:val="clear" w:color="auto" w:fill="FFFFFF"/>
          <w:lang w:val="en-US" w:eastAsia="zh-CN"/>
        </w:rPr>
        <w:t>总体情况</w:t>
      </w:r>
      <w:r>
        <w:rPr>
          <w:rFonts w:hint="default"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default" w:ascii="方正仿宋_GBK" w:hAnsi="方正仿宋_GBK" w:eastAsia="方正仿宋_GBK" w:cs="方正仿宋_GBK"/>
          <w:sz w:val="32"/>
          <w:szCs w:val="32"/>
          <w:shd w:val="clear" w:color="auto" w:fill="FFFFFF"/>
          <w:lang w:val="en-US" w:eastAsia="zh-CN"/>
        </w:rPr>
        <w:t>年</w:t>
      </w:r>
      <w:r>
        <w:rPr>
          <w:rFonts w:hint="default" w:ascii="Times New Roman" w:hAnsi="Times New Roman" w:eastAsia="方正仿宋_GBK" w:cs="Times New Roman"/>
          <w:sz w:val="32"/>
          <w:szCs w:val="32"/>
          <w:shd w:val="clear" w:color="auto" w:fill="FFFFFF"/>
          <w:lang w:val="en-US" w:eastAsia="zh-CN"/>
        </w:rPr>
        <w:t>度收入总计28.54万元，支出总计28.54万元。收支较上年决算数增加28.54万元，增长100.00%，主要原因是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其中：财政拨款收入</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其中：基本支出</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万元，占100.00%；项目支出0.00万元，占0.00%；经营支出0.00万元，占0.00%。此外，结余分配0.00万元。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万元。与2022年相比，财政拨款收、支总计各增加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9.33</w:t>
      </w:r>
      <w:r>
        <w:rPr>
          <w:rFonts w:hint="default" w:ascii="Times New Roman" w:hAnsi="Times New Roman" w:eastAsia="方正仿宋_GBK" w:cs="Times New Roman"/>
          <w:sz w:val="32"/>
          <w:szCs w:val="32"/>
          <w:shd w:val="clear" w:color="auto" w:fill="FFFFFF"/>
          <w:lang w:val="en-US" w:eastAsia="zh-CN"/>
        </w:rPr>
        <w:t>万元，下降</w:t>
      </w:r>
      <w:r>
        <w:rPr>
          <w:rFonts w:hint="default" w:ascii="Times New Roman" w:hAnsi="Times New Roman" w:eastAsia="方正仿宋_GBK" w:cs="Times New Roman"/>
          <w:sz w:val="32"/>
          <w:szCs w:val="32"/>
          <w:shd w:val="clear" w:color="auto" w:fill="FFFFFF"/>
          <w:lang w:val="en" w:eastAsia="zh-CN"/>
        </w:rPr>
        <w:t>24.64</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9.85</w:t>
      </w:r>
      <w:r>
        <w:rPr>
          <w:rFonts w:hint="default" w:ascii="Times New Roman" w:hAnsi="Times New Roman" w:eastAsia="方正仿宋_GBK" w:cs="Times New Roman"/>
          <w:sz w:val="32"/>
          <w:szCs w:val="32"/>
          <w:shd w:val="clear" w:color="auto" w:fill="FFFFFF"/>
          <w:lang w:val="en-US" w:eastAsia="zh-CN"/>
        </w:rPr>
        <w:t>万元，下降2</w:t>
      </w:r>
      <w:r>
        <w:rPr>
          <w:rFonts w:hint="default" w:ascii="Times New Roman" w:hAnsi="Times New Roman" w:eastAsia="方正仿宋_GBK" w:cs="Times New Roman"/>
          <w:sz w:val="32"/>
          <w:szCs w:val="32"/>
          <w:shd w:val="clear" w:color="auto" w:fill="FFFFFF"/>
          <w:lang w:val="en" w:eastAsia="zh-CN"/>
        </w:rPr>
        <w:t>5.66</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2022年度本单位与部门合并编报决算，按照市财政局要求，2023年度独立编报决算，故与上年对比无增减变化。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）社会保障与就业支出24.50万元，占85.84%，较年初预算数减少6.51万元，下降20.99%，主要原因是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卫生健康支出0.00万元，</w:t>
      </w:r>
      <w:r>
        <w:rPr>
          <w:rFonts w:hint="default" w:ascii="Times New Roman" w:hAnsi="Times New Roman" w:eastAsia="方正仿宋_GBK" w:cs="Times New Roman"/>
          <w:sz w:val="32"/>
          <w:szCs w:val="32"/>
          <w:shd w:val="clear" w:color="auto" w:fill="FFFFFF"/>
          <w:lang w:val="en-US" w:eastAsia="zh-CN"/>
        </w:rPr>
        <w:t>占0.00%，较年初预算数减少1.49万元，下降100.00%，主要原因是</w:t>
      </w:r>
      <w:r>
        <w:rPr>
          <w:rFonts w:hint="eastAsia" w:ascii="Times New Roman" w:hAnsi="Times New Roman" w:eastAsia="方正仿宋_GBK" w:cs="Times New Roman"/>
          <w:sz w:val="32"/>
          <w:szCs w:val="32"/>
          <w:shd w:val="clear" w:color="auto" w:fill="FFFFFF"/>
          <w:lang w:val="en-US" w:eastAsia="zh-CN"/>
        </w:rPr>
        <w:t>今年该二级单位无相关支出</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城乡社区支出2.80万元，占9.81%，较年初预算数减少0.54万元，下降16.17%，主要原因是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住房保障支出</w:t>
      </w:r>
      <w:r>
        <w:rPr>
          <w:rFonts w:hint="default" w:ascii="Times New Roman" w:hAnsi="Times New Roman" w:eastAsia="方正仿宋_GBK" w:cs="Times New Roman"/>
          <w:sz w:val="32"/>
          <w:szCs w:val="32"/>
          <w:shd w:val="clear" w:color="auto" w:fill="FFFFFF"/>
          <w:lang w:val="en-US" w:eastAsia="zh-CN"/>
        </w:rPr>
        <w:t>1.24万元，占4.35%，较年初预算数减少1.32万元，下降51.56%，主要原因是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万元。其中：人员经费</w:t>
      </w:r>
      <w:r>
        <w:rPr>
          <w:rFonts w:hint="eastAsia" w:ascii="Times New Roman" w:hAnsi="Times New Roman" w:eastAsia="方正仿宋_GBK" w:cs="Times New Roman"/>
          <w:sz w:val="32"/>
          <w:szCs w:val="32"/>
          <w:shd w:val="clear" w:color="auto" w:fill="FFFFFF"/>
          <w:lang w:val="en-US" w:eastAsia="zh-CN"/>
        </w:rPr>
        <w:t>25.6</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25.6</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工资福利支出</w:t>
      </w:r>
      <w:r>
        <w:rPr>
          <w:rFonts w:hint="default" w:ascii="Times New Roman" w:hAnsi="Times New Roman" w:eastAsia="方正仿宋_GBK" w:cs="Times New Roman"/>
          <w:sz w:val="32"/>
          <w:szCs w:val="32"/>
          <w:shd w:val="clear" w:color="auto" w:fill="FFFFFF"/>
          <w:lang w:val="en-US" w:eastAsia="zh-CN"/>
        </w:rPr>
        <w:t>。公用经费</w:t>
      </w:r>
      <w:r>
        <w:rPr>
          <w:rFonts w:hint="eastAsia" w:ascii="Times New Roman" w:hAnsi="Times New Roman" w:eastAsia="方正仿宋_GBK" w:cs="Times New Roman"/>
          <w:sz w:val="32"/>
          <w:szCs w:val="32"/>
          <w:shd w:val="clear" w:color="auto" w:fill="FFFFFF"/>
          <w:lang w:val="en-US" w:eastAsia="zh-CN"/>
        </w:rPr>
        <w:t>2.95</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2.95</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公用经费用途主要包括</w:t>
      </w:r>
      <w:r>
        <w:rPr>
          <w:rFonts w:hint="eastAsia" w:ascii="Times New Roman" w:hAnsi="Times New Roman" w:eastAsia="方正仿宋_GBK" w:cs="Times New Roman"/>
          <w:sz w:val="32"/>
          <w:szCs w:val="32"/>
          <w:shd w:val="clear" w:color="auto" w:fill="FFFFFF"/>
          <w:lang w:val="en-US" w:eastAsia="zh-CN"/>
        </w:rPr>
        <w:t>办公费、通信费、水电费等</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本单位2023年度无政府性基金预算财政拨款收支。</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eastAsia" w:ascii="Times New Roman" w:hAnsi="Times New Roman" w:eastAsia="方正黑体_GBK" w:cs="Times New Roman"/>
          <w:b w:val="0"/>
          <w:bCs/>
          <w:sz w:val="32"/>
          <w:szCs w:val="32"/>
          <w:shd w:val="clear" w:color="auto" w:fill="FFFFFF"/>
          <w:lang w:val="en-US" w:eastAsia="zh-CN"/>
        </w:rPr>
        <w:t>三、“三公”经费情况说明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rPr>
        <w:t>本单位为洪安镇人民政府下属二级单位，未单列“三公”经费支出。</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本单位为洪安镇人民政府下属二级单位，未单列“三公”经费支出。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eastAsia" w:ascii="Times New Roman" w:hAnsi="Times New Roman" w:eastAsia="方正黑体_GBK" w:cs="Times New Roman"/>
          <w:b w:val="0"/>
          <w:bCs/>
          <w:sz w:val="32"/>
          <w:szCs w:val="32"/>
          <w:shd w:val="clear" w:color="auto" w:fill="FFFFFF"/>
          <w:lang w:val="en-US" w:eastAsia="zh-CN"/>
        </w:rPr>
        <w:t>四、其他需要说明的事项</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本年度会议费支出0.00万元，较上年决算数无增减，主要原因是</w:t>
      </w:r>
      <w:r>
        <w:rPr>
          <w:rFonts w:hint="eastAsia" w:ascii="Times New Roman" w:hAnsi="Times New Roman" w:eastAsia="方正仿宋_GBK" w:cs="Times New Roman"/>
          <w:sz w:val="32"/>
          <w:szCs w:val="32"/>
          <w:shd w:val="clear" w:color="auto" w:fill="FFFFFF"/>
          <w:lang w:val="en-US" w:eastAsia="zh-CN"/>
        </w:rPr>
        <w:t>本单位为二级单位，未列支会议费</w:t>
      </w:r>
      <w:r>
        <w:rPr>
          <w:rFonts w:hint="default" w:ascii="Times New Roman" w:hAnsi="Times New Roman" w:eastAsia="方正仿宋_GBK" w:cs="Times New Roman"/>
          <w:sz w:val="32"/>
          <w:szCs w:val="32"/>
          <w:shd w:val="clear" w:color="auto" w:fill="FFFFFF"/>
          <w:lang w:val="en-US" w:eastAsia="zh-CN"/>
        </w:rPr>
        <w:t>。本年度培训费支出0.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0万元，较上年决算数增加0.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0万元，增长100.00%，主要原因是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2023年度本单位机关运行经费支出0.00万元。按照部门决算列报口径，我单位不在机关运行经费统计范围之内。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eastAsia" w:ascii="Times New Roman" w:hAnsi="Times New Roman" w:eastAsia="方正黑体_GBK" w:cs="Times New Roman"/>
          <w:b w:val="0"/>
          <w:bCs/>
          <w:sz w:val="32"/>
          <w:szCs w:val="32"/>
          <w:shd w:val="clear" w:color="auto" w:fill="FFFFFF"/>
          <w:lang w:val="en-US" w:eastAsia="zh-CN"/>
        </w:rPr>
        <w:t>五、预算绩效管理情况说明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highlight w:val="yellow"/>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根据预算绩效管理要求，我单位对部门整体和0个一级项目、0个二级项目开展了绩效自评，涉及财政拨款项目支出资金0万元。</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Style w:val="8"/>
          <w:rFonts w:hint="eastAsia" w:ascii="Times New Roman" w:hAnsi="Times New Roman" w:eastAsia="方正楷体_GBK" w:cs="Times New Roman"/>
          <w:b/>
          <w:bCs w:val="0"/>
          <w:sz w:val="32"/>
          <w:szCs w:val="32"/>
          <w:shd w:val="clear" w:color="auto" w:fill="FFFFFF"/>
          <w:lang w:val="en-US" w:eastAsia="zh-CN" w:bidi="ar-SA"/>
        </w:rPr>
        <w:t>（一）财政拨款收入</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（七）结余分配</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（九）基本支出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（十）项目支出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（十一）经营支出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w:t>
      </w:r>
      <w:r>
        <w:rPr>
          <w:rStyle w:val="8"/>
          <w:rFonts w:hint="eastAsia" w:ascii="Times New Roman" w:hAnsi="Times New Roman" w:eastAsia="方正楷体_GBK" w:cs="Times New Roman"/>
          <w:b/>
          <w:bCs w:val="0"/>
          <w:sz w:val="32"/>
          <w:szCs w:val="32"/>
          <w:shd w:val="clear" w:color="auto" w:fill="FFFFFF"/>
          <w:lang w:val="en-US" w:eastAsia="zh-CN" w:bidi="ar-SA"/>
        </w:rPr>
        <w:t>十二）“三公”经费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（十四）工资福利支出（支出经济分类科目类级）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（十六）对个人和家庭的补助（支出经济分类科目类级）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（十七）其他资本性支出（支出经济分类科目类级）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rPr>
        <w:t>本单位决算公开信息反馈和联系方式</w:t>
      </w:r>
      <w:r>
        <w:rPr>
          <w:rFonts w:hint="default" w:ascii="Times New Roman" w:hAnsi="Times New Roman" w:eastAsia="方正仿宋" w:cs="方正仿宋"/>
          <w:i w:val="0"/>
          <w:caps w:val="0"/>
          <w:color w:val="333333"/>
          <w:spacing w:val="0"/>
          <w:sz w:val="32"/>
          <w:szCs w:val="32"/>
          <w:shd w:val="clear" w:fill="FFFFFF"/>
          <w:lang w:val="en-US" w:eastAsia="zh-CN"/>
        </w:rPr>
        <w:t>：</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24.5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olor w:val="000000"/>
                <w:sz w:val="20"/>
                <w:u w:color="auto"/>
                <w:lang w:val="en-US" w:eastAsia="zh-CN"/>
              </w:rPr>
              <w:t>2.8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w:t>
            </w:r>
            <w:r>
              <w:rPr>
                <w:rFonts w:hint="eastAsia" w:cs="宋体"/>
                <w:color w:val="000000"/>
                <w:sz w:val="20"/>
                <w:szCs w:val="20"/>
                <w:lang w:val="en-US" w:eastAsia="zh-CN"/>
              </w:rPr>
              <w:t>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 xml:space="preserve">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25.25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25.60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2.95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w:t>
            </w:r>
            <w:r>
              <w:rPr>
                <w:rFonts w:cs="宋体"/>
                <w:color w:val="000000"/>
                <w:sz w:val="20"/>
                <w:szCs w:val="20"/>
              </w:rPr>
              <w:t>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3</w:t>
            </w:r>
            <w:r>
              <w:rPr>
                <w:rFonts w:cs="宋体"/>
                <w:color w:val="000000"/>
                <w:sz w:val="20"/>
                <w:szCs w:val="20"/>
              </w:rPr>
              <w:t>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w:t>
      </w:r>
      <w:r>
        <w:rPr>
          <w:rFonts w:cs="宋体"/>
          <w:sz w:val="20"/>
          <w:szCs w:val="20"/>
        </w:rPr>
        <w:t>三公”经费支出预决算情况。其中，预算数为</w:t>
      </w:r>
      <w:r>
        <w:rPr>
          <w:rFonts w:hint="eastAsia" w:cs="宋体"/>
          <w:sz w:val="20"/>
          <w:szCs w:val="20"/>
          <w:lang w:eastAsia="zh-CN"/>
        </w:rPr>
        <w:t>“</w:t>
      </w:r>
      <w:r>
        <w:rPr>
          <w:rFonts w:cs="宋体"/>
          <w:sz w:val="20"/>
          <w:szCs w:val="20"/>
        </w:rPr>
        <w:t>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C02D93"/>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12AA8"/>
    <w:rsid w:val="173708E3"/>
    <w:rsid w:val="17C374FC"/>
    <w:rsid w:val="17D36659"/>
    <w:rsid w:val="182E4AB6"/>
    <w:rsid w:val="189079DC"/>
    <w:rsid w:val="189B0D0B"/>
    <w:rsid w:val="18B43F7C"/>
    <w:rsid w:val="194A1770"/>
    <w:rsid w:val="19B906A4"/>
    <w:rsid w:val="19F9020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06C52"/>
    <w:rsid w:val="1F2C5189"/>
    <w:rsid w:val="1F4B0B02"/>
    <w:rsid w:val="1FBB35CD"/>
    <w:rsid w:val="1FCD26AF"/>
    <w:rsid w:val="20642787"/>
    <w:rsid w:val="21556F04"/>
    <w:rsid w:val="2225033C"/>
    <w:rsid w:val="22403BD3"/>
    <w:rsid w:val="24B92327"/>
    <w:rsid w:val="24C14514"/>
    <w:rsid w:val="2533755C"/>
    <w:rsid w:val="256B1920"/>
    <w:rsid w:val="25791755"/>
    <w:rsid w:val="26396DF4"/>
    <w:rsid w:val="27167136"/>
    <w:rsid w:val="271B442C"/>
    <w:rsid w:val="27B23302"/>
    <w:rsid w:val="29310A5F"/>
    <w:rsid w:val="29C37A35"/>
    <w:rsid w:val="2A076083"/>
    <w:rsid w:val="2A73162E"/>
    <w:rsid w:val="2B167953"/>
    <w:rsid w:val="2B200583"/>
    <w:rsid w:val="2B8209DE"/>
    <w:rsid w:val="2C5E2422"/>
    <w:rsid w:val="2C636760"/>
    <w:rsid w:val="2C6762A3"/>
    <w:rsid w:val="2D544D9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BC9E9"/>
    <w:rsid w:val="3C566AD6"/>
    <w:rsid w:val="3C594871"/>
    <w:rsid w:val="3C6A5B02"/>
    <w:rsid w:val="3D2757A1"/>
    <w:rsid w:val="3D3D4FC4"/>
    <w:rsid w:val="3D8F74C8"/>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F77391"/>
    <w:rsid w:val="471E6C84"/>
    <w:rsid w:val="4748792B"/>
    <w:rsid w:val="475D719D"/>
    <w:rsid w:val="47674801"/>
    <w:rsid w:val="47E326AB"/>
    <w:rsid w:val="48207B00"/>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5B2C7A"/>
    <w:rsid w:val="5393266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DF118A"/>
    <w:rsid w:val="72DB435C"/>
    <w:rsid w:val="72E2613A"/>
    <w:rsid w:val="72F771F4"/>
    <w:rsid w:val="73934AD2"/>
    <w:rsid w:val="750837F0"/>
    <w:rsid w:val="754758CF"/>
    <w:rsid w:val="764F62AB"/>
    <w:rsid w:val="765C45EC"/>
    <w:rsid w:val="768A7619"/>
    <w:rsid w:val="772E1EBA"/>
    <w:rsid w:val="77AE530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9</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2024-10-08T12:07:49Z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