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90"/>
          <w:sz w:val="44"/>
          <w:szCs w:val="44"/>
          <w:lang w:eastAsia="zh-CN"/>
        </w:rPr>
      </w:pPr>
      <w:r>
        <w:rPr>
          <w:rFonts w:hint="eastAsia" w:ascii="Times New Roman" w:hAnsi="Times New Roman" w:eastAsia="方正小标宋_GBK" w:cs="Times New Roman"/>
          <w:w w:val="90"/>
          <w:sz w:val="44"/>
          <w:szCs w:val="44"/>
          <w:lang w:eastAsia="zh-CN"/>
        </w:rPr>
        <w:t>重庆市</w:t>
      </w:r>
      <w:r>
        <w:rPr>
          <w:rFonts w:hint="default" w:ascii="Times New Roman" w:hAnsi="Times New Roman" w:eastAsia="方正小标宋_GBK" w:cs="Times New Roman"/>
          <w:w w:val="90"/>
          <w:sz w:val="44"/>
          <w:szCs w:val="44"/>
          <w:lang w:eastAsia="zh-CN"/>
        </w:rPr>
        <w:t>秀山土家族苗族自治县</w:t>
      </w:r>
      <w:r>
        <w:rPr>
          <w:rFonts w:hint="default" w:ascii="Times New Roman" w:hAnsi="Times New Roman" w:eastAsia="方正小标宋_GBK" w:cs="Times New Roman"/>
          <w:w w:val="90"/>
          <w:sz w:val="44"/>
          <w:szCs w:val="44"/>
          <w:lang w:val="en" w:eastAsia="zh-CN"/>
        </w:rPr>
        <w:t>洪安镇</w:t>
      </w:r>
      <w:r>
        <w:rPr>
          <w:rFonts w:hint="default" w:ascii="Times New Roman" w:hAnsi="Times New Roman" w:eastAsia="方正小标宋_GBK" w:cs="Times New Roman"/>
          <w:w w:val="90"/>
          <w:sz w:val="44"/>
          <w:szCs w:val="44"/>
          <w:lang w:eastAsia="zh-CN"/>
        </w:rPr>
        <w:t>农业服务中心（特色产业发展中心）2023年度决算公开说明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90"/>
          <w:sz w:val="44"/>
          <w:szCs w:val="44"/>
          <w:lang w:eastAsia="zh-CN"/>
        </w:rPr>
      </w:pP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 w:hAnsi="方正仿宋" w:eastAsia="方正仿宋" w:cs="方正仿宋"/>
          <w:i w:val="0"/>
          <w:caps w:val="0"/>
          <w:color w:val="333333"/>
          <w:spacing w:val="0"/>
          <w:sz w:val="32"/>
          <w:szCs w:val="32"/>
          <w:shd w:val="clear" w:fill="FFFFFF"/>
          <w:lang w:val="en-US" w:eastAsia="zh-CN"/>
        </w:rPr>
      </w:pPr>
      <w:r>
        <w:rPr>
          <w:rFonts w:hint="eastAsia" w:ascii="方正仿宋_GBK" w:hAnsi="方正仿宋_GBK" w:eastAsia="方正仿宋_GBK" w:cs="方正仿宋_GBK"/>
          <w:sz w:val="32"/>
          <w:szCs w:val="32"/>
          <w:shd w:val="clear" w:color="auto"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r>
        <w:rPr>
          <w:rFonts w:hint="eastAsia" w:ascii="方正仿宋" w:hAnsi="方正仿宋" w:eastAsia="方正仿宋" w:cs="方正仿宋"/>
          <w:i w:val="0"/>
          <w:caps w:val="0"/>
          <w:color w:val="333333"/>
          <w:spacing w:val="0"/>
          <w:sz w:val="32"/>
          <w:szCs w:val="32"/>
          <w:shd w:val="clear" w:fill="FFFFFF"/>
          <w:lang w:val="en-US" w:eastAsia="zh-CN"/>
        </w:rPr>
        <w:t>。</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农业服务中心。主要职责：承担农技、农机、畜牧、水利水产等方面的技术推广、信息服务、水土保持、灾害防治、土地规模经营管理、农产品质量安全监管，农业综合服务等工作。</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default" w:ascii="黑体" w:hAnsi="黑体" w:eastAsia="黑体" w:cs="黑体"/>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w:t>
      </w:r>
      <w:r>
        <w:rPr>
          <w:rFonts w:hint="default" w:ascii="方正仿宋_GBK" w:hAnsi="方正仿宋_GBK" w:eastAsia="方正仿宋_GBK" w:cs="方正仿宋_GBK"/>
          <w:b/>
          <w:bCs/>
          <w:sz w:val="32"/>
          <w:szCs w:val="32"/>
          <w:shd w:val="clear" w:color="auto" w:fill="FFFFFF"/>
          <w:lang w:val="en-US" w:eastAsia="zh-CN"/>
        </w:rPr>
        <w:t>总体情况</w:t>
      </w:r>
      <w:r>
        <w:rPr>
          <w:rFonts w:hint="default"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2023</w:t>
      </w:r>
      <w:r>
        <w:rPr>
          <w:rFonts w:hint="default" w:ascii="方正仿宋_GBK" w:hAnsi="方正仿宋_GBK" w:eastAsia="方正仿宋_GBK" w:cs="方正仿宋_GBK"/>
          <w:sz w:val="32"/>
          <w:szCs w:val="32"/>
          <w:shd w:val="clear" w:color="auto" w:fill="FFFFFF"/>
          <w:lang w:val="en-US" w:eastAsia="zh-CN"/>
        </w:rPr>
        <w:t>年</w:t>
      </w:r>
      <w:r>
        <w:rPr>
          <w:rFonts w:hint="default" w:ascii="Times New Roman" w:hAnsi="Times New Roman" w:eastAsia="方正仿宋_GBK" w:cs="Times New Roman"/>
          <w:sz w:val="32"/>
          <w:szCs w:val="32"/>
          <w:shd w:val="clear" w:color="auto" w:fill="FFFFFF"/>
          <w:lang w:val="en-US" w:eastAsia="zh-CN"/>
        </w:rPr>
        <w:t>度收入总计</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万元，支出总计</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万元。收支较上年决算数增加</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2.收入情况</w:t>
      </w:r>
      <w:r>
        <w:rPr>
          <w:rFonts w:hint="default" w:ascii="Times New Roman" w:hAnsi="Times New Roman" w:eastAsia="方正仿宋_GBK" w:cs="Times New Roman"/>
          <w:sz w:val="32"/>
          <w:szCs w:val="32"/>
          <w:shd w:val="clear" w:color="auto" w:fill="FFFFFF"/>
          <w:lang w:val="en-US" w:eastAsia="zh-CN"/>
        </w:rPr>
        <w:t>。2023年度收入合计</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其中：财政拨款收入</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3.支出情况</w:t>
      </w:r>
      <w:r>
        <w:rPr>
          <w:rFonts w:hint="default" w:ascii="Times New Roman" w:hAnsi="Times New Roman" w:eastAsia="方正仿宋_GBK" w:cs="Times New Roman"/>
          <w:sz w:val="32"/>
          <w:szCs w:val="32"/>
          <w:shd w:val="clear" w:color="auto" w:fill="FFFFFF"/>
          <w:lang w:val="en-US" w:eastAsia="zh-CN"/>
        </w:rPr>
        <w:t>。2023年度支出合计</w:t>
      </w:r>
      <w:r>
        <w:rPr>
          <w:rFonts w:hint="default" w:ascii="Times New Roman" w:hAnsi="Times New Roman" w:eastAsia="方正仿宋_GBK" w:cs="Times New Roman"/>
          <w:sz w:val="32"/>
          <w:szCs w:val="32"/>
          <w:shd w:val="clear" w:color="auto" w:fill="FFFFFF"/>
          <w:lang w:val="en" w:eastAsia="zh-CN"/>
        </w:rPr>
        <w:t>573.68</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573.68</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其中：基本支出</w:t>
      </w:r>
      <w:r>
        <w:rPr>
          <w:rFonts w:hint="default" w:ascii="Times New Roman" w:hAnsi="Times New Roman" w:eastAsia="方正仿宋_GBK" w:cs="Times New Roman"/>
          <w:sz w:val="32"/>
          <w:szCs w:val="32"/>
          <w:shd w:val="clear" w:color="auto" w:fill="FFFFFF"/>
          <w:lang w:val="en" w:eastAsia="zh-CN"/>
        </w:rPr>
        <w:t>257.55</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44.90</w:t>
      </w:r>
      <w:r>
        <w:rPr>
          <w:rFonts w:hint="default" w:ascii="Times New Roman" w:hAnsi="Times New Roman" w:eastAsia="方正仿宋_GBK" w:cs="Times New Roman"/>
          <w:sz w:val="32"/>
          <w:szCs w:val="32"/>
          <w:shd w:val="clear" w:color="auto" w:fill="FFFFFF"/>
          <w:lang w:val="en-US" w:eastAsia="zh-CN"/>
        </w:rPr>
        <w:t>%；项目支出</w:t>
      </w:r>
      <w:r>
        <w:rPr>
          <w:rFonts w:hint="default" w:ascii="Times New Roman" w:hAnsi="Times New Roman" w:eastAsia="方正仿宋_GBK" w:cs="Times New Roman"/>
          <w:sz w:val="32"/>
          <w:szCs w:val="32"/>
          <w:shd w:val="clear" w:color="auto" w:fill="FFFFFF"/>
          <w:lang w:val="en" w:eastAsia="zh-CN"/>
        </w:rPr>
        <w:t>316.13</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55.10</w:t>
      </w:r>
      <w:r>
        <w:rPr>
          <w:rFonts w:hint="default" w:ascii="Times New Roman" w:hAnsi="Times New Roman" w:eastAsia="方正仿宋_GBK" w:cs="Times New Roman"/>
          <w:sz w:val="32"/>
          <w:szCs w:val="32"/>
          <w:shd w:val="clear" w:color="auto" w:fill="FFFFFF"/>
          <w:lang w:val="en-US" w:eastAsia="zh-CN"/>
        </w:rPr>
        <w:t>%；经营支出0.00万元，占0.00%。此外，结余分配0.00万元。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4.结转结余情况</w:t>
      </w:r>
      <w:r>
        <w:rPr>
          <w:rFonts w:hint="default" w:ascii="Times New Roman" w:hAnsi="Times New Roman" w:eastAsia="方正仿宋_GBK" w:cs="Times New Roman"/>
          <w:sz w:val="32"/>
          <w:szCs w:val="32"/>
          <w:shd w:val="clear" w:color="auto" w:fill="FFFFFF"/>
          <w:lang w:val="en-US" w:eastAsia="zh-CN"/>
        </w:rPr>
        <w:t>。2023年度年末结转和结余</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w:t>
      </w:r>
      <w:r>
        <w:rPr>
          <w:rFonts w:hint="eastAsia" w:ascii="方正楷体_GBK" w:hAnsi="方正楷体_GBK" w:eastAsia="方正楷体_GBK" w:cs="方正楷体_GBK"/>
          <w:b w:val="0"/>
          <w:bCs w:val="0"/>
          <w:sz w:val="32"/>
          <w:szCs w:val="32"/>
          <w:shd w:val="clear" w:color="auto" w:fill="FFFFFF"/>
          <w:lang w:val="en-US" w:eastAsia="zh-CN" w:bidi="ar-SA"/>
        </w:rPr>
        <w:t>二）财政拨款收入支出决算总体情况说明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2023年度财政拨款收、支总计</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万元。与2022年相比，财政拨款收、支总计各增加</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（三）一般公共预算财政拨款收入支出决算情况说明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1.收入情况</w:t>
      </w:r>
      <w:r>
        <w:rPr>
          <w:rFonts w:hint="default" w:ascii="Times New Roman" w:hAnsi="Times New Roman" w:eastAsia="方正仿宋_GBK" w:cs="Times New Roman"/>
          <w:sz w:val="32"/>
          <w:szCs w:val="32"/>
          <w:shd w:val="clear" w:color="auto" w:fill="FFFFFF"/>
          <w:lang w:val="en-US" w:eastAsia="zh-CN"/>
        </w:rPr>
        <w:t>。2023年度一般公共预算财政拨款收入</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617.90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较年初预算数</w:t>
      </w:r>
      <w:r>
        <w:rPr>
          <w:rFonts w:hint="default" w:ascii="Times New Roman" w:hAnsi="Times New Roman" w:eastAsia="方正仿宋_GBK" w:cs="Times New Roman"/>
          <w:sz w:val="32"/>
          <w:szCs w:val="32"/>
          <w:shd w:val="clear" w:color="auto" w:fill="FFFFFF"/>
          <w:lang w:val="en" w:eastAsia="zh-CN"/>
        </w:rPr>
        <w:t>减少22.72</w:t>
      </w:r>
      <w:r>
        <w:rPr>
          <w:rFonts w:hint="default"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 w:eastAsia="zh-CN"/>
        </w:rPr>
        <w:t>降低3.55</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人员减少，工资福利</w:t>
      </w:r>
      <w:r>
        <w:rPr>
          <w:rFonts w:hint="default" w:ascii="Times New Roman" w:hAnsi="Times New Roman" w:eastAsia="方正仿宋_GBK" w:cs="Times New Roman"/>
          <w:sz w:val="32"/>
          <w:szCs w:val="32"/>
          <w:shd w:val="clear" w:color="auto" w:fill="FFFFFF"/>
          <w:lang w:val="en" w:eastAsia="zh-CN"/>
        </w:rPr>
        <w:t>相关预算减少</w:t>
      </w:r>
      <w:r>
        <w:rPr>
          <w:rFonts w:hint="eastAsia" w:ascii="Times New Roman" w:hAnsi="Times New Roman" w:eastAsia="方正仿宋_GBK" w:cs="Times New Roman"/>
          <w:sz w:val="32"/>
          <w:szCs w:val="32"/>
          <w:shd w:val="clear" w:color="auto" w:fill="FFFFFF"/>
          <w:lang w:val="en-US" w:eastAsia="zh-CN"/>
        </w:rPr>
        <w:t>，故与上年对比</w:t>
      </w:r>
      <w:r>
        <w:rPr>
          <w:rFonts w:hint="default" w:ascii="Times New Roman" w:hAnsi="Times New Roman" w:eastAsia="方正仿宋_GBK" w:cs="Times New Roman"/>
          <w:sz w:val="32"/>
          <w:szCs w:val="32"/>
          <w:shd w:val="clear" w:color="auto" w:fill="FFFFFF"/>
          <w:lang w:val="en" w:eastAsia="zh-CN"/>
        </w:rPr>
        <w:t>减少3.55%</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此外，年初财政拨款结转和结余0.00万元。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2.支出情况</w:t>
      </w:r>
      <w:r>
        <w:rPr>
          <w:rFonts w:hint="default" w:ascii="Times New Roman" w:hAnsi="Times New Roman" w:eastAsia="方正仿宋_GBK" w:cs="Times New Roman"/>
          <w:sz w:val="32"/>
          <w:szCs w:val="32"/>
          <w:shd w:val="clear" w:color="auto" w:fill="FFFFFF"/>
          <w:lang w:val="en-US" w:eastAsia="zh-CN"/>
        </w:rPr>
        <w:t>。2023年度一般公共预算财政拨款支出</w:t>
      </w:r>
      <w:r>
        <w:rPr>
          <w:rFonts w:hint="default" w:ascii="Times New Roman" w:hAnsi="Times New Roman" w:eastAsia="方正仿宋_GBK" w:cs="Times New Roman"/>
          <w:sz w:val="32"/>
          <w:szCs w:val="32"/>
          <w:shd w:val="clear" w:color="auto" w:fill="FFFFFF"/>
          <w:lang w:val="en" w:eastAsia="zh-CN"/>
        </w:rPr>
        <w:t>573.68</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573.68</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较年初预算数减少</w:t>
      </w:r>
      <w:r>
        <w:rPr>
          <w:rFonts w:hint="default" w:ascii="Times New Roman" w:hAnsi="Times New Roman" w:eastAsia="方正仿宋_GBK" w:cs="Times New Roman"/>
          <w:sz w:val="32"/>
          <w:szCs w:val="32"/>
          <w:shd w:val="clear" w:color="auto" w:fill="FFFFFF"/>
          <w:lang w:val="en" w:eastAsia="zh-CN"/>
        </w:rPr>
        <w:t>99.64</w:t>
      </w:r>
      <w:r>
        <w:rPr>
          <w:rFonts w:hint="default" w:ascii="Times New Roman" w:hAnsi="Times New Roman" w:eastAsia="方正仿宋_GBK" w:cs="Times New Roman"/>
          <w:sz w:val="32"/>
          <w:szCs w:val="32"/>
          <w:shd w:val="clear" w:color="auto" w:fill="FFFFFF"/>
          <w:lang w:val="en-US" w:eastAsia="zh-CN"/>
        </w:rPr>
        <w:t>万元，下降1</w:t>
      </w:r>
      <w:r>
        <w:rPr>
          <w:rFonts w:hint="default" w:ascii="Times New Roman" w:hAnsi="Times New Roman" w:eastAsia="方正仿宋_GBK" w:cs="Times New Roman"/>
          <w:sz w:val="32"/>
          <w:szCs w:val="32"/>
          <w:shd w:val="clear" w:color="auto" w:fill="FFFFFF"/>
          <w:lang w:val="en" w:eastAsia="zh-CN"/>
        </w:rPr>
        <w:t>4.80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人员减少，工资福利支出减少。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3.结转结余情况</w:t>
      </w:r>
      <w:r>
        <w:rPr>
          <w:rFonts w:hint="default" w:ascii="Times New Roman" w:hAnsi="Times New Roman" w:eastAsia="方正仿宋_GBK" w:cs="Times New Roman"/>
          <w:sz w:val="32"/>
          <w:szCs w:val="32"/>
          <w:shd w:val="clear" w:color="auto" w:fill="FFFFFF"/>
          <w:lang w:val="en-US" w:eastAsia="zh-CN"/>
        </w:rPr>
        <w:t>。2023年度年末一般公共预算财政拨款结转和结余</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4.比较情况</w:t>
      </w:r>
      <w:r>
        <w:rPr>
          <w:rFonts w:hint="default" w:ascii="Times New Roman" w:hAnsi="Times New Roman" w:eastAsia="方正仿宋_GBK" w:cs="Times New Roman"/>
          <w:sz w:val="32"/>
          <w:szCs w:val="32"/>
          <w:shd w:val="clear" w:color="auto" w:fill="FFFFFF"/>
          <w:lang w:val="en-US" w:eastAsia="zh-CN"/>
        </w:rPr>
        <w:t>。本单位2023年度一般公共预算财政拨款支出主要用于以下几个方面：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rPr>
        <w:t>）社会保障与就业支出</w:t>
      </w:r>
      <w:r>
        <w:rPr>
          <w:rFonts w:hint="default" w:ascii="Times New Roman" w:hAnsi="Times New Roman" w:eastAsia="方正仿宋_GBK" w:cs="Times New Roman"/>
          <w:sz w:val="32"/>
          <w:szCs w:val="32"/>
          <w:shd w:val="clear" w:color="auto" w:fill="FFFFFF"/>
          <w:lang w:val="en" w:eastAsia="zh-CN"/>
        </w:rPr>
        <w:t>97.68</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17.03</w:t>
      </w:r>
      <w:r>
        <w:rPr>
          <w:rFonts w:hint="default" w:ascii="Times New Roman" w:hAnsi="Times New Roman" w:eastAsia="方正仿宋_GBK" w:cs="Times New Roman"/>
          <w:sz w:val="32"/>
          <w:szCs w:val="32"/>
          <w:shd w:val="clear" w:color="auto" w:fill="FFFFFF"/>
          <w:lang w:val="en-US" w:eastAsia="zh-CN"/>
        </w:rPr>
        <w:t>%，较年初预算数减少</w:t>
      </w:r>
      <w:r>
        <w:rPr>
          <w:rFonts w:hint="default" w:ascii="Times New Roman" w:hAnsi="Times New Roman" w:eastAsia="方正仿宋_GBK" w:cs="Times New Roman"/>
          <w:sz w:val="32"/>
          <w:szCs w:val="32"/>
          <w:shd w:val="clear" w:color="auto" w:fill="FFFFFF"/>
          <w:lang w:val="en" w:eastAsia="zh-CN"/>
        </w:rPr>
        <w:t>27.39</w:t>
      </w:r>
      <w:r>
        <w:rPr>
          <w:rFonts w:hint="default" w:ascii="Times New Roman" w:hAnsi="Times New Roman" w:eastAsia="方正仿宋_GBK" w:cs="Times New Roman"/>
          <w:sz w:val="32"/>
          <w:szCs w:val="32"/>
          <w:shd w:val="clear" w:color="auto" w:fill="FFFFFF"/>
          <w:lang w:val="en-US" w:eastAsia="zh-CN"/>
        </w:rPr>
        <w:t>万元，下降</w:t>
      </w:r>
      <w:r>
        <w:rPr>
          <w:rFonts w:hint="default" w:ascii="Times New Roman" w:hAnsi="Times New Roman" w:eastAsia="方正仿宋_GBK" w:cs="Times New Roman"/>
          <w:sz w:val="32"/>
          <w:szCs w:val="32"/>
          <w:shd w:val="clear" w:color="auto" w:fill="FFFFFF"/>
          <w:lang w:val="en" w:eastAsia="zh-CN"/>
        </w:rPr>
        <w:t>21.90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人员退休，社保经费减少，项目减少。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val="en-US" w:eastAsia="zh-CN"/>
        </w:rPr>
        <w:t>）卫生健康支出</w:t>
      </w:r>
      <w:r>
        <w:rPr>
          <w:rFonts w:hint="eastAsia" w:ascii="Times New Roman" w:hAnsi="Times New Roman" w:eastAsia="方正仿宋_GBK" w:cs="Times New Roman"/>
          <w:sz w:val="32"/>
          <w:szCs w:val="32"/>
          <w:shd w:val="clear" w:color="auto" w:fill="FFFFFF"/>
          <w:lang w:val="en-US" w:eastAsia="zh-CN"/>
        </w:rPr>
        <w:t>10.82</w:t>
      </w:r>
      <w:r>
        <w:rPr>
          <w:rFonts w:hint="default" w:ascii="Times New Roman" w:hAnsi="Times New Roman" w:eastAsia="方正仿宋_GBK" w:cs="Times New Roman"/>
          <w:sz w:val="32"/>
          <w:szCs w:val="32"/>
          <w:shd w:val="clear" w:color="auto" w:fill="FFFFFF"/>
          <w:lang w:val="en-US" w:eastAsia="zh-CN"/>
        </w:rPr>
        <w:t>万元，占1.</w:t>
      </w:r>
      <w:r>
        <w:rPr>
          <w:rFonts w:hint="eastAsia" w:ascii="Times New Roman" w:hAnsi="Times New Roman" w:eastAsia="方正仿宋_GBK" w:cs="Times New Roman"/>
          <w:sz w:val="32"/>
          <w:szCs w:val="32"/>
          <w:shd w:val="clear" w:color="auto" w:fill="FFFFFF"/>
          <w:lang w:val="en-US" w:eastAsia="zh-CN"/>
        </w:rPr>
        <w:t>89</w:t>
      </w:r>
      <w:r>
        <w:rPr>
          <w:rFonts w:hint="default" w:ascii="Times New Roman" w:hAnsi="Times New Roman" w:eastAsia="方正仿宋_GBK" w:cs="Times New Roman"/>
          <w:sz w:val="32"/>
          <w:szCs w:val="32"/>
          <w:shd w:val="clear" w:color="auto" w:fill="FFFFFF"/>
          <w:lang w:val="en-US" w:eastAsia="zh-CN"/>
        </w:rPr>
        <w:t>%，较</w:t>
      </w:r>
      <w:r>
        <w:rPr>
          <w:rFonts w:hint="eastAsia" w:ascii="Times New Roman" w:hAnsi="Times New Roman" w:eastAsia="方正仿宋_GBK" w:cs="Times New Roman"/>
          <w:sz w:val="32"/>
          <w:szCs w:val="32"/>
          <w:shd w:val="clear" w:color="auto" w:fill="FFFFFF"/>
          <w:lang w:val="en-US" w:eastAsia="zh-CN"/>
        </w:rPr>
        <w:t>年初预算数无增减。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）农林水支出</w:t>
      </w:r>
      <w:r>
        <w:rPr>
          <w:rFonts w:hint="eastAsia" w:ascii="Times New Roman" w:hAnsi="Times New Roman" w:eastAsia="方正仿宋_GBK" w:cs="Times New Roman"/>
          <w:sz w:val="32"/>
          <w:szCs w:val="32"/>
          <w:shd w:val="clear" w:color="auto" w:fill="FFFFFF"/>
          <w:lang w:val="en-US" w:eastAsia="zh-CN"/>
        </w:rPr>
        <w:t>445.02万元，占77.57%，较年初预算数减少72.26万元，下降13.97%</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本年度人员退休，项目减少，相关经费减少。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住房保障支出20.16万元，占3.51%，较年初预算数无增减。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（四）一般公共预算财政拨款基本支出决算情况说明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2023年度一般公共财政拨款基本支出</w:t>
      </w:r>
      <w:r>
        <w:rPr>
          <w:rFonts w:hint="eastAsia" w:ascii="Times New Roman" w:hAnsi="Times New Roman" w:eastAsia="方正仿宋_GBK" w:cs="Times New Roman"/>
          <w:sz w:val="32"/>
          <w:szCs w:val="32"/>
          <w:shd w:val="clear" w:color="auto" w:fill="FFFFFF"/>
          <w:lang w:val="en-US" w:eastAsia="zh-CN"/>
        </w:rPr>
        <w:t>257.55</w:t>
      </w:r>
      <w:r>
        <w:rPr>
          <w:rFonts w:hint="default" w:ascii="Times New Roman" w:hAnsi="Times New Roman" w:eastAsia="方正仿宋_GBK" w:cs="Times New Roman"/>
          <w:sz w:val="32"/>
          <w:szCs w:val="32"/>
          <w:shd w:val="clear" w:color="auto" w:fill="FFFFFF"/>
          <w:lang w:val="en-US" w:eastAsia="zh-CN"/>
        </w:rPr>
        <w:t>万元。其中：人员经费</w:t>
      </w:r>
      <w:r>
        <w:rPr>
          <w:rFonts w:hint="eastAsia" w:ascii="Times New Roman" w:hAnsi="Times New Roman" w:eastAsia="方正仿宋_GBK" w:cs="Times New Roman"/>
          <w:sz w:val="32"/>
          <w:szCs w:val="32"/>
          <w:shd w:val="clear" w:color="auto" w:fill="FFFFFF"/>
          <w:lang w:val="en-US" w:eastAsia="zh-CN"/>
        </w:rPr>
        <w:t>238</w:t>
      </w:r>
      <w:r>
        <w:rPr>
          <w:rFonts w:hint="default" w:ascii="Times New Roman" w:hAnsi="Times New Roman" w:eastAsia="方正仿宋_GBK" w:cs="Times New Roman"/>
          <w:sz w:val="32"/>
          <w:szCs w:val="32"/>
          <w:shd w:val="clear" w:color="auto" w:fill="FFFFFF"/>
          <w:lang w:val="en-US" w:eastAsia="zh-CN"/>
        </w:rPr>
        <w:t>万元，较上年决算数增加</w:t>
      </w:r>
      <w:r>
        <w:rPr>
          <w:rFonts w:hint="eastAsia" w:ascii="Times New Roman" w:hAnsi="Times New Roman" w:eastAsia="方正仿宋_GBK" w:cs="Times New Roman"/>
          <w:sz w:val="32"/>
          <w:szCs w:val="32"/>
          <w:shd w:val="clear" w:color="auto" w:fill="FFFFFF"/>
          <w:lang w:val="en-US" w:eastAsia="zh-CN"/>
        </w:rPr>
        <w:t>238</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lang w:val="en-US" w:eastAsia="zh-CN"/>
        </w:rPr>
        <w:t>人员经费用途主要包括</w:t>
      </w:r>
      <w:r>
        <w:rPr>
          <w:rFonts w:hint="eastAsia" w:ascii="Times New Roman" w:hAnsi="Times New Roman" w:eastAsia="方正仿宋_GBK" w:cs="Times New Roman"/>
          <w:sz w:val="32"/>
          <w:szCs w:val="32"/>
          <w:shd w:val="clear" w:color="auto" w:fill="FFFFFF"/>
          <w:lang w:val="en-US" w:eastAsia="zh-CN"/>
        </w:rPr>
        <w:t>在职职工工资、绩效、社保公积金配套、体检费等开支。</w:t>
      </w:r>
      <w:r>
        <w:rPr>
          <w:rFonts w:hint="default" w:ascii="Times New Roman" w:hAnsi="Times New Roman" w:eastAsia="方正仿宋_GBK" w:cs="Times New Roman"/>
          <w:sz w:val="32"/>
          <w:szCs w:val="32"/>
          <w:shd w:val="clear" w:color="auto" w:fill="FFFFFF"/>
          <w:lang w:val="en-US" w:eastAsia="zh-CN"/>
        </w:rPr>
        <w:t>公用经费</w:t>
      </w:r>
      <w:r>
        <w:rPr>
          <w:rFonts w:hint="eastAsia" w:ascii="Times New Roman" w:hAnsi="Times New Roman" w:eastAsia="方正仿宋_GBK" w:cs="Times New Roman"/>
          <w:sz w:val="32"/>
          <w:szCs w:val="32"/>
          <w:shd w:val="clear" w:color="auto" w:fill="FFFFFF"/>
          <w:lang w:val="en-US" w:eastAsia="zh-CN"/>
        </w:rPr>
        <w:t>19.55</w:t>
      </w:r>
      <w:r>
        <w:rPr>
          <w:rFonts w:hint="default" w:ascii="Times New Roman" w:hAnsi="Times New Roman" w:eastAsia="方正仿宋_GBK" w:cs="Times New Roman"/>
          <w:sz w:val="32"/>
          <w:szCs w:val="32"/>
          <w:shd w:val="clear" w:color="auto" w:fill="FFFFFF"/>
          <w:lang w:val="en-US" w:eastAsia="zh-CN"/>
        </w:rPr>
        <w:t>万元，较上年决算数增加</w:t>
      </w:r>
      <w:r>
        <w:rPr>
          <w:rFonts w:hint="eastAsia" w:ascii="Times New Roman" w:hAnsi="Times New Roman" w:eastAsia="方正仿宋_GBK" w:cs="Times New Roman"/>
          <w:sz w:val="32"/>
          <w:szCs w:val="32"/>
          <w:shd w:val="clear" w:color="auto" w:fill="FFFFFF"/>
          <w:lang w:val="en-US" w:eastAsia="zh-CN"/>
        </w:rPr>
        <w:t>19.55</w:t>
      </w:r>
      <w:r>
        <w:rPr>
          <w:rFonts w:hint="default" w:ascii="Times New Roman" w:hAnsi="Times New Roman" w:eastAsia="方正仿宋_GBK" w:cs="Times New Roman"/>
          <w:sz w:val="32"/>
          <w:szCs w:val="32"/>
          <w:shd w:val="clear" w:color="auto" w:fill="FFFFFF"/>
          <w:lang w:val="en-US" w:eastAsia="zh-CN"/>
        </w:rPr>
        <w:t>万元，增长100.00%</w:t>
      </w:r>
      <w:r>
        <w:rPr>
          <w:rFonts w:hint="eastAsia" w:ascii="Times New Roman" w:hAnsi="Times New Roman" w:eastAsia="方正仿宋_GBK" w:cs="Times New Roman"/>
          <w:sz w:val="32"/>
          <w:szCs w:val="32"/>
          <w:shd w:val="clear" w:color="auto" w:fill="FFFFFF"/>
          <w:lang w:val="en-US" w:eastAsia="zh-CN"/>
        </w:rPr>
        <w:t>，主要原因是2022年度本单位与部门合并编报决算，按照市财政局要求2023年度独立编报决算，故与上年对比增长100%。公用经费用途主要包括水电通讯费、食堂开支、网络费。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（五）政府性基金预算收支决算情况说明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本单位2023年度无政府性基金预算财政拨款收支。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（六）国有资本经营预算财政拨款支出决算情况说明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default" w:ascii="方正黑体_GBK" w:hAnsi="方正黑体_GBK" w:eastAsia="方正黑体_GBK" w:cs="方正黑体_GBK"/>
          <w:b w:val="0"/>
          <w:bCs/>
          <w:sz w:val="32"/>
          <w:szCs w:val="32"/>
          <w:shd w:val="clear" w:color="auto" w:fill="FFFFFF"/>
          <w:lang w:val="en-US" w:eastAsia="zh-CN"/>
        </w:rPr>
      </w:pPr>
      <w:r>
        <w:rPr>
          <w:rStyle w:val="8"/>
          <w:rFonts w:hint="eastAsia" w:ascii="方正黑体_GBK" w:hAnsi="方正黑体_GBK" w:eastAsia="方正黑体_GBK" w:cs="方正黑体_GBK"/>
          <w:b w:val="0"/>
          <w:bCs/>
          <w:sz w:val="32"/>
          <w:szCs w:val="32"/>
          <w:shd w:val="clear" w:color="auto" w:fill="FFFFFF"/>
          <w:lang w:val="en-US" w:eastAsia="zh-CN"/>
        </w:rPr>
        <w:t>三、“三公”经费情况说明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（一）“三公”经费支出总体情况说明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三公</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经费支出共计0.00万元，较年初预算数无增减，主要原因是</w:t>
      </w:r>
      <w:r>
        <w:rPr>
          <w:rFonts w:hint="eastAsia" w:ascii="Times New Roman" w:hAnsi="Times New Roman" w:eastAsia="方正仿宋_GBK" w:cs="Times New Roman"/>
          <w:sz w:val="32"/>
          <w:szCs w:val="32"/>
          <w:shd w:val="clear" w:color="auto" w:fill="FFFFFF"/>
          <w:lang w:val="en-US" w:eastAsia="zh-CN"/>
        </w:rPr>
        <w:t>本单位为</w:t>
      </w:r>
      <w:r>
        <w:rPr>
          <w:rFonts w:hint="default" w:ascii="Times New Roman" w:hAnsi="Times New Roman" w:eastAsia="方正仿宋_GBK" w:cs="Times New Roman"/>
          <w:sz w:val="32"/>
          <w:szCs w:val="32"/>
          <w:shd w:val="clear" w:color="auto" w:fill="FFFFFF"/>
          <w:lang w:val="en" w:eastAsia="zh-CN"/>
        </w:rPr>
        <w:t>洪安镇</w:t>
      </w:r>
      <w:r>
        <w:rPr>
          <w:rFonts w:hint="eastAsia" w:ascii="Times New Roman" w:hAnsi="Times New Roman" w:eastAsia="方正仿宋_GBK" w:cs="Times New Roman"/>
          <w:sz w:val="32"/>
          <w:szCs w:val="32"/>
          <w:shd w:val="clear" w:color="auto" w:fill="FFFFFF"/>
          <w:lang w:val="en-US" w:eastAsia="zh-CN"/>
        </w:rPr>
        <w:t>人民政府下属二级单位，未单列“三公”经费支出。</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本单位为</w:t>
      </w:r>
      <w:r>
        <w:rPr>
          <w:rFonts w:hint="default" w:ascii="Times New Roman" w:hAnsi="Times New Roman" w:eastAsia="方正仿宋_GBK" w:cs="Times New Roman"/>
          <w:sz w:val="32"/>
          <w:szCs w:val="32"/>
          <w:shd w:val="clear" w:color="auto" w:fill="FFFFFF"/>
          <w:lang w:val="en" w:eastAsia="zh-CN"/>
        </w:rPr>
        <w:t>洪安镇</w:t>
      </w:r>
      <w:r>
        <w:rPr>
          <w:rFonts w:hint="eastAsia" w:ascii="Times New Roman" w:hAnsi="Times New Roman" w:eastAsia="方正仿宋_GBK" w:cs="Times New Roman"/>
          <w:sz w:val="32"/>
          <w:szCs w:val="32"/>
          <w:shd w:val="clear" w:color="auto" w:fill="FFFFFF"/>
          <w:lang w:val="en-US" w:eastAsia="zh-CN"/>
        </w:rPr>
        <w:t>人民政府下属二级单位，未单列“三公”经费支出。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（二）“三公”经费分项支出情况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2023年度本单位因公出国（境）费用0.00万元。费用支出较年初预算数无增减，主要原因是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本单位无因公出国（境）情况</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本单位无因公出国（境）情况</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本单位未购置公务车</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本单位未购置公务车</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公务车运行维护费0.00万元。费用支出较年初预算数无增减，主要原因是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本单位无公务车</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本单位无公务车</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公务接待费0.00万元。费用支出较年初预算数无增减，主要原因是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本单位无公务接待</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本单位无公务接待</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（三）“三公”经费实物量情况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default" w:ascii="方正黑体_GBK" w:hAnsi="方正黑体_GBK" w:eastAsia="方正黑体_GBK" w:cs="方正黑体_GBK"/>
          <w:b w:val="0"/>
          <w:bCs/>
          <w:sz w:val="32"/>
          <w:szCs w:val="32"/>
          <w:shd w:val="clear" w:color="auto" w:fill="FFFFFF"/>
          <w:lang w:val="en-US" w:eastAsia="zh-CN"/>
        </w:rPr>
      </w:pPr>
      <w:r>
        <w:rPr>
          <w:rStyle w:val="8"/>
          <w:rFonts w:hint="eastAsia" w:ascii="方正黑体_GBK" w:hAnsi="方正黑体_GBK" w:eastAsia="方正黑体_GBK" w:cs="方正黑体_GBK"/>
          <w:b w:val="0"/>
          <w:bCs/>
          <w:sz w:val="32"/>
          <w:szCs w:val="32"/>
          <w:shd w:val="clear" w:color="auto" w:fill="FFFFFF"/>
          <w:lang w:val="en-US" w:eastAsia="zh-CN"/>
        </w:rPr>
        <w:t>四、其他需要说明的事项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（一）财政拨款会议费和培训费情况说明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本年度会议费支出0万元，较上年决算数增加0万元</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本年度培训费支出</w:t>
      </w:r>
      <w:r>
        <w:rPr>
          <w:rFonts w:hint="eastAsia" w:ascii="Times New Roman" w:hAnsi="Times New Roman" w:eastAsia="方正仿宋_GBK" w:cs="Times New Roman"/>
          <w:sz w:val="32"/>
          <w:szCs w:val="32"/>
          <w:shd w:val="clear" w:color="auto" w:fill="FFFFFF"/>
          <w:lang w:val="en-US" w:eastAsia="zh-CN"/>
        </w:rPr>
        <w:t>2.60</w:t>
      </w:r>
      <w:r>
        <w:rPr>
          <w:rFonts w:hint="default" w:ascii="Times New Roman" w:hAnsi="Times New Roman" w:eastAsia="方正仿宋_GBK" w:cs="Times New Roman"/>
          <w:sz w:val="32"/>
          <w:szCs w:val="32"/>
          <w:shd w:val="clear" w:color="auto" w:fill="FFFFFF"/>
          <w:lang w:val="en-US" w:eastAsia="zh-CN"/>
        </w:rPr>
        <w:t>万元，较上年决算数增加</w:t>
      </w:r>
      <w:r>
        <w:rPr>
          <w:rFonts w:hint="eastAsia" w:ascii="Times New Roman" w:hAnsi="Times New Roman" w:eastAsia="方正仿宋_GBK" w:cs="Times New Roman"/>
          <w:sz w:val="32"/>
          <w:szCs w:val="32"/>
          <w:shd w:val="clear" w:color="auto" w:fill="FFFFFF"/>
          <w:lang w:val="en-US" w:eastAsia="zh-CN"/>
        </w:rPr>
        <w:t>2.60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2023年度本单位机关运行经费支出0.00万元，</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机关运行经费较上年支出数无增减，主要原因是单位不在机关运行经费统计范围之内。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（三）国有资产占用情况说明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（四）政府采购支出情况说明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lang w:val="en-US" w:eastAsia="zh-CN"/>
        </w:rPr>
      </w:pPr>
      <w:r>
        <w:rPr>
          <w:rStyle w:val="8"/>
          <w:rFonts w:hint="eastAsia" w:ascii="方正黑体_GBK" w:hAnsi="方正黑体_GBK" w:eastAsia="方正黑体_GBK" w:cs="方正黑体_GBK"/>
          <w:b w:val="0"/>
          <w:bCs/>
          <w:sz w:val="32"/>
          <w:szCs w:val="32"/>
          <w:shd w:val="clear" w:color="auto" w:fill="FFFFFF"/>
          <w:lang w:val="en-US" w:eastAsia="zh-CN"/>
        </w:rPr>
        <w:t>五、预算绩效管理情况说明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（一）单位自评情况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val="en-US" w:eastAsia="zh-CN"/>
        </w:rPr>
        <w:t>根据预算绩效管理要求，我单位对0个一级项目和10个二级项目开展了绩效自评，涉及财政拨款项目支出资金316.13万元</w:t>
      </w:r>
      <w:r>
        <w:rPr>
          <w:rFonts w:hint="eastAsia" w:ascii="方正仿宋_GBK" w:hAnsi="方正仿宋_GBK" w:eastAsia="方正仿宋_GBK" w:cs="方正仿宋_GBK"/>
          <w:sz w:val="32"/>
          <w:szCs w:val="32"/>
          <w:shd w:val="clear" w:color="auto" w:fill="FFFFFF"/>
          <w:lang w:val="en-US" w:eastAsia="zh-CN" w:bidi="ar-SA"/>
        </w:rPr>
        <w:t>。</w:t>
      </w:r>
    </w:p>
    <w:tbl>
      <w:tblPr>
        <w:tblStyle w:val="9"/>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洪安镇人民政府2023年度项目支出绩效自评表（二级项目）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1</w:t>
            </w:r>
          </w:p>
        </w:tc>
        <w:tc>
          <w:tcPr>
            <w:tcW w:w="11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驻乡驻村工作经费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经费标准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20000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元/个</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20000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驻村数量</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个</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4</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工作执行及时性</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政策知晓度</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定性</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有所增加</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全部完成</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sectPr>
          <w:pgSz w:w="16840" w:h="11915" w:orient="landscape"/>
          <w:pgMar w:top="1800" w:right="1440" w:bottom="1800" w:left="1440" w:header="851" w:footer="992" w:gutter="0"/>
          <w:pgNumType w:fmt="numberInDash"/>
          <w:cols w:space="720" w:num="1"/>
          <w:docGrid w:type="lines" w:linePitch="312" w:charSpace="0"/>
        </w:sect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我</w:t>
      </w:r>
      <w:r>
        <w:rPr>
          <w:rFonts w:hint="eastAsia" w:ascii="Times New Roman" w:hAnsi="Times New Roman" w:eastAsia="方正仿宋_GBK" w:cs="Times New Roman"/>
          <w:i w:val="0"/>
          <w:caps w:val="0"/>
          <w:color w:val="333333"/>
          <w:spacing w:val="0"/>
          <w:sz w:val="32"/>
          <w:szCs w:val="32"/>
          <w:shd w:val="clear" w:fill="FFFFFF"/>
          <w:lang w:val="zh-CN" w:eastAsia="zh-CN"/>
        </w:rPr>
        <w:t>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驻乡驻村工作经费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12.00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i w:val="0"/>
          <w:caps w:val="0"/>
          <w:color w:val="333333"/>
          <w:spacing w:val="0"/>
          <w:sz w:val="32"/>
          <w:szCs w:val="32"/>
          <w:shd w:val="clear" w:fill="FFFFFF"/>
          <w:lang w:val="zh-CN"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Style w:val="8"/>
          <w:rFonts w:hint="eastAsia" w:ascii="Times New Roman" w:hAnsi="Times New Roman" w:eastAsia="方正楷体_GBK" w:cs="Times New Roman"/>
          <w:b/>
          <w:bCs w:val="0"/>
          <w:sz w:val="32"/>
          <w:szCs w:val="32"/>
          <w:shd w:val="clear" w:color="auto" w:fill="FFFFFF"/>
          <w:lang w:val="en-US" w:eastAsia="zh-CN" w:bidi="ar-SA"/>
        </w:rPr>
        <w:t>（</w:t>
      </w:r>
      <w:r>
        <w:rPr>
          <w:rFonts w:hint="eastAsia" w:ascii="方正仿宋_GBK" w:hAnsi="方正仿宋_GBK" w:eastAsia="方正仿宋_GBK" w:cs="方正仿宋_GBK"/>
          <w:b/>
          <w:bCs w:val="0"/>
          <w:sz w:val="32"/>
          <w:szCs w:val="32"/>
          <w:shd w:val="clear" w:color="auto" w:fill="FFFFFF"/>
          <w:lang w:val="en-US" w:eastAsia="zh-CN" w:bidi="ar-SA"/>
        </w:rPr>
        <w:t>一）财政拨款收入</w:t>
      </w:r>
      <w:r>
        <w:rPr>
          <w:rFonts w:hint="eastAsia" w:ascii="方正仿宋_GBK" w:hAnsi="方正仿宋_GBK" w:eastAsia="方正仿宋_GBK" w:cs="方正仿宋_GBK"/>
          <w:sz w:val="32"/>
          <w:szCs w:val="32"/>
          <w:shd w:val="clear" w:color="auto" w:fill="FFFFFF"/>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（二）事业收入</w:t>
      </w:r>
      <w:r>
        <w:rPr>
          <w:rFonts w:hint="eastAsia" w:ascii="方正仿宋_GBK" w:hAnsi="方正仿宋_GBK" w:eastAsia="方正仿宋_GBK" w:cs="方正仿宋_GBK"/>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（三）经营收入</w:t>
      </w:r>
      <w:r>
        <w:rPr>
          <w:rFonts w:hint="eastAsia" w:ascii="方正仿宋_GBK" w:hAnsi="方正仿宋_GBK" w:eastAsia="方正仿宋_GBK" w:cs="方正仿宋_GBK"/>
          <w:sz w:val="32"/>
          <w:szCs w:val="32"/>
          <w:shd w:val="clear" w:color="auto" w:fill="FFFFFF"/>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（四）其他收入</w:t>
      </w:r>
      <w:r>
        <w:rPr>
          <w:rFonts w:hint="eastAsia" w:ascii="方正仿宋_GBK" w:hAnsi="方正仿宋_GBK" w:eastAsia="方正仿宋_GBK" w:cs="方正仿宋_GBK"/>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（五）使用非财政拨款结余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（六）年初结转和结余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（七）结余分配</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（八）年末结转和结余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（九）基本支出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（十）项目支出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（十一）经营支出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（十二）“三公”经费</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（十三）机关运行经费</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（十四）工资福利支出</w:t>
      </w:r>
      <w:r>
        <w:rPr>
          <w:rStyle w:val="8"/>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（十五）商品和服务支出</w:t>
      </w:r>
      <w:r>
        <w:rPr>
          <w:rStyle w:val="8"/>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（十六）对个人和家庭的补助</w:t>
      </w:r>
      <w:r>
        <w:rPr>
          <w:rStyle w:val="8"/>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（十七）其他资本性支出</w:t>
      </w:r>
      <w:r>
        <w:rPr>
          <w:rStyle w:val="8"/>
          <w:rFonts w:hint="eastAsia" w:ascii="Times New Roman" w:hAnsi="Times New Roman" w:eastAsia="方正楷体_GBK" w:cs="Times New Roman"/>
          <w:b w:val="0"/>
          <w:bCs/>
          <w:sz w:val="32"/>
          <w:szCs w:val="32"/>
          <w:shd w:val="clear" w:color="auto" w:fill="FFFFFF"/>
          <w:lang w:val="en-US" w:eastAsia="zh-CN" w:bidi="ar-SA"/>
        </w:rPr>
        <w:t>（支出经济分类科目类级）：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方正仿宋_GBK" w:hAnsi="方正仿宋_GBK" w:eastAsia="方正仿宋_GBK" w:cs="方正仿宋_GBK"/>
          <w:sz w:val="32"/>
          <w:szCs w:val="32"/>
          <w:shd w:val="clear" w:color="auto" w:fill="FFFFFF"/>
          <w:lang w:val="en-US" w:eastAsia="zh-CN"/>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：彭瑾</w:t>
      </w:r>
      <w:r>
        <w:rPr>
          <w:rFonts w:hint="eastAsia" w:ascii="Times New Roman" w:hAnsi="Times New Roman" w:eastAsia="方正仿宋_GBK" w:cs="Times New Roman"/>
          <w:sz w:val="32"/>
          <w:szCs w:val="32"/>
          <w:shd w:val="clear" w:color="auto" w:fill="FFFFFF"/>
          <w:lang w:val="en-US" w:eastAsia="zh-CN"/>
        </w:rPr>
        <w:t>13996981502</w:t>
      </w:r>
      <w:r>
        <w:rPr>
          <w:rFonts w:hint="default" w:ascii="Times New Roman" w:hAnsi="Times New Roman" w:eastAsia="方正仿宋" w:cs="方正仿宋"/>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8"/>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7430"/>
        <w:gridCol w:w="1250"/>
        <w:gridCol w:w="4040"/>
        <w:gridCol w:w="2673"/>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74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125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67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430"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w:t>
            </w:r>
            <w:r>
              <w:rPr>
                <w:sz w:val="20"/>
                <w:u w:color="auto"/>
                <w:lang w:val="en"/>
              </w:rPr>
              <w:t>洪安镇</w:t>
            </w:r>
            <w:r>
              <w:rPr>
                <w:sz w:val="20"/>
                <w:u w:color="auto"/>
              </w:rPr>
              <w:t>农业服务中心（特色产业发展中心）</w:t>
            </w:r>
          </w:p>
        </w:tc>
        <w:tc>
          <w:tcPr>
            <w:tcW w:w="125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04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673"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868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71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6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617.90</w:t>
            </w: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25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97.68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eastAsia="宋体" w:cs="Arial"/>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eastAsia="宋体" w:cs="Arial"/>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eastAsia="宋体" w:cs="Arial"/>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eastAsia="宋体" w:cs="Arial"/>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445.02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20.16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宋体" w:hAnsi="宋体" w:eastAsia="宋体" w:cs="宋体"/>
                <w:color w:val="000000"/>
                <w:sz w:val="20"/>
                <w:szCs w:val="20"/>
                <w:lang w:val="en-US" w:eastAsia="zh-CN" w:bidi="ar-SA"/>
              </w:rPr>
            </w:pP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617.90</w:t>
            </w: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573.68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6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0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67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44.22</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74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617.90</w:t>
            </w:r>
            <w:r>
              <w:rPr>
                <w:color w:val="000000"/>
                <w:sz w:val="20"/>
                <w:u w:color="auto"/>
              </w:rPr>
              <w:t xml:space="preserve"> </w:t>
            </w:r>
          </w:p>
        </w:tc>
        <w:tc>
          <w:tcPr>
            <w:tcW w:w="4040"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6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617.90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w:t>
            </w:r>
            <w:r>
              <w:rPr>
                <w:sz w:val="20"/>
                <w:u w:color="auto"/>
                <w:lang w:val="en"/>
              </w:rPr>
              <w:t>洪安镇</w:t>
            </w:r>
            <w:r>
              <w:rPr>
                <w:sz w:val="20"/>
                <w:u w:color="auto"/>
              </w:rPr>
              <w:t>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617.90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617.90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489.25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489.25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174.32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173.12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173.12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303.93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303.93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303.93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303.93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2631"/>
        <w:gridCol w:w="4899"/>
        <w:gridCol w:w="1305"/>
        <w:gridCol w:w="1305"/>
        <w:gridCol w:w="1306"/>
        <w:gridCol w:w="1290"/>
        <w:gridCol w:w="1290"/>
        <w:gridCol w:w="1352"/>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 xml:space="preserve">农业服务中心（特色产业发展中心） </w:t>
            </w: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3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263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89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263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9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573.68</w:t>
            </w:r>
            <w:r>
              <w:rPr>
                <w:b/>
                <w:color w:val="000000"/>
                <w:sz w:val="20"/>
                <w:u w:color="auto"/>
              </w:rPr>
              <w:t xml:space="preserve"> </w:t>
            </w:r>
          </w:p>
        </w:tc>
        <w:tc>
          <w:tcPr>
            <w:tcW w:w="13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257.55</w:t>
            </w:r>
            <w:r>
              <w:rPr>
                <w:b/>
                <w:color w:val="000000"/>
                <w:sz w:val="20"/>
                <w:u w:color="auto"/>
              </w:rPr>
              <w:t xml:space="preserve"> </w:t>
            </w:r>
          </w:p>
        </w:tc>
        <w:tc>
          <w:tcPr>
            <w:tcW w:w="1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316.13</w:t>
            </w:r>
            <w:r>
              <w:rPr>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事业单位离退休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445.02</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128.90</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316.13</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农业农村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130.10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128.90</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1.20</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2130104</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128.90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128.90</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2130108</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病虫害控制</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1.20</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21307</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农村综合改革</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303.93</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303.93</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2130705</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对村民委员会和村党支部的补助</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303.93</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303.93</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21399</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其他农林水支出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11.00</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11.00</w:t>
            </w:r>
            <w:r>
              <w:rPr>
                <w:b/>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2139999</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其他农林水支出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11.00</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11.00</w:t>
            </w: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263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4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13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4979"/>
        <w:gridCol w:w="2551"/>
        <w:gridCol w:w="2730"/>
        <w:gridCol w:w="951"/>
        <w:gridCol w:w="1095"/>
        <w:gridCol w:w="1095"/>
        <w:gridCol w:w="1331"/>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27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31"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7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95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09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720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4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4472"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4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0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0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3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617.90</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97.68</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97.68</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10.82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10.82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445.02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445.02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20.16</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20.16</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617.90</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573.68</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573.68</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44.22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44.22</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4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617.90</w:t>
            </w:r>
            <w:r>
              <w:rPr>
                <w:color w:val="000000"/>
                <w:sz w:val="18"/>
                <w:u w:color="auto"/>
              </w:rPr>
              <w:t xml:space="preserve"> </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617.90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617.90</w:t>
            </w:r>
            <w:r>
              <w:rPr>
                <w:color w:val="000000"/>
                <w:sz w:val="18"/>
                <w:u w:color="auto"/>
              </w:rPr>
              <w:t xml:space="preserve">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420" w:type="dxa"/>
        <w:tblInd w:w="0" w:type="dxa"/>
        <w:tblLayout w:type="fixed"/>
        <w:tblCellMar>
          <w:top w:w="0" w:type="dxa"/>
          <w:left w:w="0" w:type="dxa"/>
          <w:bottom w:w="0" w:type="dxa"/>
          <w:right w:w="0" w:type="dxa"/>
        </w:tblCellMar>
      </w:tblPr>
      <w:tblGrid>
        <w:gridCol w:w="2595"/>
        <w:gridCol w:w="4955"/>
        <w:gridCol w:w="2618"/>
        <w:gridCol w:w="1"/>
        <w:gridCol w:w="2617"/>
        <w:gridCol w:w="1"/>
        <w:gridCol w:w="2633"/>
      </w:tblGrid>
      <w:tr>
        <w:tblPrEx>
          <w:tblLayout w:type="fixed"/>
          <w:tblCellMar>
            <w:top w:w="0" w:type="dxa"/>
            <w:left w:w="0" w:type="dxa"/>
            <w:bottom w:w="0" w:type="dxa"/>
            <w:right w:w="0" w:type="dxa"/>
          </w:tblCellMar>
        </w:tblPrEx>
        <w:trPr>
          <w:trHeight w:val="472" w:hRule="atLeast"/>
        </w:trPr>
        <w:tc>
          <w:tcPr>
            <w:tcW w:w="1542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41" w:hRule="atLeast"/>
        </w:trPr>
        <w:tc>
          <w:tcPr>
            <w:tcW w:w="755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2619"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18"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41" w:hRule="atLeast"/>
        </w:trPr>
        <w:tc>
          <w:tcPr>
            <w:tcW w:w="755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19"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18"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3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9" w:hRule="atLeast"/>
        </w:trPr>
        <w:tc>
          <w:tcPr>
            <w:tcW w:w="755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7870"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25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9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6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61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634"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atLeast"/>
        </w:trPr>
        <w:tc>
          <w:tcPr>
            <w:tcW w:w="25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1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3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25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1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634"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49" w:hRule="atLeast"/>
        </w:trPr>
        <w:tc>
          <w:tcPr>
            <w:tcW w:w="755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573.68</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257.55</w:t>
            </w:r>
            <w:r>
              <w:rPr>
                <w:b/>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316.13</w:t>
            </w:r>
            <w:r>
              <w:rPr>
                <w:b/>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97.68</w:t>
            </w:r>
            <w:r>
              <w:rPr>
                <w:b/>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34.52</w:t>
            </w:r>
            <w:r>
              <w:rPr>
                <w:b/>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2080502</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事业单位离退休</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2.60</w:t>
            </w: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21.22</w:t>
            </w: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10.70</w:t>
            </w: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63.17</w:t>
            </w:r>
            <w:r>
              <w:rPr>
                <w:b/>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63.17</w:t>
            </w: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10.82</w:t>
            </w:r>
            <w:r>
              <w:rPr>
                <w:b/>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10.82</w:t>
            </w: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农林水支出</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445.02</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128.90</w:t>
            </w:r>
            <w:r>
              <w:rPr>
                <w:b/>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316.13</w:t>
            </w:r>
            <w:r>
              <w:rPr>
                <w:b/>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21301</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农业农村</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130.10</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128.90</w:t>
            </w:r>
            <w:r>
              <w:rPr>
                <w:b/>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1.20</w:t>
            </w:r>
            <w:r>
              <w:rPr>
                <w:b/>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2130104</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128.90</w:t>
            </w:r>
            <w:r>
              <w:rPr>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128.90</w:t>
            </w: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2130108</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病虫害控制</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1.20</w:t>
            </w:r>
            <w:r>
              <w:rPr>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1.20</w:t>
            </w: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21307</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农村综合改革</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303.93</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303.93</w:t>
            </w:r>
            <w:r>
              <w:rPr>
                <w:b/>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2130705</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对村民委员会和村党支部的补助</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303.93</w:t>
            </w:r>
            <w:r>
              <w:rPr>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303.93</w:t>
            </w: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21399</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其他农林水支出</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11.00</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11.00</w:t>
            </w:r>
            <w:r>
              <w:rPr>
                <w:b/>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2139999</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其他农林水支出</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11.00</w:t>
            </w:r>
            <w:r>
              <w:rPr>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11.00</w:t>
            </w: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9"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20.16</w:t>
            </w:r>
            <w:r>
              <w:rPr>
                <w:b/>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56" w:hRule="atLeast"/>
        </w:trPr>
        <w:tc>
          <w:tcPr>
            <w:tcW w:w="25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49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26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261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20.16</w:t>
            </w:r>
            <w:r>
              <w:rPr>
                <w:color w:val="000000"/>
                <w:sz w:val="20"/>
                <w:u w:color="auto"/>
              </w:rPr>
              <w:t xml:space="preserve"> </w:t>
            </w:r>
          </w:p>
        </w:tc>
        <w:tc>
          <w:tcPr>
            <w:tcW w:w="26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234.03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81.52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2.68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15.79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71.43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21.22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10.82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0.85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宋体" w:hAnsi="宋体" w:eastAsia="宋体" w:cs="宋体"/>
                <w:color w:val="000000"/>
                <w:sz w:val="18"/>
                <w:szCs w:val="18"/>
                <w:lang w:val="en-US" w:eastAsia="zh-CN" w:bidi="ar-SA"/>
              </w:rPr>
            </w:pPr>
            <w:r>
              <w:rPr>
                <w:rFonts w:cs="宋体"/>
                <w:color w:val="000000"/>
                <w:sz w:val="18"/>
                <w:szCs w:val="18"/>
              </w:rPr>
              <w:t>238.00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19.55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2826"/>
        <w:gridCol w:w="4704"/>
        <w:gridCol w:w="1275"/>
        <w:gridCol w:w="1275"/>
        <w:gridCol w:w="1276"/>
        <w:gridCol w:w="1276"/>
        <w:gridCol w:w="1341"/>
        <w:gridCol w:w="1405"/>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0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2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89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28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7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3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28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28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75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868"/>
        <w:gridCol w:w="4662"/>
        <w:gridCol w:w="2758"/>
        <w:gridCol w:w="71"/>
        <w:gridCol w:w="2568"/>
        <w:gridCol w:w="28"/>
        <w:gridCol w:w="2423"/>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5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27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6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75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75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66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24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84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86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6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829"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56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5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8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829"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56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245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75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8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5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245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农业服务中心（特色产业发展中心）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hint="eastAsia" w:cs="宋体"/>
                <w:color w:val="000000"/>
                <w:sz w:val="20"/>
                <w:szCs w:val="20"/>
                <w:lang w:val="en-US" w:eastAsia="zh-CN"/>
              </w:rPr>
              <w:t>2.60</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7178CE"/>
    <w:rsid w:val="0F836721"/>
    <w:rsid w:val="0FA25D96"/>
    <w:rsid w:val="107B59E5"/>
    <w:rsid w:val="10EC0126"/>
    <w:rsid w:val="10F70B9A"/>
    <w:rsid w:val="111445C7"/>
    <w:rsid w:val="111C1C1F"/>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75513B"/>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E8736D"/>
    <w:rsid w:val="22403BD3"/>
    <w:rsid w:val="24B92327"/>
    <w:rsid w:val="24C14514"/>
    <w:rsid w:val="2533755C"/>
    <w:rsid w:val="25791755"/>
    <w:rsid w:val="26396DF4"/>
    <w:rsid w:val="27167136"/>
    <w:rsid w:val="271B442C"/>
    <w:rsid w:val="2721621A"/>
    <w:rsid w:val="27B23302"/>
    <w:rsid w:val="29310A5F"/>
    <w:rsid w:val="29C37A35"/>
    <w:rsid w:val="29F76BA9"/>
    <w:rsid w:val="2A076083"/>
    <w:rsid w:val="2A73162E"/>
    <w:rsid w:val="2B167953"/>
    <w:rsid w:val="2B200583"/>
    <w:rsid w:val="2B8209DE"/>
    <w:rsid w:val="2C636760"/>
    <w:rsid w:val="2C6762A3"/>
    <w:rsid w:val="2E0051F1"/>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8E453D9"/>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581AB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415ECD"/>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BFEDD4D1"/>
    <w:rsid w:val="C7DF8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2024-10-08T12:07:22Z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