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洪安镇</w:t>
      </w:r>
      <w:r>
        <w:rPr>
          <w:rFonts w:ascii="方正小标宋_GBK" w:hAnsi="方正小标宋_GBK" w:eastAsia="方正小标宋_GBK" w:cs="方正小标宋_GBK"/>
          <w:sz w:val="44"/>
          <w:szCs w:val="44"/>
        </w:rPr>
        <w:t>劳动就业和社会保障服务所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方正仿宋_GBK" w:hAnsi="方正仿宋_GBK" w:eastAsia="方正仿宋_GBK" w:cs="方正仿宋_GBK"/>
          <w:i w:val="0"/>
          <w:caps w:val="0"/>
          <w:color w:val="333333"/>
          <w:spacing w:val="0"/>
          <w:sz w:val="32"/>
          <w:szCs w:val="32"/>
          <w:shd w:val="clear" w:fill="FFFFFF"/>
          <w:lang w:val="en-US" w:eastAsia="zh-CN"/>
        </w:rPr>
        <w:t>1.劳动就业和社会保障服务所。主要职责：承担就业、再就业、农村富余劳动力转移，劳动和社会保障、城镇居民最低生活保障、社保救济、医疗保障服务等社会保障相关具体工作。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w:t>
      </w:r>
      <w:r>
        <w:rPr>
          <w:rFonts w:hint="default" w:ascii="方正仿宋_GBK" w:hAnsi="方正仿宋_GBK" w:eastAsia="方正仿宋_GBK" w:cs="方正仿宋_GBK"/>
          <w:b/>
          <w:bCs/>
          <w:i w:val="0"/>
          <w:caps w:val="0"/>
          <w:color w:val="333333"/>
          <w:spacing w:val="0"/>
          <w:sz w:val="32"/>
          <w:szCs w:val="32"/>
          <w:shd w:val="clear" w:fill="FFFFFF"/>
          <w:lang w:val="en-US" w:eastAsia="zh-CN"/>
        </w:rPr>
        <w:t>总体情况</w:t>
      </w:r>
      <w:r>
        <w:rPr>
          <w:rFonts w:hint="default" w:ascii="方正仿宋_GBK" w:hAnsi="方正仿宋_GBK" w:eastAsia="方正仿宋_GBK" w:cs="方正仿宋_GBK"/>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2023</w:t>
      </w:r>
      <w:r>
        <w:rPr>
          <w:rFonts w:hint="default" w:ascii="方正仿宋_GBK" w:hAnsi="方正仿宋_GBK" w:eastAsia="方正仿宋_GBK" w:cs="方正仿宋_GBK"/>
          <w:i w:val="0"/>
          <w:caps w:val="0"/>
          <w:color w:val="333333"/>
          <w:spacing w:val="0"/>
          <w:sz w:val="32"/>
          <w:szCs w:val="32"/>
          <w:shd w:val="clear" w:fill="FFFFFF"/>
          <w:lang w:val="en-US" w:eastAsia="zh-CN"/>
        </w:rPr>
        <w:t>年</w:t>
      </w:r>
      <w:r>
        <w:rPr>
          <w:rFonts w:hint="default" w:ascii="Times New Roman" w:hAnsi="Times New Roman" w:eastAsia="方正仿宋_GBK" w:cs="Times New Roman"/>
          <w:i w:val="0"/>
          <w:caps w:val="0"/>
          <w:color w:val="333333"/>
          <w:spacing w:val="0"/>
          <w:sz w:val="32"/>
          <w:szCs w:val="32"/>
          <w:shd w:val="clear" w:fill="FFFFFF"/>
          <w:lang w:val="en-US" w:eastAsia="zh-CN"/>
        </w:rPr>
        <w:t>度收入总计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万元，支出总计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万元。收支较上年决算数增加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方正仿宋_GBK" w:hAnsi="方正仿宋_GBK" w:eastAsia="方正仿宋_GBK" w:cs="方正仿宋_GBK"/>
          <w:i w:val="0"/>
          <w:caps w:val="0"/>
          <w:color w:val="333333"/>
          <w:spacing w:val="0"/>
          <w:sz w:val="32"/>
          <w:szCs w:val="32"/>
          <w:shd w:val="clear" w:fill="FFFFFF"/>
          <w:lang w:val="en-US" w:eastAsia="zh-CN"/>
        </w:rPr>
        <w:t>万元，增长</w:t>
      </w:r>
      <w:r>
        <w:rPr>
          <w:rFonts w:hint="default" w:ascii="Times New Roman" w:hAnsi="Times New Roman" w:eastAsia="方正仿宋_GBK" w:cs="Times New Roman"/>
          <w:i w:val="0"/>
          <w:caps w:val="0"/>
          <w:color w:val="333333"/>
          <w:spacing w:val="0"/>
          <w:sz w:val="32"/>
          <w:szCs w:val="32"/>
          <w:shd w:val="clear" w:fill="FFFFFF"/>
          <w:lang w:val="en-US" w:eastAsia="zh-CN"/>
        </w:rPr>
        <w:t>100.00%，主要原因是2022年度本单位与部门合并编报决算，按照市财政局要求，2023年度独立编报决算，故与上年对比增长100.00%。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万元，增长100.00%，主要原因是2022年度本单位与部门合并编报决算，按照市财政局要求，2023年度独立编报决算，故与上年对比增长100.00%。其中：财政拨款收入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万元，增长100.00%，主要原因是是2022年度本单位与部门合并编报决算，按照市财政局要求，2023年度独立编报决算，故与上年对比增长100.00%。其中：基</w:t>
      </w:r>
      <w:r>
        <w:rPr>
          <w:rFonts w:hint="default" w:ascii="Times New Roman" w:hAnsi="Times New Roman" w:eastAsia="方正仿宋_GBK" w:cs="Times New Roman"/>
          <w:i w:val="0"/>
          <w:caps w:val="0"/>
          <w:color w:val="333333"/>
          <w:spacing w:val="0"/>
          <w:sz w:val="32"/>
          <w:szCs w:val="32"/>
          <w:shd w:val="clear" w:fill="FFFFFF"/>
          <w:lang w:val="en" w:eastAsia="zh-CN"/>
        </w:rPr>
        <w:t>本支出44.89万元，占48.05%；项目支出48.53万元，占51.95%；经营支出0.00万元，占0.00%。此外，结余分配0.00万元</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。2023年度年末结转和结余0.00万元，较上年决算数无增减，主要原因是2022年度本单位与部门合并编报决算，按照市财政局要求，2023年度独立编报决算，故与上年对比无增减。</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万元。与2022年相比，财政拨款收、支总计各增加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较年初预算数增加55.13万元，增长143.98%。主要原因是人员增减变化，年中增加预算。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较年初预算数增加41.22万元，增长78.97%。主要原因是人员增减变化，年中增加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。2023年度年末一般公共预算财政拨款结转和结余0.00万元，较上年决算数无增减，主要原因是2022年度本单位与部门合并编报决算，按照市财政局要求，2023年度独立编报决算，故与上年对比无增减。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（1）社会保障与就业支出87.48万元，占93.64%，较年初预算数增加39.39万元，增长81.91%，主要原因是人员增减变化、项目增加。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（2）卫生健康支出4.2万元，占4.50%，较年初预算数增加2.68万元，增长176.32%，主要原因是人员增减变化。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（3）住房保障支出1.74万元，占1.86%，较年初预算数减少0.85万元，下降32.82%，主要原因是人员增减变化。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44.89万元。其中：人员经费42.14万元，较上年决算数增加42.14万元，增长100.00%，主要原因是2022年度本单位与部门合并编报决算，按照市财政局要求，2023年度独立编报决算，故与上年对比增长100.00%。人员经费用途主要包括工资福利支出等。公用经费2.75万元，较上年决算数增加2.75万元，增长100.00%，主要原因是2022年度本单位与部门合并编报决算，按照市财政局要求，2023年度独立编报决算，故与上年对比增长100.00%。公用经费用途主要包括办公费、水电费等。</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w:t>
      </w:r>
      <w:r>
        <w:rPr>
          <w:rStyle w:val="8"/>
          <w:rFonts w:hint="default"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rPr>
        <w:t>三公</w:t>
      </w:r>
      <w:r>
        <w:rPr>
          <w:rStyle w:val="8"/>
          <w:rFonts w:hint="default"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三公”经费支出共计0.00万元，较年初预算数无增减，主要原因是本单位为洪安镇人民政府下属二级单位，未单列“三公”经费支出。较上年支出数无增减，主要原因是本单位为洪安镇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2023年度本单位因公出国（境）费用0.00万元。费用支出较年初预算数无增减，主要原因是本单位无因公出国（境）情况。较上年支出数无增减，主要原因是本单位无因公出国（境）情况。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公务车购置费0.00万元。费用支出较年初预算数无增减，主要原因是本单位未购置公务车。较上年支出数无增减，主要原因是本单位未购置公务车。</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公务车运行维护费0.00万元。费用支出较年初预算数无增减，主要原因是本单位无公务车。较上年支出数无增减，主要原因是本单位无公务车。</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0.00万元，较上年决算数无增减，主要原因是本单位为二级单位，未列支会议费。本年度培训费支出0.08万元，较上年决算数增加0.08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洪安镇残疾人信访维稳资金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处置残疾人信访事件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涉稳处置率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信访事项按时办结率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维持社会稳定水平</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outlineLvl w:val="9"/>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个一级项目、</w:t>
      </w:r>
      <w:r>
        <w:rPr>
          <w:rFonts w:hint="default" w:ascii="Times New Roman" w:hAnsi="Times New Roman" w:eastAsia="方正仿宋_GBK" w:cs="Times New Roman"/>
          <w:sz w:val="32"/>
          <w:szCs w:val="32"/>
          <w:shd w:val="clear" w:color="auto" w:fill="FFFFFF"/>
          <w:lang w:val="en" w:eastAsia="zh-CN"/>
        </w:rPr>
        <w:t>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 w:eastAsia="zh-CN"/>
        </w:rPr>
        <w:t>48.53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val="en-US" w:eastAsia="zh-CN" w:bidi="ar"/>
        </w:rPr>
        <w:t>洪安镇残疾人信访维稳资金</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2.00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90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8"/>
          <w:rFonts w:hint="eastAsia" w:ascii="Times New Roman" w:hAnsi="Times New Roman" w:eastAsia="方正楷体_GBK" w:cs="Times New Roman"/>
          <w:b/>
          <w:bCs w:val="0"/>
          <w:sz w:val="32"/>
          <w:szCs w:val="32"/>
          <w:shd w:val="clear" w:color="auto" w:fill="FFFFFF"/>
          <w:lang w:val="en-US" w:eastAsia="zh-CN" w:bidi="ar-SA"/>
        </w:rPr>
        <w:t>（一）</w:t>
      </w:r>
      <w:r>
        <w:rPr>
          <w:rFonts w:hint="eastAsia" w:ascii="方正仿宋_GBK" w:hAnsi="方正仿宋_GBK" w:eastAsia="方正仿宋_GBK" w:cs="方正仿宋_GBK"/>
          <w:b/>
          <w:bCs w:val="0"/>
          <w:sz w:val="32"/>
          <w:szCs w:val="32"/>
          <w:shd w:val="clear" w:color="auto" w:fill="FFFFFF"/>
          <w:lang w:val="en-US" w:eastAsia="zh-CN" w:bidi="ar-SA"/>
        </w:rPr>
        <w:t>财政拨款收入</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bCs w:val="0"/>
          <w:sz w:val="32"/>
          <w:szCs w:val="32"/>
          <w:shd w:val="clear" w:color="auto" w:fill="FFFFFF"/>
          <w:lang w:val="en-US" w:eastAsia="zh-CN" w:bidi="ar-SA"/>
        </w:rPr>
        <w:t>（二）事业收入</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（三）经营收入</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bCs w:val="0"/>
          <w:sz w:val="32"/>
          <w:szCs w:val="32"/>
          <w:shd w:val="clear" w:color="auto" w:fill="FFFFFF"/>
          <w:lang w:val="en-US" w:eastAsia="zh-CN" w:bidi="ar-SA"/>
        </w:rPr>
        <w:t>（四）其他收入</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（七）结余分配</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（九）基本支出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（十）项目支出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（十一）经营支出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（十二）“三公”经费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（十四）工资福利支出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（十五）商品和服务支出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（十六）对个人和家庭的补助</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（十七）其他资本性支出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bidi="ar-SA"/>
        </w:rPr>
        <w:t>本单位决算公开信息反馈和联系方式：</w:t>
      </w:r>
      <w:r>
        <w:rPr>
          <w:rFonts w:hint="eastAsia" w:ascii="方正仿宋_GBK" w:hAnsi="方正仿宋_GBK" w:eastAsia="方正仿宋_GBK" w:cs="方正仿宋_GBK"/>
          <w:sz w:val="32"/>
          <w:szCs w:val="32"/>
          <w:shd w:val="clear" w:color="auto" w:fill="FFFFFF"/>
          <w:lang w:val="en-US" w:eastAsia="zh-CN" w:bidi="ar-SA"/>
        </w:rPr>
        <w:t>彭瑾</w:t>
      </w:r>
      <w:r>
        <w:rPr>
          <w:rFonts w:hint="default" w:ascii="Times New Roman" w:hAnsi="Times New Roman" w:eastAsia="方正仿宋_GBK" w:cs="Times New Roman"/>
          <w:sz w:val="32"/>
          <w:szCs w:val="32"/>
          <w:shd w:val="clear" w:color="auto" w:fill="FFFFFF"/>
          <w:lang w:val="en-US" w:eastAsia="zh-CN" w:bidi="ar-SA"/>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87.48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 xml:space="preserve">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44.89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48.53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45.85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40" w:type="dxa"/>
        <w:tblInd w:w="0" w:type="dxa"/>
        <w:tblLayout w:type="fixed"/>
        <w:tblCellMar>
          <w:top w:w="0" w:type="dxa"/>
          <w:left w:w="0" w:type="dxa"/>
          <w:bottom w:w="0" w:type="dxa"/>
          <w:right w:w="0" w:type="dxa"/>
        </w:tblCellMar>
      </w:tblPr>
      <w:tblGrid>
        <w:gridCol w:w="1853"/>
        <w:gridCol w:w="3539"/>
        <w:gridCol w:w="3310"/>
        <w:gridCol w:w="1"/>
        <w:gridCol w:w="3310"/>
        <w:gridCol w:w="1"/>
        <w:gridCol w:w="3326"/>
      </w:tblGrid>
      <w:tr>
        <w:tblPrEx>
          <w:tblLayout w:type="fixed"/>
          <w:tblCellMar>
            <w:top w:w="0" w:type="dxa"/>
            <w:left w:w="0" w:type="dxa"/>
            <w:bottom w:w="0" w:type="dxa"/>
            <w:right w:w="0" w:type="dxa"/>
          </w:tblCellMar>
        </w:tblPrEx>
        <w:trPr>
          <w:trHeight w:val="602" w:hRule="atLeast"/>
        </w:trPr>
        <w:tc>
          <w:tcPr>
            <w:tcW w:w="1534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308" w:hRule="atLeast"/>
        </w:trPr>
        <w:tc>
          <w:tcPr>
            <w:tcW w:w="539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311"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1"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308" w:hRule="atLeast"/>
        </w:trPr>
        <w:tc>
          <w:tcPr>
            <w:tcW w:w="539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1"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1"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7"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8"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5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atLeast"/>
        </w:trPr>
        <w:tc>
          <w:tcPr>
            <w:tcW w:w="539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44.89</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48.53</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87.48</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41.63</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45.85</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2080109</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社会保险经办机构</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611"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20808</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抚恤</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12.52</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2080805</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义务兵优待</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12.52</w:t>
            </w: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20811</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残疾人事业</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12.54</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2081199</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其他残疾人事业支出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12.54</w:t>
            </w: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20821</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特困人员救助供养</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8.63</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2082102</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农村特困人员救助供养支出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8.63</w:t>
            </w: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20899</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其他社会保障和就业支出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12.15</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2089999</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其他社会保障和就业支出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12.15</w:t>
            </w: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4.20</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21015</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医疗保障管理事务</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3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2.68</w:t>
            </w: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5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3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11"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2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3" w:hRule="atLeast"/>
        </w:trPr>
        <w:tc>
          <w:tcPr>
            <w:tcW w:w="185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3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0"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11" w:type="dxa"/>
            <w:gridSpan w:val="2"/>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12" w:hRule="atLeast"/>
        </w:trPr>
        <w:tc>
          <w:tcPr>
            <w:tcW w:w="185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3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0"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3311" w:type="dxa"/>
            <w:gridSpan w:val="2"/>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18.24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42.14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2.75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08</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4B2BE4"/>
    <w:rsid w:val="03B87EA0"/>
    <w:rsid w:val="03E3214F"/>
    <w:rsid w:val="04361B08"/>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93C69"/>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CA2DD3"/>
    <w:rsid w:val="25E379C4"/>
    <w:rsid w:val="26396DF4"/>
    <w:rsid w:val="27167136"/>
    <w:rsid w:val="271B442C"/>
    <w:rsid w:val="27B23302"/>
    <w:rsid w:val="29310A5F"/>
    <w:rsid w:val="29C37A35"/>
    <w:rsid w:val="2A076083"/>
    <w:rsid w:val="2A73162E"/>
    <w:rsid w:val="2B167953"/>
    <w:rsid w:val="2B200583"/>
    <w:rsid w:val="2B553499"/>
    <w:rsid w:val="2B8209DE"/>
    <w:rsid w:val="2B88079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603CF0"/>
    <w:rsid w:val="36C9128A"/>
    <w:rsid w:val="37841E99"/>
    <w:rsid w:val="37BF1123"/>
    <w:rsid w:val="37FF566C"/>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71469"/>
    <w:rsid w:val="3DDF3AB1"/>
    <w:rsid w:val="3E1D0952"/>
    <w:rsid w:val="3E42660A"/>
    <w:rsid w:val="3E7555B1"/>
    <w:rsid w:val="3E787ED9"/>
    <w:rsid w:val="3F032E93"/>
    <w:rsid w:val="3F0527E5"/>
    <w:rsid w:val="3F694D83"/>
    <w:rsid w:val="3F885DCC"/>
    <w:rsid w:val="3FCD675E"/>
    <w:rsid w:val="4004000C"/>
    <w:rsid w:val="40B21508"/>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B037FD"/>
    <w:rsid w:val="53C0244D"/>
    <w:rsid w:val="53DD4D4E"/>
    <w:rsid w:val="53E578CE"/>
    <w:rsid w:val="541330F0"/>
    <w:rsid w:val="54272666"/>
    <w:rsid w:val="543B029D"/>
    <w:rsid w:val="54861779"/>
    <w:rsid w:val="552256E1"/>
    <w:rsid w:val="554E5773"/>
    <w:rsid w:val="555A3CBC"/>
    <w:rsid w:val="5582012B"/>
    <w:rsid w:val="558E4E05"/>
    <w:rsid w:val="55A64D8F"/>
    <w:rsid w:val="55BE2E85"/>
    <w:rsid w:val="56530F5D"/>
    <w:rsid w:val="567700D3"/>
    <w:rsid w:val="56FF7E9E"/>
    <w:rsid w:val="578867FC"/>
    <w:rsid w:val="5842572D"/>
    <w:rsid w:val="59FFCE08"/>
    <w:rsid w:val="5A3B59D6"/>
    <w:rsid w:val="5AD134D8"/>
    <w:rsid w:val="5C263CE4"/>
    <w:rsid w:val="5C5D2777"/>
    <w:rsid w:val="5CF66BF3"/>
    <w:rsid w:val="5D290C69"/>
    <w:rsid w:val="5F2D4A41"/>
    <w:rsid w:val="5F7D0039"/>
    <w:rsid w:val="60C74F6C"/>
    <w:rsid w:val="61025A59"/>
    <w:rsid w:val="613D5BBC"/>
    <w:rsid w:val="61536C39"/>
    <w:rsid w:val="62944DD7"/>
    <w:rsid w:val="6319381F"/>
    <w:rsid w:val="63C25DC5"/>
    <w:rsid w:val="63C62057"/>
    <w:rsid w:val="64571EF5"/>
    <w:rsid w:val="64FB113D"/>
    <w:rsid w:val="65185A71"/>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A150C"/>
    <w:rsid w:val="6D903FF5"/>
    <w:rsid w:val="6DA955B8"/>
    <w:rsid w:val="6DE346AB"/>
    <w:rsid w:val="6DE5391A"/>
    <w:rsid w:val="6DF5751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F1E39"/>
    <w:rsid w:val="85BBD0A9"/>
    <w:rsid w:val="BEFD9EBB"/>
    <w:rsid w:val="FB35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2024-10-08T12:06:14Z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